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rPr>
          <w:color w:val="0000FF"/>
          <w:sz w:val="36"/>
          <w:szCs w:val="36"/>
        </w:rPr>
      </w:pPr>
    </w:p>
    <w:p>
      <w:pPr>
        <w:spacing w:line="240" w:lineRule="auto"/>
        <w:rPr>
          <w:color w:val="0000FF"/>
          <w:sz w:val="36"/>
          <w:szCs w:val="36"/>
        </w:rPr>
      </w:pPr>
    </w:p>
    <w:p>
      <w:pPr>
        <w:spacing w:line="240" w:lineRule="auto"/>
        <w:rPr>
          <w:color w:val="0000FF"/>
          <w:sz w:val="36"/>
          <w:szCs w:val="36"/>
        </w:rPr>
      </w:pPr>
    </w:p>
    <w:p>
      <w:pPr>
        <w:spacing w:line="240" w:lineRule="auto"/>
        <w:rPr>
          <w:color w:val="0000FF"/>
          <w:sz w:val="36"/>
          <w:szCs w:val="36"/>
        </w:rPr>
      </w:pPr>
    </w:p>
    <w:p>
      <w:pPr>
        <w:spacing w:line="240" w:lineRule="auto"/>
        <w:rPr>
          <w:color w:val="0000FF"/>
          <w:sz w:val="36"/>
          <w:szCs w:val="36"/>
        </w:rPr>
      </w:pPr>
    </w:p>
    <w:p>
      <w:pPr>
        <w:adjustRightInd w:val="0"/>
        <w:snapToGrid w:val="0"/>
        <w:spacing w:line="240" w:lineRule="auto"/>
        <w:jc w:val="center"/>
        <w:outlineLvl w:val="0"/>
        <w:rPr>
          <w:bCs/>
          <w:sz w:val="72"/>
          <w:szCs w:val="72"/>
        </w:rPr>
      </w:pPr>
      <w:bookmarkStart w:id="0" w:name="_Toc4080"/>
      <w:bookmarkStart w:id="1" w:name="_Toc68160344"/>
      <w:r>
        <w:rPr>
          <w:bCs/>
          <w:sz w:val="72"/>
          <w:szCs w:val="72"/>
        </w:rPr>
        <w:t>建设项目环境影响报告表</w:t>
      </w:r>
      <w:bookmarkEnd w:id="0"/>
      <w:bookmarkEnd w:id="1"/>
    </w:p>
    <w:p>
      <w:pPr>
        <w:adjustRightInd w:val="0"/>
        <w:snapToGrid w:val="0"/>
        <w:spacing w:before="192" w:beforeLines="80" w:line="240" w:lineRule="auto"/>
        <w:jc w:val="center"/>
        <w:rPr>
          <w:bCs/>
          <w:sz w:val="48"/>
          <w:szCs w:val="48"/>
        </w:rPr>
      </w:pPr>
      <w:r>
        <w:rPr>
          <w:bCs/>
          <w:sz w:val="48"/>
          <w:szCs w:val="48"/>
        </w:rPr>
        <w:t>（污染影响类）</w:t>
      </w:r>
    </w:p>
    <w:p>
      <w:pPr>
        <w:adjustRightInd w:val="0"/>
        <w:snapToGrid w:val="0"/>
        <w:spacing w:line="288" w:lineRule="auto"/>
        <w:jc w:val="center"/>
        <w:outlineLvl w:val="0"/>
        <w:rPr>
          <w:kern w:val="44"/>
          <w:sz w:val="44"/>
          <w:szCs w:val="44"/>
        </w:rPr>
      </w:pPr>
    </w:p>
    <w:p>
      <w:pPr>
        <w:spacing w:line="240" w:lineRule="auto"/>
        <w:jc w:val="center"/>
        <w:rPr>
          <w:color w:val="0000FF"/>
          <w:sz w:val="52"/>
          <w:szCs w:val="52"/>
        </w:rPr>
      </w:pPr>
    </w:p>
    <w:p>
      <w:pPr>
        <w:spacing w:line="240" w:lineRule="auto"/>
        <w:ind w:firstLine="1040"/>
        <w:rPr>
          <w:color w:val="0000FF"/>
          <w:sz w:val="44"/>
          <w:szCs w:val="44"/>
        </w:rPr>
      </w:pPr>
    </w:p>
    <w:p>
      <w:pPr>
        <w:spacing w:line="240" w:lineRule="auto"/>
        <w:ind w:firstLine="1040"/>
        <w:rPr>
          <w:color w:val="0000FF"/>
          <w:sz w:val="44"/>
          <w:szCs w:val="44"/>
        </w:rPr>
      </w:pPr>
    </w:p>
    <w:p>
      <w:pPr>
        <w:spacing w:line="240" w:lineRule="auto"/>
        <w:ind w:firstLine="1040"/>
        <w:rPr>
          <w:color w:val="0000FF"/>
          <w:sz w:val="44"/>
          <w:szCs w:val="44"/>
        </w:rPr>
      </w:pPr>
    </w:p>
    <w:p>
      <w:pPr>
        <w:spacing w:line="240" w:lineRule="auto"/>
        <w:ind w:firstLine="1040"/>
        <w:rPr>
          <w:color w:val="0000FF"/>
          <w:sz w:val="44"/>
          <w:szCs w:val="44"/>
        </w:rPr>
      </w:pPr>
    </w:p>
    <w:p>
      <w:pPr>
        <w:adjustRightInd w:val="0"/>
        <w:snapToGrid w:val="0"/>
        <w:spacing w:line="288" w:lineRule="auto"/>
        <w:ind w:firstLine="1080" w:firstLineChars="300"/>
        <w:rPr>
          <w:sz w:val="36"/>
          <w:szCs w:val="36"/>
          <w:u w:val="single"/>
        </w:rPr>
      </w:pPr>
      <w:r>
        <w:rPr>
          <w:sz w:val="36"/>
          <w:szCs w:val="36"/>
        </w:rPr>
        <w:t>项目名称：</w:t>
      </w:r>
      <w:r>
        <w:rPr>
          <w:rFonts w:hint="eastAsia"/>
          <w:sz w:val="36"/>
          <w:szCs w:val="36"/>
          <w:u w:val="single"/>
        </w:rPr>
        <w:t xml:space="preserve">  辰溪县广润砂石加工</w:t>
      </w:r>
      <w:r>
        <w:rPr>
          <w:sz w:val="36"/>
          <w:szCs w:val="36"/>
          <w:u w:val="single"/>
        </w:rPr>
        <w:t>项目</w:t>
      </w:r>
      <w:r>
        <w:rPr>
          <w:rFonts w:hint="eastAsia"/>
          <w:sz w:val="36"/>
          <w:szCs w:val="36"/>
          <w:u w:val="single"/>
        </w:rPr>
        <w:t xml:space="preserve">  </w:t>
      </w:r>
    </w:p>
    <w:p>
      <w:pPr>
        <w:adjustRightInd w:val="0"/>
        <w:snapToGrid w:val="0"/>
        <w:spacing w:line="288" w:lineRule="auto"/>
        <w:ind w:firstLine="1080" w:firstLineChars="300"/>
        <w:rPr>
          <w:sz w:val="36"/>
          <w:szCs w:val="36"/>
          <w:u w:val="single"/>
        </w:rPr>
      </w:pPr>
      <w:r>
        <w:rPr>
          <w:sz w:val="36"/>
          <w:szCs w:val="36"/>
        </w:rPr>
        <w:t>建设单位：</w:t>
      </w:r>
      <w:r>
        <w:rPr>
          <w:rFonts w:hint="eastAsia"/>
          <w:sz w:val="36"/>
          <w:szCs w:val="36"/>
          <w:u w:val="single"/>
        </w:rPr>
        <w:t>辰溪县广润砂石有限责任</w:t>
      </w:r>
      <w:r>
        <w:rPr>
          <w:sz w:val="36"/>
          <w:szCs w:val="36"/>
          <w:u w:val="single"/>
        </w:rPr>
        <w:t>公司</w:t>
      </w:r>
    </w:p>
    <w:p>
      <w:pPr>
        <w:adjustRightInd w:val="0"/>
        <w:snapToGrid w:val="0"/>
        <w:spacing w:line="288" w:lineRule="auto"/>
        <w:ind w:firstLine="1080" w:firstLineChars="300"/>
        <w:rPr>
          <w:sz w:val="36"/>
          <w:szCs w:val="36"/>
          <w:u w:val="single"/>
        </w:rPr>
      </w:pPr>
      <w:r>
        <w:rPr>
          <w:sz w:val="36"/>
          <w:szCs w:val="36"/>
        </w:rPr>
        <w:t>编制日期：</w:t>
      </w:r>
      <w:r>
        <w:rPr>
          <w:sz w:val="36"/>
          <w:szCs w:val="36"/>
          <w:u w:val="single"/>
        </w:rPr>
        <w:t xml:space="preserve">  </w:t>
      </w:r>
      <w:r>
        <w:rPr>
          <w:rFonts w:hint="eastAsia"/>
          <w:sz w:val="36"/>
          <w:szCs w:val="36"/>
          <w:u w:val="single"/>
        </w:rPr>
        <w:t xml:space="preserve">  </w:t>
      </w:r>
      <w:r>
        <w:rPr>
          <w:sz w:val="36"/>
          <w:szCs w:val="36"/>
          <w:u w:val="single"/>
        </w:rPr>
        <w:t xml:space="preserve">    202</w:t>
      </w:r>
      <w:r>
        <w:rPr>
          <w:rFonts w:hint="eastAsia"/>
          <w:sz w:val="36"/>
          <w:szCs w:val="36"/>
          <w:u w:val="single"/>
          <w:lang w:val="en-US" w:eastAsia="zh-CN"/>
        </w:rPr>
        <w:t>4</w:t>
      </w:r>
      <w:r>
        <w:rPr>
          <w:sz w:val="36"/>
          <w:szCs w:val="36"/>
          <w:u w:val="single"/>
        </w:rPr>
        <w:t>年</w:t>
      </w:r>
      <w:r>
        <w:rPr>
          <w:rFonts w:hint="eastAsia"/>
          <w:sz w:val="36"/>
          <w:szCs w:val="36"/>
          <w:u w:val="single"/>
          <w:lang w:val="en-US" w:eastAsia="zh-CN"/>
        </w:rPr>
        <w:t>6</w:t>
      </w:r>
      <w:r>
        <w:rPr>
          <w:sz w:val="36"/>
          <w:szCs w:val="36"/>
          <w:u w:val="single"/>
        </w:rPr>
        <w:t>月</w:t>
      </w:r>
      <w:r>
        <w:rPr>
          <w:rFonts w:hint="eastAsia"/>
          <w:sz w:val="36"/>
          <w:szCs w:val="36"/>
          <w:u w:val="single"/>
        </w:rPr>
        <w:t xml:space="preserve">        </w:t>
      </w:r>
    </w:p>
    <w:p>
      <w:pPr>
        <w:adjustRightInd w:val="0"/>
        <w:snapToGrid w:val="0"/>
        <w:spacing w:line="288" w:lineRule="auto"/>
        <w:ind w:firstLine="1040"/>
        <w:rPr>
          <w:color w:val="0000FF"/>
          <w:sz w:val="36"/>
          <w:szCs w:val="36"/>
        </w:rPr>
      </w:pPr>
      <w:bookmarkStart w:id="2" w:name="_Hlk57884087"/>
    </w:p>
    <w:p>
      <w:pPr>
        <w:adjustRightInd w:val="0"/>
        <w:snapToGrid w:val="0"/>
        <w:spacing w:line="288" w:lineRule="auto"/>
        <w:ind w:firstLine="1040"/>
        <w:rPr>
          <w:color w:val="0000FF"/>
          <w:sz w:val="36"/>
          <w:szCs w:val="36"/>
        </w:rPr>
      </w:pPr>
    </w:p>
    <w:p>
      <w:pPr>
        <w:adjustRightInd w:val="0"/>
        <w:snapToGrid w:val="0"/>
        <w:spacing w:line="288" w:lineRule="auto"/>
        <w:ind w:firstLine="1040"/>
        <w:rPr>
          <w:color w:val="0000FF"/>
          <w:sz w:val="36"/>
          <w:szCs w:val="36"/>
        </w:rPr>
      </w:pPr>
    </w:p>
    <w:p>
      <w:pPr>
        <w:adjustRightInd w:val="0"/>
        <w:snapToGrid w:val="0"/>
        <w:spacing w:line="288" w:lineRule="auto"/>
        <w:ind w:firstLine="1040"/>
        <w:rPr>
          <w:color w:val="0000FF"/>
          <w:sz w:val="36"/>
          <w:szCs w:val="36"/>
        </w:rPr>
      </w:pPr>
    </w:p>
    <w:p>
      <w:pPr>
        <w:adjustRightInd w:val="0"/>
        <w:snapToGrid w:val="0"/>
        <w:spacing w:line="288" w:lineRule="auto"/>
        <w:ind w:firstLine="1040"/>
        <w:rPr>
          <w:sz w:val="36"/>
          <w:szCs w:val="36"/>
        </w:rPr>
      </w:pPr>
    </w:p>
    <w:bookmarkEnd w:id="2"/>
    <w:p>
      <w:pPr>
        <w:adjustRightInd w:val="0"/>
        <w:snapToGrid w:val="0"/>
        <w:spacing w:line="288" w:lineRule="auto"/>
        <w:jc w:val="center"/>
        <w:rPr>
          <w:sz w:val="36"/>
          <w:szCs w:val="36"/>
        </w:rPr>
        <w:sectPr>
          <w:footerReference r:id="rId5" w:type="default"/>
          <w:footerReference r:id="rId6" w:type="even"/>
          <w:pgSz w:w="11906" w:h="16838"/>
          <w:pgMar w:top="1701" w:right="1531" w:bottom="1701" w:left="1531" w:header="851" w:footer="1077" w:gutter="0"/>
          <w:pgNumType w:start="3"/>
          <w:cols w:space="720" w:num="1"/>
          <w:docGrid w:linePitch="312" w:charSpace="0"/>
        </w:sectPr>
      </w:pPr>
      <w:bookmarkStart w:id="113" w:name="_GoBack"/>
      <w:r>
        <w:rPr>
          <w:sz w:val="36"/>
          <w:szCs w:val="36"/>
        </w:rPr>
        <w:t>中华人民共和国生态环境部制</w:t>
      </w:r>
      <w:r>
        <w:drawing>
          <wp:inline distT="0" distB="0" distL="114300" distR="114300">
            <wp:extent cx="5615305" cy="6019800"/>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615305" cy="6019800"/>
                    </a:xfrm>
                    <a:prstGeom prst="rect">
                      <a:avLst/>
                    </a:prstGeom>
                    <a:noFill/>
                    <a:ln>
                      <a:noFill/>
                    </a:ln>
                  </pic:spPr>
                </pic:pic>
              </a:graphicData>
            </a:graphic>
          </wp:inline>
        </w:drawing>
      </w:r>
    </w:p>
    <w:bookmarkEnd w:id="113"/>
    <w:p>
      <w:pPr>
        <w:pStyle w:val="10"/>
        <w:rPr>
          <w:color w:val="0000FF"/>
          <w:sz w:val="30"/>
          <w:szCs w:val="30"/>
        </w:rPr>
      </w:pPr>
    </w:p>
    <w:p>
      <w:pPr>
        <w:rPr>
          <w:color w:val="0000FF"/>
          <w:sz w:val="30"/>
          <w:szCs w:val="30"/>
        </w:rPr>
      </w:pPr>
    </w:p>
    <w:p>
      <w:pPr>
        <w:pStyle w:val="17"/>
        <w:tabs>
          <w:tab w:val="right" w:leader="dot" w:pos="8844"/>
        </w:tabs>
        <w:jc w:val="center"/>
        <w:rPr>
          <w:color w:val="0000FF"/>
          <w:sz w:val="30"/>
          <w:szCs w:val="30"/>
        </w:rPr>
      </w:pPr>
      <w:r>
        <w:rPr>
          <w:color w:val="0000FF"/>
        </w:rPr>
        <w:fldChar w:fldCharType="begin"/>
      </w:r>
      <w:r>
        <w:rPr>
          <w:color w:val="0000FF"/>
        </w:rPr>
        <w:instrText xml:space="preserve">TOC \o "1-1" \h \u </w:instrText>
      </w:r>
      <w:r>
        <w:rPr>
          <w:color w:val="0000FF"/>
        </w:rPr>
        <w:fldChar w:fldCharType="separate"/>
      </w:r>
      <w:r>
        <w:rPr>
          <w:color w:val="0000FF"/>
          <w:sz w:val="30"/>
          <w:szCs w:val="30"/>
        </w:rPr>
        <w:t>目  录</w:t>
      </w:r>
    </w:p>
    <w:p>
      <w:pPr>
        <w:pStyle w:val="17"/>
        <w:tabs>
          <w:tab w:val="right" w:leader="dot" w:pos="8844"/>
        </w:tabs>
        <w:rPr>
          <w:color w:val="0000FF"/>
        </w:rPr>
      </w:pPr>
      <w:r>
        <w:fldChar w:fldCharType="begin"/>
      </w:r>
      <w:r>
        <w:instrText xml:space="preserve"> HYPERLINK \l "_Toc10947" </w:instrText>
      </w:r>
      <w:r>
        <w:fldChar w:fldCharType="separate"/>
      </w:r>
      <w:r>
        <w:rPr>
          <w:snapToGrid w:val="0"/>
          <w:color w:val="0000FF"/>
        </w:rPr>
        <w:t>一、 建设项目基本情况</w:t>
      </w:r>
      <w:r>
        <w:rPr>
          <w:color w:val="0000FF"/>
        </w:rPr>
        <w:tab/>
      </w:r>
      <w:r>
        <w:rPr>
          <w:color w:val="0000FF"/>
        </w:rPr>
        <w:fldChar w:fldCharType="begin"/>
      </w:r>
      <w:r>
        <w:rPr>
          <w:color w:val="0000FF"/>
        </w:rPr>
        <w:instrText xml:space="preserve"> PAGEREF _Toc10947 </w:instrText>
      </w:r>
      <w:r>
        <w:rPr>
          <w:color w:val="0000FF"/>
        </w:rPr>
        <w:fldChar w:fldCharType="separate"/>
      </w:r>
      <w:r>
        <w:rPr>
          <w:color w:val="0000FF"/>
        </w:rPr>
        <w:t>1</w:t>
      </w:r>
      <w:r>
        <w:rPr>
          <w:color w:val="0000FF"/>
        </w:rPr>
        <w:fldChar w:fldCharType="end"/>
      </w:r>
      <w:r>
        <w:rPr>
          <w:color w:val="0000FF"/>
        </w:rPr>
        <w:fldChar w:fldCharType="end"/>
      </w:r>
    </w:p>
    <w:p>
      <w:pPr>
        <w:pStyle w:val="17"/>
        <w:tabs>
          <w:tab w:val="right" w:leader="dot" w:pos="8844"/>
        </w:tabs>
        <w:rPr>
          <w:rFonts w:hint="eastAsia" w:eastAsia="宋体"/>
          <w:color w:val="0000FF"/>
          <w:lang w:eastAsia="zh-CN"/>
        </w:rPr>
      </w:pPr>
      <w:r>
        <w:fldChar w:fldCharType="begin"/>
      </w:r>
      <w:r>
        <w:instrText xml:space="preserve"> HYPERLINK \l "_Toc26197" </w:instrText>
      </w:r>
      <w:r>
        <w:fldChar w:fldCharType="separate"/>
      </w:r>
      <w:r>
        <w:rPr>
          <w:color w:val="0000FF"/>
        </w:rPr>
        <w:t>二</w:t>
      </w:r>
      <w:r>
        <w:rPr>
          <w:snapToGrid w:val="0"/>
          <w:color w:val="0000FF"/>
        </w:rPr>
        <w:t>、 建设项目工程分析</w:t>
      </w:r>
      <w:r>
        <w:rPr>
          <w:color w:val="0000FF"/>
        </w:rPr>
        <w:tab/>
      </w:r>
      <w:r>
        <w:rPr>
          <w:color w:val="0000FF"/>
        </w:rPr>
        <w:fldChar w:fldCharType="begin"/>
      </w:r>
      <w:r>
        <w:rPr>
          <w:color w:val="0000FF"/>
        </w:rPr>
        <w:instrText xml:space="preserve"> PAGEREF _Toc26197 </w:instrText>
      </w:r>
      <w:r>
        <w:rPr>
          <w:color w:val="0000FF"/>
        </w:rPr>
        <w:fldChar w:fldCharType="separate"/>
      </w:r>
      <w:r>
        <w:rPr>
          <w:color w:val="0000FF"/>
        </w:rPr>
        <w:t>1</w:t>
      </w:r>
      <w:r>
        <w:rPr>
          <w:color w:val="0000FF"/>
        </w:rPr>
        <w:fldChar w:fldCharType="end"/>
      </w:r>
      <w:r>
        <w:rPr>
          <w:color w:val="0000FF"/>
        </w:rPr>
        <w:fldChar w:fldCharType="end"/>
      </w:r>
      <w:r>
        <w:rPr>
          <w:rFonts w:hint="eastAsia"/>
          <w:color w:val="0000FF"/>
          <w:lang w:val="en-US" w:eastAsia="zh-CN"/>
        </w:rPr>
        <w:t>3</w:t>
      </w:r>
    </w:p>
    <w:p>
      <w:pPr>
        <w:pStyle w:val="17"/>
        <w:tabs>
          <w:tab w:val="right" w:leader="dot" w:pos="8844"/>
        </w:tabs>
        <w:rPr>
          <w:rFonts w:hint="default" w:eastAsia="宋体"/>
          <w:color w:val="0000FF"/>
          <w:lang w:val="en-US" w:eastAsia="zh-CN"/>
        </w:rPr>
      </w:pPr>
      <w:r>
        <w:fldChar w:fldCharType="begin"/>
      </w:r>
      <w:r>
        <w:instrText xml:space="preserve"> HYPERLINK \l "_Toc26727" </w:instrText>
      </w:r>
      <w:r>
        <w:fldChar w:fldCharType="separate"/>
      </w:r>
      <w:r>
        <w:rPr>
          <w:color w:val="0000FF"/>
        </w:rPr>
        <w:t>三</w:t>
      </w:r>
      <w:r>
        <w:rPr>
          <w:snapToGrid w:val="0"/>
          <w:color w:val="0000FF"/>
        </w:rPr>
        <w:t>、 区域环境质量现状、环境保护目标及评价标准</w:t>
      </w:r>
      <w:r>
        <w:rPr>
          <w:color w:val="0000FF"/>
        </w:rPr>
        <w:tab/>
      </w:r>
      <w:r>
        <w:rPr>
          <w:color w:val="0000FF"/>
        </w:rPr>
        <w:fldChar w:fldCharType="end"/>
      </w:r>
      <w:r>
        <w:rPr>
          <w:rFonts w:hint="eastAsia"/>
          <w:color w:val="0000FF"/>
          <w:lang w:val="en-US" w:eastAsia="zh-CN"/>
        </w:rPr>
        <w:t>23</w:t>
      </w:r>
    </w:p>
    <w:p>
      <w:pPr>
        <w:pStyle w:val="17"/>
        <w:tabs>
          <w:tab w:val="right" w:leader="dot" w:pos="8844"/>
        </w:tabs>
        <w:rPr>
          <w:rFonts w:hint="default" w:eastAsia="宋体"/>
          <w:color w:val="0000FF"/>
          <w:lang w:val="en-US" w:eastAsia="zh-CN"/>
        </w:rPr>
      </w:pPr>
      <w:r>
        <w:fldChar w:fldCharType="begin"/>
      </w:r>
      <w:r>
        <w:instrText xml:space="preserve"> HYPERLINK \l "_Toc7084" </w:instrText>
      </w:r>
      <w:r>
        <w:fldChar w:fldCharType="separate"/>
      </w:r>
      <w:r>
        <w:rPr>
          <w:snapToGrid w:val="0"/>
          <w:color w:val="0000FF"/>
        </w:rPr>
        <w:t>四、 主要环境影响和保护措施</w:t>
      </w:r>
      <w:r>
        <w:rPr>
          <w:color w:val="0000FF"/>
        </w:rPr>
        <w:tab/>
      </w:r>
      <w:r>
        <w:rPr>
          <w:color w:val="0000FF"/>
        </w:rPr>
        <w:fldChar w:fldCharType="end"/>
      </w:r>
      <w:r>
        <w:rPr>
          <w:rFonts w:hint="eastAsia"/>
          <w:color w:val="0000FF"/>
          <w:lang w:val="en-US" w:eastAsia="zh-CN"/>
        </w:rPr>
        <w:t>35</w:t>
      </w:r>
    </w:p>
    <w:p>
      <w:pPr>
        <w:pStyle w:val="17"/>
        <w:tabs>
          <w:tab w:val="right" w:leader="dot" w:pos="8844"/>
        </w:tabs>
        <w:rPr>
          <w:rFonts w:hint="eastAsia" w:eastAsia="宋体"/>
          <w:color w:val="0000FF"/>
          <w:lang w:eastAsia="zh-CN"/>
        </w:rPr>
      </w:pPr>
      <w:r>
        <w:fldChar w:fldCharType="begin"/>
      </w:r>
      <w:r>
        <w:instrText xml:space="preserve"> HYPERLINK \l "_Toc21420" </w:instrText>
      </w:r>
      <w:r>
        <w:fldChar w:fldCharType="separate"/>
      </w:r>
      <w:r>
        <w:rPr>
          <w:snapToGrid w:val="0"/>
          <w:color w:val="0000FF"/>
        </w:rPr>
        <w:t>五、 环境保护措施监督检查清单</w:t>
      </w:r>
      <w:r>
        <w:rPr>
          <w:color w:val="0000FF"/>
        </w:rPr>
        <w:tab/>
      </w:r>
      <w:r>
        <w:rPr>
          <w:color w:val="0000FF"/>
        </w:rPr>
        <w:fldChar w:fldCharType="end"/>
      </w:r>
      <w:r>
        <w:rPr>
          <w:rFonts w:hint="eastAsia"/>
          <w:color w:val="0000FF"/>
          <w:lang w:val="en-US" w:eastAsia="zh-CN"/>
        </w:rPr>
        <w:t>63</w:t>
      </w:r>
    </w:p>
    <w:p>
      <w:pPr>
        <w:pStyle w:val="17"/>
        <w:tabs>
          <w:tab w:val="right" w:leader="dot" w:pos="8844"/>
        </w:tabs>
        <w:rPr>
          <w:rFonts w:hint="eastAsia" w:eastAsia="宋体"/>
          <w:color w:val="0000FF"/>
          <w:lang w:eastAsia="zh-CN"/>
        </w:rPr>
      </w:pPr>
      <w:r>
        <w:fldChar w:fldCharType="begin"/>
      </w:r>
      <w:r>
        <w:instrText xml:space="preserve"> HYPERLINK \l "_Toc29005" </w:instrText>
      </w:r>
      <w:r>
        <w:fldChar w:fldCharType="separate"/>
      </w:r>
      <w:r>
        <w:rPr>
          <w:snapToGrid w:val="0"/>
          <w:color w:val="0000FF"/>
        </w:rPr>
        <w:t>六、 结论</w:t>
      </w:r>
      <w:r>
        <w:rPr>
          <w:color w:val="0000FF"/>
        </w:rPr>
        <w:tab/>
      </w:r>
      <w:r>
        <w:rPr>
          <w:color w:val="0000FF"/>
        </w:rPr>
        <w:fldChar w:fldCharType="end"/>
      </w:r>
      <w:r>
        <w:rPr>
          <w:rFonts w:hint="eastAsia"/>
          <w:color w:val="0000FF"/>
          <w:lang w:val="en-US" w:eastAsia="zh-CN"/>
        </w:rPr>
        <w:t>65</w:t>
      </w:r>
    </w:p>
    <w:p>
      <w:pPr>
        <w:pStyle w:val="17"/>
        <w:tabs>
          <w:tab w:val="right" w:leader="dot" w:pos="8844"/>
        </w:tabs>
        <w:rPr>
          <w:rFonts w:hint="eastAsia" w:eastAsia="宋体"/>
          <w:color w:val="0000FF"/>
          <w:lang w:eastAsia="zh-CN"/>
        </w:rPr>
      </w:pPr>
      <w:r>
        <w:fldChar w:fldCharType="begin"/>
      </w:r>
      <w:r>
        <w:instrText xml:space="preserve"> HYPERLINK \l "_Toc19927" </w:instrText>
      </w:r>
      <w:r>
        <w:fldChar w:fldCharType="separate"/>
      </w:r>
      <w:r>
        <w:rPr>
          <w:snapToGrid w:val="0"/>
          <w:color w:val="0000FF"/>
          <w:kern w:val="0"/>
          <w:szCs w:val="32"/>
        </w:rPr>
        <w:t>附表</w:t>
      </w:r>
      <w:r>
        <w:rPr>
          <w:color w:val="0000FF"/>
        </w:rPr>
        <w:tab/>
      </w:r>
      <w:r>
        <w:rPr>
          <w:color w:val="0000FF"/>
        </w:rPr>
        <w:fldChar w:fldCharType="end"/>
      </w:r>
      <w:r>
        <w:rPr>
          <w:rFonts w:hint="eastAsia"/>
          <w:color w:val="0000FF"/>
          <w:lang w:val="en-US" w:eastAsia="zh-CN"/>
        </w:rPr>
        <w:t>66</w:t>
      </w:r>
    </w:p>
    <w:p>
      <w:pPr>
        <w:pStyle w:val="17"/>
        <w:tabs>
          <w:tab w:val="right" w:leader="dot" w:pos="8844"/>
        </w:tabs>
        <w:rPr>
          <w:rFonts w:hint="eastAsia" w:eastAsia="宋体"/>
          <w:color w:val="0000FF"/>
          <w:lang w:eastAsia="zh-CN"/>
        </w:rPr>
      </w:pPr>
      <w:r>
        <w:fldChar w:fldCharType="begin"/>
      </w:r>
      <w:r>
        <w:instrText xml:space="preserve"> HYPERLINK \l "_Toc9062" </w:instrText>
      </w:r>
      <w:r>
        <w:fldChar w:fldCharType="separate"/>
      </w:r>
      <w:r>
        <w:rPr>
          <w:snapToGrid w:val="0"/>
          <w:color w:val="0000FF"/>
          <w:kern w:val="0"/>
          <w:szCs w:val="38"/>
        </w:rPr>
        <w:t>建设项目污染物排放量汇总表</w:t>
      </w:r>
      <w:r>
        <w:rPr>
          <w:color w:val="0000FF"/>
        </w:rPr>
        <w:tab/>
      </w:r>
      <w:r>
        <w:rPr>
          <w:color w:val="0000FF"/>
        </w:rPr>
        <w:fldChar w:fldCharType="end"/>
      </w:r>
      <w:r>
        <w:rPr>
          <w:rFonts w:hint="eastAsia"/>
          <w:color w:val="0000FF"/>
          <w:lang w:val="en-US" w:eastAsia="zh-CN"/>
        </w:rPr>
        <w:t>66</w:t>
      </w:r>
    </w:p>
    <w:p>
      <w:pPr>
        <w:spacing w:line="240" w:lineRule="auto"/>
        <w:rPr>
          <w:color w:val="auto"/>
        </w:rPr>
      </w:pPr>
      <w:r>
        <w:rPr>
          <w:color w:val="0000FF"/>
        </w:rPr>
        <w:fldChar w:fldCharType="end"/>
      </w:r>
      <w:r>
        <w:rPr>
          <w:color w:val="auto"/>
        </w:rPr>
        <w:t>附件</w:t>
      </w:r>
    </w:p>
    <w:p>
      <w:pPr>
        <w:spacing w:line="240" w:lineRule="auto"/>
        <w:ind w:firstLine="480" w:firstLineChars="200"/>
        <w:rPr>
          <w:color w:val="0000FF"/>
        </w:rPr>
      </w:pPr>
      <w:r>
        <w:rPr>
          <w:color w:val="auto"/>
        </w:rPr>
        <w:t>附件1：</w:t>
      </w:r>
      <w:r>
        <w:rPr>
          <w:rFonts w:hint="eastAsia"/>
          <w:color w:val="auto"/>
        </w:rPr>
        <w:t>环评委托书</w:t>
      </w:r>
    </w:p>
    <w:p>
      <w:pPr>
        <w:spacing w:line="240" w:lineRule="auto"/>
        <w:ind w:firstLine="480" w:firstLineChars="200"/>
      </w:pPr>
      <w:r>
        <w:t>附件2：</w:t>
      </w:r>
      <w:r>
        <w:rPr>
          <w:rFonts w:hint="eastAsia"/>
        </w:rPr>
        <w:t>备案证明</w:t>
      </w:r>
    </w:p>
    <w:p>
      <w:pPr>
        <w:spacing w:line="240" w:lineRule="auto"/>
        <w:ind w:firstLine="480" w:firstLineChars="200"/>
      </w:pPr>
      <w:r>
        <w:t>附件</w:t>
      </w:r>
      <w:r>
        <w:rPr>
          <w:rFonts w:hint="eastAsia"/>
        </w:rPr>
        <w:t>3</w:t>
      </w:r>
      <w:r>
        <w:t>：</w:t>
      </w:r>
      <w:r>
        <w:rPr>
          <w:rFonts w:hint="eastAsia"/>
        </w:rPr>
        <w:t>营业执照</w:t>
      </w:r>
    </w:p>
    <w:p>
      <w:pPr>
        <w:spacing w:line="240" w:lineRule="auto"/>
        <w:ind w:firstLine="480" w:firstLineChars="200"/>
      </w:pPr>
      <w:r>
        <w:t>附件</w:t>
      </w:r>
      <w:r>
        <w:rPr>
          <w:rFonts w:hint="eastAsia"/>
        </w:rPr>
        <w:t>4</w:t>
      </w:r>
      <w:r>
        <w:t>：</w:t>
      </w:r>
      <w:r>
        <w:rPr>
          <w:rFonts w:hint="eastAsia"/>
        </w:rPr>
        <w:t>用地手续</w:t>
      </w:r>
    </w:p>
    <w:p>
      <w:pPr>
        <w:spacing w:line="240" w:lineRule="auto"/>
        <w:ind w:firstLine="480" w:firstLineChars="200"/>
      </w:pPr>
      <w:r>
        <w:rPr>
          <w:rFonts w:hint="eastAsia"/>
        </w:rPr>
        <w:t>附件5：</w:t>
      </w:r>
      <w:r>
        <w:t>检测报告</w:t>
      </w:r>
    </w:p>
    <w:p>
      <w:pPr>
        <w:spacing w:line="240" w:lineRule="auto"/>
        <w:ind w:firstLine="480" w:firstLineChars="200"/>
        <w:rPr>
          <w:color w:val="auto"/>
        </w:rPr>
      </w:pPr>
      <w:r>
        <w:rPr>
          <w:color w:val="auto"/>
        </w:rPr>
        <w:t>附件</w:t>
      </w:r>
      <w:r>
        <w:rPr>
          <w:rFonts w:hint="eastAsia"/>
          <w:color w:val="auto"/>
        </w:rPr>
        <w:t>6</w:t>
      </w:r>
      <w:r>
        <w:rPr>
          <w:color w:val="auto"/>
        </w:rPr>
        <w:t>：</w:t>
      </w:r>
      <w:r>
        <w:rPr>
          <w:rFonts w:hint="default" w:ascii="Times New Roman" w:hAnsi="Times New Roman" w:eastAsia="宋体" w:cs="Times New Roman"/>
          <w:color w:val="auto"/>
          <w:u w:val="none"/>
          <w:lang w:val="en-US" w:eastAsia="zh-CN"/>
        </w:rPr>
        <w:t>怀化市生态环境局行政处罚决定书（怀</w:t>
      </w:r>
      <w:r>
        <w:rPr>
          <w:rFonts w:hint="eastAsia" w:cs="Times New Roman"/>
          <w:color w:val="auto"/>
          <w:u w:val="none"/>
          <w:lang w:val="en-US" w:eastAsia="zh-CN"/>
        </w:rPr>
        <w:t>环辰罚[</w:t>
      </w:r>
      <w:r>
        <w:rPr>
          <w:rFonts w:hint="default" w:ascii="Times New Roman" w:hAnsi="Times New Roman" w:eastAsia="宋体" w:cs="Times New Roman"/>
          <w:color w:val="auto"/>
          <w:u w:val="none"/>
          <w:lang w:val="en-US" w:eastAsia="zh-CN"/>
        </w:rPr>
        <w:t>202</w:t>
      </w:r>
      <w:r>
        <w:rPr>
          <w:rFonts w:hint="eastAsia" w:cs="Times New Roman"/>
          <w:color w:val="auto"/>
          <w:u w:val="none"/>
          <w:lang w:val="en-US" w:eastAsia="zh-CN"/>
        </w:rPr>
        <w:t>3]6</w:t>
      </w:r>
      <w:r>
        <w:rPr>
          <w:rFonts w:hint="default" w:ascii="Times New Roman" w:hAnsi="Times New Roman" w:eastAsia="宋体" w:cs="Times New Roman"/>
          <w:color w:val="auto"/>
          <w:u w:val="none"/>
          <w:lang w:val="en-US" w:eastAsia="zh-CN"/>
        </w:rPr>
        <w:t>号）</w:t>
      </w:r>
      <w:r>
        <w:rPr>
          <w:rFonts w:hint="eastAsia" w:ascii="Times New Roman" w:hAnsi="Times New Roman" w:eastAsia="宋体" w:cs="Times New Roman"/>
          <w:color w:val="auto"/>
          <w:u w:val="none"/>
          <w:lang w:val="en-US" w:eastAsia="zh-CN"/>
        </w:rPr>
        <w:t>及</w:t>
      </w:r>
      <w:r>
        <w:rPr>
          <w:rFonts w:hint="default" w:ascii="Times New Roman" w:hAnsi="Times New Roman" w:eastAsia="宋体" w:cs="Times New Roman"/>
          <w:color w:val="auto"/>
          <w:u w:val="none"/>
        </w:rPr>
        <w:t>罚款缴纳</w:t>
      </w:r>
      <w:r>
        <w:rPr>
          <w:rFonts w:hint="eastAsia" w:ascii="Times New Roman" w:hAnsi="Times New Roman" w:eastAsia="宋体" w:cs="Times New Roman"/>
          <w:color w:val="auto"/>
          <w:u w:val="none"/>
        </w:rPr>
        <w:t>单</w:t>
      </w:r>
    </w:p>
    <w:p>
      <w:pPr>
        <w:spacing w:line="240" w:lineRule="auto"/>
        <w:rPr>
          <w:rFonts w:hint="default" w:eastAsia="宋体"/>
          <w:lang w:val="en-US" w:eastAsia="zh-CN"/>
        </w:rPr>
      </w:pPr>
      <w:r>
        <w:rPr>
          <w:rFonts w:hint="eastAsia"/>
          <w:lang w:val="en-US" w:eastAsia="zh-CN"/>
        </w:rPr>
        <w:t xml:space="preserve">    附件7：项目不在生态保护红线的证明</w:t>
      </w:r>
    </w:p>
    <w:p>
      <w:pPr>
        <w:spacing w:line="240" w:lineRule="auto"/>
        <w:rPr>
          <w:rFonts w:hint="eastAsia" w:eastAsia="宋体"/>
          <w:lang w:val="en-US" w:eastAsia="zh-CN"/>
        </w:rPr>
      </w:pPr>
      <w:r>
        <w:rPr>
          <w:rFonts w:hint="eastAsia"/>
          <w:lang w:val="en-US" w:eastAsia="zh-CN"/>
        </w:rPr>
        <w:t xml:space="preserve">    附件8：</w:t>
      </w:r>
      <w:r>
        <w:rPr>
          <w:rFonts w:ascii="Helvetica" w:hAnsi="Helvetica" w:eastAsia="Helvetica" w:cs="Helvetica"/>
          <w:i w:val="0"/>
          <w:iCs w:val="0"/>
          <w:caps w:val="0"/>
          <w:color w:val="3D3D3D"/>
          <w:spacing w:val="0"/>
          <w:sz w:val="24"/>
          <w:szCs w:val="24"/>
          <w:shd w:val="clear" w:fill="FFFFFF"/>
        </w:rPr>
        <w:t>辰溪县第二水厂供水工程项目</w:t>
      </w:r>
      <w:r>
        <w:rPr>
          <w:rFonts w:hint="eastAsia"/>
          <w:bCs/>
          <w:color w:val="auto"/>
          <w:sz w:val="24"/>
        </w:rPr>
        <w:t>环境影响报告表</w:t>
      </w:r>
      <w:r>
        <w:rPr>
          <w:rFonts w:hint="eastAsia"/>
          <w:bCs/>
          <w:color w:val="auto"/>
          <w:sz w:val="24"/>
          <w:lang w:eastAsia="zh-CN"/>
        </w:rPr>
        <w:t>批复</w:t>
      </w:r>
    </w:p>
    <w:p>
      <w:pPr>
        <w:spacing w:line="240" w:lineRule="auto"/>
        <w:rPr>
          <w:rFonts w:hint="default" w:eastAsia="宋体"/>
          <w:lang w:val="en-US" w:eastAsia="zh-CN"/>
        </w:rPr>
      </w:pPr>
      <w:r>
        <w:rPr>
          <w:rFonts w:hint="eastAsia"/>
          <w:lang w:val="en-US" w:eastAsia="zh-CN"/>
        </w:rPr>
        <w:t xml:space="preserve">    附件9：关于辰溪广润砂石集散中心项目涉河管理事项的批复</w:t>
      </w:r>
    </w:p>
    <w:p>
      <w:pPr>
        <w:spacing w:line="240" w:lineRule="auto"/>
        <w:ind w:firstLine="480"/>
        <w:rPr>
          <w:rFonts w:hint="default" w:eastAsia="宋体"/>
          <w:lang w:val="en-US" w:eastAsia="zh-CN"/>
        </w:rPr>
      </w:pPr>
      <w:r>
        <w:rPr>
          <w:rFonts w:hint="eastAsia"/>
          <w:highlight w:val="none"/>
          <w:lang w:eastAsia="zh-CN"/>
        </w:rPr>
        <w:t>附件</w:t>
      </w:r>
      <w:r>
        <w:rPr>
          <w:rFonts w:hint="eastAsia"/>
          <w:highlight w:val="none"/>
          <w:lang w:val="en-US" w:eastAsia="zh-CN"/>
        </w:rPr>
        <w:t>10：关于</w:t>
      </w:r>
      <w:r>
        <w:rPr>
          <w:rFonts w:hint="default" w:ascii="Times New Roman" w:hAnsi="Times New Roman" w:eastAsia="宋体" w:cs="Times New Roman"/>
          <w:spacing w:val="-6"/>
          <w:u w:val="none"/>
          <w:lang w:eastAsia="zh-CN"/>
        </w:rPr>
        <w:t>沅水洪江至辰溪航道建设工程</w:t>
      </w:r>
      <w:r>
        <w:rPr>
          <w:rFonts w:hint="eastAsia" w:ascii="Times New Roman" w:hAnsi="Times New Roman" w:eastAsia="宋体" w:cs="Times New Roman"/>
          <w:spacing w:val="-6"/>
          <w:u w:val="none"/>
          <w:lang w:eastAsia="zh-CN"/>
        </w:rPr>
        <w:t>环境影响报告书的批复</w:t>
      </w:r>
    </w:p>
    <w:p>
      <w:pPr>
        <w:spacing w:line="240" w:lineRule="auto"/>
        <w:ind w:firstLine="480" w:firstLineChars="200"/>
      </w:pPr>
      <w:r>
        <w:rPr>
          <w:rFonts w:hint="eastAsia"/>
          <w:lang w:val="en-US" w:eastAsia="zh-CN"/>
        </w:rPr>
        <w:t>附件11：</w:t>
      </w:r>
      <w:r>
        <w:rPr>
          <w:rFonts w:hint="eastAsia"/>
          <w:bCs/>
          <w:lang w:val="en-US" w:eastAsia="zh-CN"/>
        </w:rPr>
        <w:t>关于辰溪佳润公司二水厂滩头取水点的函</w:t>
      </w:r>
    </w:p>
    <w:p>
      <w:pPr>
        <w:spacing w:line="240" w:lineRule="auto"/>
        <w:ind w:firstLine="480" w:firstLineChars="200"/>
      </w:pPr>
      <w:r>
        <w:rPr>
          <w:rFonts w:hint="eastAsia"/>
          <w:lang w:val="en-US" w:eastAsia="zh-CN"/>
        </w:rPr>
        <w:t>附件12：</w:t>
      </w:r>
      <w:r>
        <w:rPr>
          <w:rFonts w:hint="eastAsia"/>
          <w:bCs/>
          <w:highlight w:val="none"/>
          <w:lang w:val="en-US" w:eastAsia="zh-CN"/>
        </w:rPr>
        <w:t>辰溪县砂石有限责任公司的承诺书</w:t>
      </w:r>
    </w:p>
    <w:p>
      <w:pPr>
        <w:spacing w:line="240" w:lineRule="auto"/>
        <w:ind w:firstLine="480"/>
        <w:rPr>
          <w:rFonts w:hint="eastAsia"/>
          <w:lang w:val="en-US" w:eastAsia="zh-CN"/>
        </w:rPr>
      </w:pPr>
      <w:r>
        <w:rPr>
          <w:rFonts w:hint="eastAsia"/>
          <w:lang w:val="en-US" w:eastAsia="zh-CN"/>
        </w:rPr>
        <w:t>附件13：辰溪县人民政府专题会议纪要</w:t>
      </w:r>
    </w:p>
    <w:p>
      <w:pPr>
        <w:spacing w:line="240" w:lineRule="auto"/>
        <w:ind w:firstLine="480"/>
        <w:rPr>
          <w:rFonts w:hint="eastAsia"/>
          <w:highlight w:val="none"/>
          <w:u w:val="single" w:color="auto"/>
          <w:lang w:val="en-US" w:eastAsia="zh-CN"/>
        </w:rPr>
      </w:pPr>
      <w:r>
        <w:rPr>
          <w:rFonts w:hint="eastAsia"/>
          <w:highlight w:val="none"/>
          <w:u w:val="single" w:color="auto"/>
          <w:lang w:val="en-US" w:eastAsia="zh-CN"/>
        </w:rPr>
        <w:t>附件14：原料来源说明</w:t>
      </w:r>
    </w:p>
    <w:p>
      <w:pPr>
        <w:spacing w:line="240" w:lineRule="auto"/>
        <w:ind w:firstLine="480"/>
        <w:rPr>
          <w:rFonts w:hint="default" w:eastAsia="宋体"/>
          <w:lang w:val="en-US" w:eastAsia="zh-CN"/>
        </w:rPr>
      </w:pPr>
      <w:r>
        <w:rPr>
          <w:rFonts w:hint="eastAsia"/>
          <w:highlight w:val="none"/>
          <w:u w:val="single" w:color="auto"/>
          <w:lang w:val="en-US" w:eastAsia="zh-CN"/>
        </w:rPr>
        <w:t>附件15：</w:t>
      </w:r>
      <w:r>
        <w:rPr>
          <w:rFonts w:hint="eastAsia" w:ascii="Times New Roman" w:hAnsi="Times New Roman" w:eastAsia="宋体" w:cs="Times New Roman"/>
          <w:color w:val="auto"/>
          <w:highlight w:val="none"/>
          <w:u w:val="single" w:color="auto"/>
          <w:lang w:val="en-US" w:eastAsia="zh-CN"/>
        </w:rPr>
        <w:t>专家综合意见及签到表</w:t>
      </w:r>
    </w:p>
    <w:p>
      <w:pPr>
        <w:spacing w:line="240" w:lineRule="auto"/>
      </w:pPr>
      <w:r>
        <w:t>附图</w:t>
      </w:r>
    </w:p>
    <w:p>
      <w:pPr>
        <w:spacing w:line="240" w:lineRule="auto"/>
        <w:ind w:firstLine="480" w:firstLineChars="200"/>
      </w:pPr>
      <w:r>
        <w:t>附图1：项目地理位置图</w:t>
      </w:r>
    </w:p>
    <w:p>
      <w:pPr>
        <w:spacing w:line="240" w:lineRule="auto"/>
        <w:ind w:firstLine="480" w:firstLineChars="200"/>
      </w:pPr>
      <w:r>
        <w:t>附图2</w:t>
      </w:r>
      <w:r>
        <w:rPr>
          <w:rFonts w:hint="eastAsia"/>
        </w:rPr>
        <w:t>：项目平面布置图</w:t>
      </w:r>
    </w:p>
    <w:p>
      <w:pPr>
        <w:spacing w:line="240" w:lineRule="auto"/>
        <w:ind w:firstLine="480" w:firstLineChars="200"/>
      </w:pPr>
      <w:r>
        <w:t>附图</w:t>
      </w:r>
      <w:r>
        <w:rPr>
          <w:rFonts w:hint="eastAsia"/>
        </w:rPr>
        <w:t>3：</w:t>
      </w:r>
      <w:r>
        <w:t>生产厂区敏感目标分布图</w:t>
      </w:r>
    </w:p>
    <w:p>
      <w:pPr>
        <w:spacing w:line="240" w:lineRule="auto"/>
        <w:ind w:firstLine="480" w:firstLineChars="200"/>
      </w:pPr>
      <w:r>
        <w:rPr>
          <w:rFonts w:hint="eastAsia"/>
          <w:u w:val="single"/>
        </w:rPr>
        <w:t>附图4：监测布点图</w:t>
      </w:r>
    </w:p>
    <w:p>
      <w:pPr>
        <w:spacing w:line="240" w:lineRule="auto"/>
        <w:ind w:firstLine="480" w:firstLineChars="200"/>
      </w:pPr>
      <w:r>
        <w:t>附图</w:t>
      </w:r>
      <w:r>
        <w:rPr>
          <w:rFonts w:hint="eastAsia"/>
        </w:rPr>
        <w:t>5</w:t>
      </w:r>
      <w:r>
        <w:t>：</w:t>
      </w:r>
      <w:r>
        <w:rPr>
          <w:rFonts w:hint="eastAsia"/>
        </w:rPr>
        <w:t>项目引用监测点位</w:t>
      </w:r>
      <w:r>
        <w:t>图</w:t>
      </w:r>
    </w:p>
    <w:p>
      <w:pPr>
        <w:spacing w:line="240" w:lineRule="auto"/>
        <w:ind w:firstLine="480" w:firstLineChars="200"/>
      </w:pPr>
      <w:r>
        <w:rPr>
          <w:rFonts w:hint="eastAsia"/>
          <w:u w:val="single"/>
        </w:rPr>
        <w:t>附图6：</w:t>
      </w:r>
      <w:r>
        <w:rPr>
          <w:u w:val="single"/>
        </w:rPr>
        <w:t>运输路线环保目标图</w:t>
      </w:r>
    </w:p>
    <w:p>
      <w:pPr>
        <w:spacing w:line="240" w:lineRule="auto"/>
        <w:ind w:firstLine="480" w:firstLineChars="200"/>
        <w:rPr>
          <w:u w:val="single"/>
        </w:rPr>
      </w:pPr>
      <w:r>
        <w:rPr>
          <w:u w:val="single"/>
        </w:rPr>
        <w:t>附图</w:t>
      </w:r>
      <w:r>
        <w:rPr>
          <w:rFonts w:hint="eastAsia"/>
          <w:u w:val="single"/>
        </w:rPr>
        <w:t>7</w:t>
      </w:r>
      <w:r>
        <w:rPr>
          <w:u w:val="single"/>
        </w:rPr>
        <w:t>：</w:t>
      </w:r>
      <w:r>
        <w:rPr>
          <w:rFonts w:hint="default" w:ascii="Times New Roman" w:hAnsi="Times New Roman" w:eastAsia="宋体" w:cs="Times New Roman"/>
          <w:u w:val="single"/>
          <w:lang w:val="en-US" w:eastAsia="zh-CN"/>
        </w:rPr>
        <w:t>本项目与</w:t>
      </w:r>
      <w:r>
        <w:rPr>
          <w:rFonts w:hint="default" w:ascii="Times New Roman" w:hAnsi="Times New Roman" w:eastAsia="宋体" w:cs="Times New Roman"/>
          <w:sz w:val="24"/>
          <w:u w:val="single"/>
        </w:rPr>
        <w:t>沅水辰溪段鲌类黄颡鱼国家级水产种质资源保护区的</w:t>
      </w:r>
      <w:r>
        <w:rPr>
          <w:rFonts w:ascii="Times New Roman" w:hAnsi="Times New Roman" w:eastAsia="宋体" w:cs="Times New Roman"/>
          <w:sz w:val="24"/>
          <w:u w:val="single"/>
        </w:rPr>
        <w:t>位置关系</w:t>
      </w:r>
      <w:r>
        <w:rPr>
          <w:rFonts w:hint="default" w:ascii="Times New Roman" w:hAnsi="Times New Roman" w:eastAsia="宋体" w:cs="Times New Roman"/>
          <w:sz w:val="24"/>
          <w:u w:val="single"/>
          <w:lang w:eastAsia="zh-CN"/>
        </w:rPr>
        <w:t>图</w:t>
      </w:r>
    </w:p>
    <w:p>
      <w:pPr>
        <w:spacing w:line="240" w:lineRule="auto"/>
        <w:ind w:firstLine="480" w:firstLineChars="200"/>
        <w:rPr>
          <w:rFonts w:hint="default" w:ascii="Times New Roman" w:hAnsi="Times New Roman" w:eastAsia="宋体" w:cs="Times New Roman"/>
          <w:lang w:eastAsia="zh-CN"/>
        </w:rPr>
      </w:pPr>
      <w:r>
        <w:rPr>
          <w:rFonts w:hint="default" w:ascii="Times New Roman" w:hAnsi="Times New Roman" w:eastAsia="宋体" w:cs="Times New Roman"/>
          <w:lang w:eastAsia="zh-CN"/>
        </w:rPr>
        <w:t>附图</w:t>
      </w:r>
      <w:r>
        <w:rPr>
          <w:rFonts w:hint="default" w:ascii="Times New Roman" w:hAnsi="Times New Roman" w:eastAsia="宋体" w:cs="Times New Roman"/>
          <w:lang w:val="en-US" w:eastAsia="zh-CN"/>
        </w:rPr>
        <w:t>8：</w:t>
      </w:r>
      <w:r>
        <w:rPr>
          <w:rFonts w:hint="eastAsia" w:ascii="宋体" w:hAnsi="宋体"/>
          <w:color w:val="auto"/>
        </w:rPr>
        <w:t>本项目</w:t>
      </w:r>
      <w:r>
        <w:rPr>
          <w:rFonts w:ascii="宋体" w:hAnsi="宋体"/>
          <w:color w:val="auto"/>
        </w:rPr>
        <w:t>与</w:t>
      </w:r>
      <w:r>
        <w:rPr>
          <w:rFonts w:hint="eastAsia" w:ascii="宋体" w:hAnsi="宋体"/>
          <w:color w:val="auto"/>
        </w:rPr>
        <w:t>沅水特有鱼类国家级水产种质资源保护区</w:t>
      </w:r>
      <w:r>
        <w:rPr>
          <w:rFonts w:hint="eastAsia"/>
          <w:color w:val="auto"/>
        </w:rPr>
        <w:t>的</w:t>
      </w:r>
      <w:r>
        <w:rPr>
          <w:color w:val="auto"/>
        </w:rPr>
        <w:t>位置关系图</w:t>
      </w:r>
    </w:p>
    <w:p>
      <w:pPr>
        <w:spacing w:line="240" w:lineRule="auto"/>
        <w:ind w:firstLine="480" w:firstLineChars="200"/>
        <w:rPr>
          <w:rFonts w:hint="default" w:ascii="Times New Roman" w:hAnsi="Times New Roman" w:eastAsia="宋体" w:cs="Times New Roman"/>
          <w:lang w:eastAsia="zh-CN"/>
        </w:rPr>
      </w:pPr>
      <w:r>
        <w:rPr>
          <w:rFonts w:ascii="Times New Roman" w:hAnsi="Times New Roman" w:eastAsia="宋体" w:cs="Times New Roman"/>
        </w:rPr>
        <w:t>附图</w:t>
      </w:r>
      <w:r>
        <w:rPr>
          <w:rFonts w:hint="default" w:ascii="Times New Roman" w:hAnsi="Times New Roman" w:eastAsia="宋体" w:cs="Times New Roman"/>
          <w:lang w:val="en-US" w:eastAsia="zh-CN"/>
        </w:rPr>
        <w:t>9</w:t>
      </w:r>
      <w:r>
        <w:rPr>
          <w:rFonts w:ascii="Times New Roman" w:hAnsi="Times New Roman" w:eastAsia="宋体" w:cs="Times New Roman"/>
        </w:rPr>
        <w:t>：</w:t>
      </w:r>
      <w:r>
        <w:rPr>
          <w:rFonts w:hint="eastAsia"/>
          <w:lang w:eastAsia="zh-CN"/>
        </w:rPr>
        <w:t>沅水辰溪段鲌类黄颡鱼国家级水产种质资源保护区与沅水特有鱼类国家级水产种质资源保护区的位置关系图</w:t>
      </w:r>
    </w:p>
    <w:p>
      <w:pPr>
        <w:spacing w:line="24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eastAsia="zh-CN"/>
        </w:rPr>
        <w:t>附图</w:t>
      </w:r>
      <w:r>
        <w:rPr>
          <w:rFonts w:hint="eastAsia" w:cs="Times New Roman"/>
          <w:lang w:val="en-US" w:eastAsia="zh-CN"/>
        </w:rPr>
        <w:t>10</w:t>
      </w:r>
      <w:r>
        <w:rPr>
          <w:rFonts w:hint="default" w:ascii="Times New Roman" w:hAnsi="Times New Roman" w:eastAsia="宋体" w:cs="Times New Roman"/>
          <w:lang w:val="en-US" w:eastAsia="zh-CN"/>
        </w:rPr>
        <w:t>：</w:t>
      </w:r>
      <w:r>
        <w:rPr>
          <w:rFonts w:hint="eastAsia" w:ascii="Times New Roman" w:hAnsi="Times New Roman" w:eastAsia="宋体" w:cs="Times New Roman"/>
          <w:color w:val="auto"/>
          <w:u w:val="none"/>
          <w:lang w:eastAsia="zh-CN"/>
        </w:rPr>
        <w:t>地表水系及本项目与规划饮用水源取水口位置关系</w:t>
      </w:r>
      <w:r>
        <w:rPr>
          <w:rFonts w:hint="default" w:ascii="Times New Roman" w:hAnsi="Times New Roman" w:eastAsia="宋体" w:cs="Times New Roman"/>
          <w:color w:val="auto"/>
          <w:u w:val="none"/>
        </w:rPr>
        <w:t>图</w:t>
      </w:r>
    </w:p>
    <w:p>
      <w:pPr>
        <w:spacing w:line="240" w:lineRule="auto"/>
        <w:ind w:firstLine="480" w:firstLineChars="200"/>
        <w:rPr>
          <w:sz w:val="36"/>
          <w:szCs w:val="36"/>
        </w:rPr>
      </w:pPr>
      <w:r>
        <w:rPr>
          <w:rFonts w:ascii="Times New Roman" w:hAnsi="Times New Roman" w:eastAsia="宋体" w:cs="Times New Roman"/>
          <w:u w:val="single"/>
        </w:rPr>
        <w:t>附图</w:t>
      </w:r>
      <w:r>
        <w:rPr>
          <w:rFonts w:hint="eastAsia" w:cs="Times New Roman"/>
          <w:u w:val="single"/>
          <w:lang w:val="en-US" w:eastAsia="zh-CN"/>
        </w:rPr>
        <w:t>11</w:t>
      </w:r>
      <w:r>
        <w:rPr>
          <w:rFonts w:ascii="Times New Roman" w:hAnsi="Times New Roman" w:eastAsia="宋体" w:cs="Times New Roman"/>
          <w:u w:val="single"/>
        </w:rPr>
        <w:t>：</w:t>
      </w:r>
      <w:r>
        <w:rPr>
          <w:rFonts w:hint="default" w:ascii="Times New Roman" w:hAnsi="Times New Roman" w:eastAsia="宋体" w:cs="Times New Roman"/>
          <w:u w:val="single"/>
        </w:rPr>
        <w:t>项目现场照片</w:t>
      </w:r>
    </w:p>
    <w:p>
      <w:pPr>
        <w:pStyle w:val="10"/>
        <w:spacing w:line="240" w:lineRule="auto"/>
      </w:pPr>
    </w:p>
    <w:p>
      <w:pPr>
        <w:pStyle w:val="11"/>
        <w:sectPr>
          <w:pgSz w:w="11906" w:h="16838"/>
          <w:pgMar w:top="1701" w:right="1531" w:bottom="1701" w:left="1531" w:header="851" w:footer="1077" w:gutter="0"/>
          <w:pgNumType w:start="3"/>
          <w:cols w:space="720" w:num="1"/>
          <w:docGrid w:linePitch="312" w:charSpace="0"/>
        </w:sectPr>
      </w:pPr>
    </w:p>
    <w:p>
      <w:pPr>
        <w:pStyle w:val="19"/>
        <w:jc w:val="center"/>
        <w:outlineLvl w:val="0"/>
        <w:rPr>
          <w:rFonts w:ascii="Times New Roman" w:hAnsi="Times New Roman" w:cs="Times New Roman"/>
          <w:snapToGrid w:val="0"/>
          <w:sz w:val="30"/>
          <w:szCs w:val="30"/>
        </w:rPr>
      </w:pPr>
      <w:bookmarkStart w:id="3" w:name="_Toc68160345"/>
      <w:bookmarkStart w:id="4" w:name="_Toc10947"/>
      <w:r>
        <w:rPr>
          <w:rFonts w:ascii="Times New Roman" w:hAnsi="Times New Roman" w:cs="Times New Roman"/>
          <w:snapToGrid w:val="0"/>
          <w:sz w:val="30"/>
          <w:szCs w:val="30"/>
        </w:rPr>
        <w:t>一、建设项目基本情况</w:t>
      </w:r>
      <w:bookmarkEnd w:id="3"/>
      <w:bookmarkEnd w:id="4"/>
    </w:p>
    <w:tbl>
      <w:tblPr>
        <w:tblStyle w:val="22"/>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550"/>
        <w:gridCol w:w="2793"/>
        <w:gridCol w:w="1888"/>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50" w:type="dxa"/>
            <w:tcMar>
              <w:top w:w="16" w:type="dxa"/>
              <w:left w:w="16" w:type="dxa"/>
              <w:right w:w="16" w:type="dxa"/>
            </w:tcMar>
            <w:vAlign w:val="center"/>
          </w:tcPr>
          <w:p>
            <w:pPr>
              <w:adjustRightInd w:val="0"/>
              <w:snapToGrid w:val="0"/>
              <w:spacing w:line="240" w:lineRule="auto"/>
              <w:jc w:val="center"/>
            </w:pPr>
            <w:r>
              <w:t>建设项目名称</w:t>
            </w:r>
          </w:p>
        </w:tc>
        <w:tc>
          <w:tcPr>
            <w:tcW w:w="7320" w:type="dxa"/>
            <w:gridSpan w:val="3"/>
            <w:vAlign w:val="center"/>
          </w:tcPr>
          <w:p>
            <w:pPr>
              <w:adjustRightInd w:val="0"/>
              <w:snapToGrid w:val="0"/>
              <w:spacing w:line="240" w:lineRule="auto"/>
              <w:jc w:val="center"/>
            </w:pPr>
            <w:r>
              <w:rPr>
                <w:rFonts w:hint="eastAsia"/>
              </w:rPr>
              <w:t>辰溪县广润砂石加工项目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50" w:type="dxa"/>
            <w:tcMar>
              <w:top w:w="16" w:type="dxa"/>
              <w:left w:w="16" w:type="dxa"/>
              <w:right w:w="16" w:type="dxa"/>
            </w:tcMar>
            <w:vAlign w:val="center"/>
          </w:tcPr>
          <w:p>
            <w:pPr>
              <w:adjustRightInd w:val="0"/>
              <w:snapToGrid w:val="0"/>
              <w:spacing w:line="240" w:lineRule="auto"/>
              <w:jc w:val="center"/>
            </w:pPr>
            <w:r>
              <w:t>项目代码</w:t>
            </w:r>
          </w:p>
        </w:tc>
        <w:tc>
          <w:tcPr>
            <w:tcW w:w="7320" w:type="dxa"/>
            <w:gridSpan w:val="3"/>
            <w:vAlign w:val="center"/>
          </w:tcPr>
          <w:p>
            <w:pPr>
              <w:adjustRightInd w:val="0"/>
              <w:snapToGrid w:val="0"/>
              <w:spacing w:line="240" w:lineRule="auto"/>
              <w:jc w:val="center"/>
            </w:pPr>
            <w:r>
              <w:rPr>
                <w:rFonts w:hint="eastAsia"/>
              </w:rPr>
              <w:t>2303-431223-04-01-215901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50" w:type="dxa"/>
            <w:tcMar>
              <w:top w:w="16" w:type="dxa"/>
              <w:left w:w="16" w:type="dxa"/>
              <w:right w:w="16" w:type="dxa"/>
            </w:tcMar>
            <w:vAlign w:val="center"/>
          </w:tcPr>
          <w:p>
            <w:pPr>
              <w:adjustRightInd w:val="0"/>
              <w:snapToGrid w:val="0"/>
              <w:spacing w:line="240" w:lineRule="auto"/>
              <w:jc w:val="center"/>
            </w:pPr>
            <w:r>
              <w:t>建设单位联系人</w:t>
            </w:r>
          </w:p>
        </w:tc>
        <w:tc>
          <w:tcPr>
            <w:tcW w:w="2793" w:type="dxa"/>
            <w:vAlign w:val="center"/>
          </w:tcPr>
          <w:p>
            <w:pPr>
              <w:adjustRightInd w:val="0"/>
              <w:snapToGrid w:val="0"/>
              <w:spacing w:line="240" w:lineRule="auto"/>
              <w:jc w:val="center"/>
              <w:rPr>
                <w:highlight w:val="yellow"/>
              </w:rPr>
            </w:pPr>
            <w:r>
              <w:t>段虹</w:t>
            </w:r>
          </w:p>
        </w:tc>
        <w:tc>
          <w:tcPr>
            <w:tcW w:w="1888" w:type="dxa"/>
            <w:vAlign w:val="center"/>
          </w:tcPr>
          <w:p>
            <w:pPr>
              <w:adjustRightInd w:val="0"/>
              <w:snapToGrid w:val="0"/>
              <w:spacing w:line="240" w:lineRule="auto"/>
              <w:jc w:val="center"/>
              <w:rPr>
                <w:color w:val="0000FF"/>
                <w:highlight w:val="yellow"/>
              </w:rPr>
            </w:pPr>
            <w:r>
              <w:t>联系方式</w:t>
            </w:r>
          </w:p>
        </w:tc>
        <w:tc>
          <w:tcPr>
            <w:tcW w:w="2639" w:type="dxa"/>
            <w:vAlign w:val="center"/>
          </w:tcPr>
          <w:p>
            <w:pPr>
              <w:adjustRightInd w:val="0"/>
              <w:snapToGrid w:val="0"/>
              <w:spacing w:line="240" w:lineRule="auto"/>
              <w:jc w:val="center"/>
              <w:rPr>
                <w:color w:val="0000FF"/>
                <w:highlight w:val="yellow"/>
              </w:rPr>
            </w:pPr>
            <w:r>
              <w:rPr>
                <w:rFonts w:hint="eastAsia"/>
              </w:rPr>
              <w:t>13657454022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50" w:type="dxa"/>
            <w:tcMar>
              <w:top w:w="16" w:type="dxa"/>
              <w:left w:w="16" w:type="dxa"/>
              <w:right w:w="16" w:type="dxa"/>
            </w:tcMar>
            <w:vAlign w:val="center"/>
          </w:tcPr>
          <w:p>
            <w:pPr>
              <w:adjustRightInd w:val="0"/>
              <w:snapToGrid w:val="0"/>
              <w:spacing w:line="240" w:lineRule="auto"/>
              <w:jc w:val="center"/>
            </w:pPr>
            <w:r>
              <w:t>建设地点</w:t>
            </w:r>
          </w:p>
        </w:tc>
        <w:tc>
          <w:tcPr>
            <w:tcW w:w="7320" w:type="dxa"/>
            <w:gridSpan w:val="3"/>
            <w:vAlign w:val="center"/>
          </w:tcPr>
          <w:p>
            <w:pPr>
              <w:adjustRightInd w:val="0"/>
              <w:snapToGrid w:val="0"/>
              <w:spacing w:line="240" w:lineRule="auto"/>
              <w:jc w:val="center"/>
              <w:rPr>
                <w:highlight w:val="yellow"/>
              </w:rPr>
            </w:pPr>
            <w:r>
              <w:t>湖南省</w:t>
            </w:r>
            <w:r>
              <w:rPr>
                <w:rFonts w:hint="eastAsia"/>
              </w:rPr>
              <w:t>怀化市辰溪县火马冲镇沙堆村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50" w:type="dxa"/>
            <w:tcMar>
              <w:top w:w="16" w:type="dxa"/>
              <w:left w:w="16" w:type="dxa"/>
              <w:right w:w="16" w:type="dxa"/>
            </w:tcMar>
            <w:vAlign w:val="center"/>
          </w:tcPr>
          <w:p>
            <w:pPr>
              <w:adjustRightInd w:val="0"/>
              <w:snapToGrid w:val="0"/>
              <w:spacing w:line="240" w:lineRule="auto"/>
              <w:jc w:val="center"/>
            </w:pPr>
            <w:r>
              <w:t>地理坐标</w:t>
            </w:r>
          </w:p>
        </w:tc>
        <w:tc>
          <w:tcPr>
            <w:tcW w:w="7320" w:type="dxa"/>
            <w:gridSpan w:val="3"/>
            <w:vAlign w:val="center"/>
          </w:tcPr>
          <w:p>
            <w:pPr>
              <w:spacing w:line="240" w:lineRule="auto"/>
              <w:jc w:val="center"/>
              <w:rPr>
                <w:highlight w:val="yellow"/>
              </w:rPr>
            </w:pPr>
            <w:r>
              <w:t>（110度</w:t>
            </w:r>
            <w:r>
              <w:rPr>
                <w:rFonts w:hint="eastAsia"/>
              </w:rPr>
              <w:t>15</w:t>
            </w:r>
            <w:r>
              <w:t>分</w:t>
            </w:r>
            <w:r>
              <w:rPr>
                <w:rFonts w:hint="eastAsia"/>
              </w:rPr>
              <w:t>38.818</w:t>
            </w:r>
            <w:r>
              <w:t>秒，27度</w:t>
            </w:r>
            <w:r>
              <w:rPr>
                <w:rFonts w:hint="eastAsia"/>
              </w:rPr>
              <w:t>54</w:t>
            </w:r>
            <w:r>
              <w:t>分</w:t>
            </w:r>
            <w:r>
              <w:rPr>
                <w:rFonts w:hint="eastAsia"/>
              </w:rPr>
              <w:t>45.145</w:t>
            </w:r>
            <w: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550" w:type="dxa"/>
            <w:tcMar>
              <w:top w:w="16" w:type="dxa"/>
              <w:left w:w="16" w:type="dxa"/>
              <w:right w:w="16" w:type="dxa"/>
            </w:tcMar>
            <w:vAlign w:val="center"/>
          </w:tcPr>
          <w:p>
            <w:pPr>
              <w:adjustRightInd w:val="0"/>
              <w:snapToGrid w:val="0"/>
              <w:spacing w:line="240" w:lineRule="auto"/>
              <w:jc w:val="center"/>
            </w:pPr>
            <w:r>
              <w:t>国民经济</w:t>
            </w:r>
          </w:p>
          <w:p>
            <w:pPr>
              <w:adjustRightInd w:val="0"/>
              <w:snapToGrid w:val="0"/>
              <w:spacing w:line="240" w:lineRule="auto"/>
              <w:jc w:val="center"/>
            </w:pPr>
            <w:r>
              <w:t>行业类别</w:t>
            </w:r>
          </w:p>
        </w:tc>
        <w:tc>
          <w:tcPr>
            <w:tcW w:w="2793" w:type="dxa"/>
            <w:vAlign w:val="center"/>
          </w:tcPr>
          <w:p>
            <w:pPr>
              <w:adjustRightInd w:val="0"/>
              <w:snapToGrid w:val="0"/>
              <w:spacing w:line="240" w:lineRule="auto"/>
              <w:jc w:val="center"/>
            </w:pPr>
            <w:r>
              <w:t>C30</w:t>
            </w:r>
            <w:r>
              <w:rPr>
                <w:rFonts w:hint="eastAsia"/>
                <w:lang w:val="en-US" w:eastAsia="zh-CN"/>
              </w:rPr>
              <w:t>9</w:t>
            </w:r>
            <w:r>
              <w:t>9其他</w:t>
            </w:r>
            <w:r>
              <w:rPr>
                <w:rFonts w:hint="eastAsia"/>
                <w:lang w:eastAsia="zh-CN"/>
              </w:rPr>
              <w:t>非金属矿物制品</w:t>
            </w:r>
            <w:r>
              <w:t>制造</w:t>
            </w:r>
          </w:p>
        </w:tc>
        <w:tc>
          <w:tcPr>
            <w:tcW w:w="1888" w:type="dxa"/>
            <w:vAlign w:val="center"/>
          </w:tcPr>
          <w:p>
            <w:pPr>
              <w:adjustRightInd w:val="0"/>
              <w:snapToGrid w:val="0"/>
              <w:spacing w:line="240" w:lineRule="auto"/>
              <w:jc w:val="center"/>
            </w:pPr>
            <w:bookmarkStart w:id="5" w:name="_Hlk49843745"/>
            <w:r>
              <w:t>建设项目</w:t>
            </w:r>
          </w:p>
          <w:p>
            <w:pPr>
              <w:adjustRightInd w:val="0"/>
              <w:snapToGrid w:val="0"/>
              <w:spacing w:line="240" w:lineRule="auto"/>
              <w:jc w:val="center"/>
            </w:pPr>
            <w:r>
              <w:t>行业类别</w:t>
            </w:r>
            <w:bookmarkEnd w:id="5"/>
          </w:p>
        </w:tc>
        <w:tc>
          <w:tcPr>
            <w:tcW w:w="2639" w:type="dxa"/>
            <w:vAlign w:val="center"/>
          </w:tcPr>
          <w:p>
            <w:pPr>
              <w:keepNext w:val="0"/>
              <w:keepLines w:val="0"/>
              <w:widowControl/>
              <w:suppressLineNumbers w:val="0"/>
              <w:jc w:val="left"/>
            </w:pPr>
            <w:r>
              <w:t>二十七、非金属矿物制品业30-</w:t>
            </w:r>
            <w:r>
              <w:rPr>
                <w:rFonts w:hint="eastAsia"/>
                <w:lang w:val="en-US" w:eastAsia="zh-CN"/>
              </w:rPr>
              <w:t>60</w:t>
            </w:r>
            <w:r>
              <w:rPr>
                <w:rFonts w:hint="default" w:ascii="Times New Roman" w:hAnsi="Times New Roman" w:eastAsia="宋体" w:cs="Times New Roman"/>
                <w:kern w:val="2"/>
                <w:sz w:val="24"/>
                <w:szCs w:val="24"/>
                <w:lang w:val="en-US" w:eastAsia="zh-CN" w:bidi="ar"/>
              </w:rPr>
              <w:t xml:space="preserve">石墨及其他非金 </w:t>
            </w:r>
          </w:p>
          <w:p>
            <w:pPr>
              <w:widowControl/>
              <w:adjustRightInd/>
              <w:snapToGrid/>
              <w:spacing w:line="240" w:lineRule="auto"/>
              <w:jc w:val="left"/>
            </w:pPr>
            <w:r>
              <w:rPr>
                <w:rFonts w:hint="default" w:ascii="Times New Roman" w:hAnsi="Times New Roman" w:eastAsia="宋体" w:cs="Times New Roman"/>
                <w:kern w:val="2"/>
                <w:sz w:val="24"/>
                <w:szCs w:val="24"/>
                <w:lang w:val="en-US" w:eastAsia="zh-CN" w:bidi="ar"/>
              </w:rPr>
              <w:t>属矿物制品制造 309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550" w:type="dxa"/>
            <w:tcMar>
              <w:top w:w="16" w:type="dxa"/>
              <w:left w:w="16" w:type="dxa"/>
              <w:right w:w="16" w:type="dxa"/>
            </w:tcMar>
            <w:vAlign w:val="center"/>
          </w:tcPr>
          <w:p>
            <w:pPr>
              <w:adjustRightInd w:val="0"/>
              <w:snapToGrid w:val="0"/>
              <w:spacing w:line="240" w:lineRule="auto"/>
              <w:jc w:val="center"/>
            </w:pPr>
            <w:r>
              <w:t>建设性质</w:t>
            </w:r>
          </w:p>
        </w:tc>
        <w:tc>
          <w:tcPr>
            <w:tcW w:w="2793" w:type="dxa"/>
            <w:vAlign w:val="center"/>
          </w:tcPr>
          <w:p>
            <w:pPr>
              <w:spacing w:line="240" w:lineRule="auto"/>
              <w:jc w:val="left"/>
            </w:pPr>
            <w:r>
              <w:rPr/>
              <w:sym w:font="Wingdings 2" w:char="0052"/>
            </w:r>
            <w:r>
              <w:t>新建（迁建）</w:t>
            </w:r>
          </w:p>
          <w:p>
            <w:pPr>
              <w:spacing w:line="240" w:lineRule="auto"/>
              <w:jc w:val="left"/>
            </w:pPr>
            <w:r>
              <w:t>□改建</w:t>
            </w:r>
          </w:p>
          <w:p>
            <w:pPr>
              <w:spacing w:line="240" w:lineRule="auto"/>
              <w:jc w:val="left"/>
            </w:pPr>
            <w:r>
              <w:t>□扩建</w:t>
            </w:r>
          </w:p>
          <w:p>
            <w:pPr>
              <w:spacing w:line="240" w:lineRule="auto"/>
              <w:jc w:val="left"/>
            </w:pPr>
            <w:r>
              <w:t>□技术改造</w:t>
            </w:r>
          </w:p>
        </w:tc>
        <w:tc>
          <w:tcPr>
            <w:tcW w:w="1888" w:type="dxa"/>
            <w:vAlign w:val="center"/>
          </w:tcPr>
          <w:p>
            <w:pPr>
              <w:adjustRightInd w:val="0"/>
              <w:snapToGrid w:val="0"/>
              <w:spacing w:line="240" w:lineRule="auto"/>
              <w:jc w:val="center"/>
            </w:pPr>
            <w:r>
              <w:t>建设项目</w:t>
            </w:r>
          </w:p>
          <w:p>
            <w:pPr>
              <w:adjustRightInd w:val="0"/>
              <w:snapToGrid w:val="0"/>
              <w:spacing w:line="240" w:lineRule="auto"/>
              <w:jc w:val="center"/>
            </w:pPr>
            <w:r>
              <w:t>申报情形</w:t>
            </w:r>
          </w:p>
        </w:tc>
        <w:tc>
          <w:tcPr>
            <w:tcW w:w="2639" w:type="dxa"/>
            <w:vAlign w:val="center"/>
          </w:tcPr>
          <w:p>
            <w:pPr>
              <w:spacing w:line="240" w:lineRule="auto"/>
              <w:jc w:val="left"/>
            </w:pPr>
            <w:r>
              <w:rPr/>
              <w:sym w:font="Wingdings 2" w:char="0052"/>
            </w:r>
            <w:r>
              <w:t xml:space="preserve">首次申报项目             </w:t>
            </w:r>
          </w:p>
          <w:p>
            <w:pPr>
              <w:spacing w:line="240" w:lineRule="auto"/>
              <w:jc w:val="left"/>
            </w:pPr>
            <w:r>
              <w:t>□不予批准后再次申报项目</w:t>
            </w:r>
          </w:p>
          <w:p>
            <w:pPr>
              <w:spacing w:line="240" w:lineRule="auto"/>
              <w:jc w:val="left"/>
            </w:pPr>
            <w:r>
              <w:rPr/>
              <w:sym w:font="Wingdings 2" w:char="00A3"/>
            </w:r>
            <w:r>
              <w:t xml:space="preserve">超五年重新审核项目     </w:t>
            </w:r>
          </w:p>
          <w:p>
            <w:pPr>
              <w:spacing w:line="240" w:lineRule="auto"/>
              <w:jc w:val="left"/>
            </w:pPr>
            <w: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550" w:type="dxa"/>
            <w:tcMar>
              <w:top w:w="16" w:type="dxa"/>
              <w:left w:w="16" w:type="dxa"/>
              <w:right w:w="16" w:type="dxa"/>
            </w:tcMar>
            <w:vAlign w:val="center"/>
          </w:tcPr>
          <w:p>
            <w:pPr>
              <w:adjustRightInd w:val="0"/>
              <w:snapToGrid w:val="0"/>
              <w:spacing w:line="240" w:lineRule="auto"/>
              <w:jc w:val="center"/>
            </w:pPr>
            <w:r>
              <w:t>项目审批（核准/备案）部门（选填）</w:t>
            </w:r>
          </w:p>
        </w:tc>
        <w:tc>
          <w:tcPr>
            <w:tcW w:w="2793" w:type="dxa"/>
            <w:vAlign w:val="center"/>
          </w:tcPr>
          <w:p>
            <w:pPr>
              <w:adjustRightInd w:val="0"/>
              <w:snapToGrid w:val="0"/>
              <w:spacing w:line="240" w:lineRule="auto"/>
              <w:jc w:val="center"/>
            </w:pPr>
            <w:r>
              <w:rPr>
                <w:rFonts w:hint="eastAsia"/>
              </w:rPr>
              <w:t>辰溪县发展和改革局</w:t>
            </w:r>
          </w:p>
        </w:tc>
        <w:tc>
          <w:tcPr>
            <w:tcW w:w="1888" w:type="dxa"/>
            <w:vAlign w:val="center"/>
          </w:tcPr>
          <w:p>
            <w:pPr>
              <w:adjustRightInd w:val="0"/>
              <w:snapToGrid w:val="0"/>
              <w:spacing w:line="240" w:lineRule="auto"/>
              <w:jc w:val="center"/>
            </w:pPr>
            <w:r>
              <w:t>项目审批（核准/</w:t>
            </w:r>
          </w:p>
          <w:p>
            <w:pPr>
              <w:adjustRightInd w:val="0"/>
              <w:snapToGrid w:val="0"/>
              <w:spacing w:line="240" w:lineRule="auto"/>
              <w:jc w:val="center"/>
            </w:pPr>
            <w:r>
              <w:t>备案）文号（选填）</w:t>
            </w:r>
          </w:p>
        </w:tc>
        <w:tc>
          <w:tcPr>
            <w:tcW w:w="2639" w:type="dxa"/>
            <w:vAlign w:val="center"/>
          </w:tcPr>
          <w:p>
            <w:pPr>
              <w:adjustRightInd w:val="0"/>
              <w:snapToGrid w:val="0"/>
              <w:spacing w:line="240" w:lineRule="auto"/>
              <w:jc w:val="center"/>
              <w:rPr>
                <w:rFonts w:hint="default" w:eastAsiaTheme="minorEastAsia"/>
                <w:lang w:val="en-US" w:eastAsia="zh-CN"/>
              </w:rPr>
            </w:pPr>
            <w:r>
              <w:rPr>
                <w:rFonts w:hint="eastAsia" w:eastAsiaTheme="minorEastAsia"/>
                <w:lang w:eastAsia="zh-CN"/>
              </w:rPr>
              <w:t>辰发改工备</w:t>
            </w:r>
            <w:r>
              <w:rPr>
                <w:rFonts w:hint="eastAsia" w:eastAsiaTheme="minorEastAsia"/>
                <w:lang w:val="en-US" w:eastAsia="zh-CN"/>
              </w:rPr>
              <w:t>[2023]11号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50" w:type="dxa"/>
            <w:tcMar>
              <w:top w:w="16" w:type="dxa"/>
              <w:left w:w="16" w:type="dxa"/>
              <w:right w:w="16" w:type="dxa"/>
            </w:tcMar>
            <w:vAlign w:val="center"/>
          </w:tcPr>
          <w:p>
            <w:pPr>
              <w:adjustRightInd w:val="0"/>
              <w:snapToGrid w:val="0"/>
              <w:spacing w:line="240" w:lineRule="auto"/>
              <w:jc w:val="center"/>
            </w:pPr>
            <w:r>
              <w:t>总投资（万元）</w:t>
            </w:r>
          </w:p>
        </w:tc>
        <w:tc>
          <w:tcPr>
            <w:tcW w:w="2793" w:type="dxa"/>
            <w:vAlign w:val="center"/>
          </w:tcPr>
          <w:p>
            <w:pPr>
              <w:adjustRightInd w:val="0"/>
              <w:snapToGrid w:val="0"/>
              <w:spacing w:line="240" w:lineRule="auto"/>
              <w:jc w:val="center"/>
            </w:pPr>
            <w:r>
              <w:rPr>
                <w:rFonts w:hint="eastAsia"/>
              </w:rPr>
              <w:t>2000</w:t>
            </w:r>
          </w:p>
        </w:tc>
        <w:tc>
          <w:tcPr>
            <w:tcW w:w="1888" w:type="dxa"/>
            <w:tcMar>
              <w:top w:w="16" w:type="dxa"/>
              <w:left w:w="16" w:type="dxa"/>
              <w:right w:w="16" w:type="dxa"/>
            </w:tcMar>
            <w:vAlign w:val="center"/>
          </w:tcPr>
          <w:p>
            <w:pPr>
              <w:adjustRightInd w:val="0"/>
              <w:snapToGrid w:val="0"/>
              <w:spacing w:line="240" w:lineRule="auto"/>
              <w:jc w:val="center"/>
            </w:pPr>
            <w:r>
              <w:t>环保投资（万元）</w:t>
            </w:r>
          </w:p>
        </w:tc>
        <w:tc>
          <w:tcPr>
            <w:tcW w:w="2639" w:type="dxa"/>
            <w:vAlign w:val="center"/>
          </w:tcPr>
          <w:p>
            <w:pPr>
              <w:adjustRightInd w:val="0"/>
              <w:snapToGrid w:val="0"/>
              <w:spacing w:line="240" w:lineRule="auto"/>
              <w:jc w:val="center"/>
            </w:pPr>
            <w:r>
              <w:rPr>
                <w:rFonts w:hint="eastAsia"/>
              </w:rPr>
              <w:t>200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50" w:type="dxa"/>
            <w:tcMar>
              <w:top w:w="16" w:type="dxa"/>
              <w:left w:w="16" w:type="dxa"/>
              <w:right w:w="16" w:type="dxa"/>
            </w:tcMar>
            <w:vAlign w:val="center"/>
          </w:tcPr>
          <w:p>
            <w:pPr>
              <w:adjustRightInd w:val="0"/>
              <w:snapToGrid w:val="0"/>
              <w:spacing w:line="240" w:lineRule="auto"/>
              <w:jc w:val="center"/>
            </w:pPr>
            <w:r>
              <w:t>环保投资占比（%）</w:t>
            </w:r>
          </w:p>
        </w:tc>
        <w:tc>
          <w:tcPr>
            <w:tcW w:w="2793" w:type="dxa"/>
            <w:vAlign w:val="center"/>
          </w:tcPr>
          <w:p>
            <w:pPr>
              <w:adjustRightInd w:val="0"/>
              <w:snapToGrid w:val="0"/>
              <w:spacing w:line="240" w:lineRule="auto"/>
              <w:jc w:val="center"/>
            </w:pPr>
            <w:r>
              <w:rPr>
                <w:rFonts w:hint="eastAsia"/>
              </w:rPr>
              <w:t>10</w:t>
            </w:r>
          </w:p>
        </w:tc>
        <w:tc>
          <w:tcPr>
            <w:tcW w:w="1888" w:type="dxa"/>
            <w:tcMar>
              <w:top w:w="16" w:type="dxa"/>
              <w:left w:w="16" w:type="dxa"/>
              <w:right w:w="16" w:type="dxa"/>
            </w:tcMar>
            <w:vAlign w:val="center"/>
          </w:tcPr>
          <w:p>
            <w:pPr>
              <w:adjustRightInd w:val="0"/>
              <w:snapToGrid w:val="0"/>
              <w:spacing w:line="240" w:lineRule="auto"/>
              <w:jc w:val="center"/>
            </w:pPr>
            <w:r>
              <w:t>施工工期</w:t>
            </w:r>
          </w:p>
        </w:tc>
        <w:tc>
          <w:tcPr>
            <w:tcW w:w="2639" w:type="dxa"/>
            <w:vAlign w:val="center"/>
          </w:tcPr>
          <w:p>
            <w:pPr>
              <w:adjustRightInd w:val="0"/>
              <w:snapToGrid w:val="0"/>
              <w:spacing w:line="240" w:lineRule="auto"/>
              <w:jc w:val="center"/>
            </w:pPr>
            <w:r>
              <w:rPr>
                <w:rFonts w:hint="eastAsia"/>
              </w:rPr>
              <w:t>2</w:t>
            </w:r>
            <w: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50" w:type="dxa"/>
            <w:tcMar>
              <w:top w:w="16" w:type="dxa"/>
              <w:left w:w="16" w:type="dxa"/>
              <w:right w:w="16" w:type="dxa"/>
            </w:tcMar>
            <w:vAlign w:val="center"/>
          </w:tcPr>
          <w:p>
            <w:pPr>
              <w:adjustRightInd w:val="0"/>
              <w:snapToGrid w:val="0"/>
              <w:spacing w:line="240" w:lineRule="auto"/>
              <w:jc w:val="center"/>
              <w:rPr>
                <w:color w:val="auto"/>
              </w:rPr>
            </w:pPr>
            <w:r>
              <w:rPr>
                <w:color w:val="auto"/>
              </w:rPr>
              <w:t>是否开工建设</w:t>
            </w:r>
          </w:p>
        </w:tc>
        <w:tc>
          <w:tcPr>
            <w:tcW w:w="2793" w:type="dxa"/>
            <w:vAlign w:val="center"/>
          </w:tcPr>
          <w:p>
            <w:pPr>
              <w:adjustRightInd w:val="0"/>
              <w:snapToGrid w:val="0"/>
              <w:spacing w:line="240" w:lineRule="auto"/>
              <w:rPr>
                <w:color w:val="auto"/>
              </w:rPr>
            </w:pPr>
            <w:r>
              <w:rPr>
                <w:color w:val="auto"/>
              </w:rPr>
              <w:sym w:font="Wingdings 2" w:char="00A3"/>
            </w:r>
            <w:r>
              <w:rPr>
                <w:color w:val="auto"/>
              </w:rPr>
              <w:t>否</w:t>
            </w:r>
          </w:p>
          <w:p>
            <w:pPr>
              <w:adjustRightInd w:val="0"/>
              <w:snapToGrid w:val="0"/>
              <w:spacing w:line="240" w:lineRule="auto"/>
              <w:rPr>
                <w:color w:val="auto"/>
              </w:rPr>
            </w:pPr>
            <w:r>
              <w:rPr>
                <w:color w:val="auto"/>
              </w:rPr>
              <w:sym w:font="Wingdings 2" w:char="0052"/>
            </w:r>
            <w:r>
              <w:rPr>
                <w:color w:val="auto"/>
              </w:rPr>
              <w:t>是：已建设，属于未批先建项目，</w:t>
            </w:r>
            <w:r>
              <w:rPr>
                <w:rFonts w:hint="default" w:ascii="Times New Roman" w:hAnsi="Times New Roman" w:eastAsia="宋体" w:cs="Times New Roman"/>
                <w:color w:val="auto"/>
                <w:u w:val="none"/>
                <w:lang w:val="en-US" w:eastAsia="zh-CN"/>
              </w:rPr>
              <w:t>怀化市生态环境局</w:t>
            </w:r>
            <w:r>
              <w:rPr>
                <w:color w:val="auto"/>
              </w:rPr>
              <w:t>出具了行政处罚决定书</w:t>
            </w:r>
            <w:r>
              <w:rPr>
                <w:rFonts w:hint="default" w:ascii="Times New Roman" w:hAnsi="Times New Roman" w:eastAsia="宋体" w:cs="Times New Roman"/>
                <w:color w:val="auto"/>
                <w:u w:val="none"/>
                <w:lang w:val="en-US" w:eastAsia="zh-CN"/>
              </w:rPr>
              <w:t>（怀</w:t>
            </w:r>
            <w:r>
              <w:rPr>
                <w:rFonts w:hint="eastAsia" w:cs="Times New Roman"/>
                <w:color w:val="auto"/>
                <w:u w:val="none"/>
                <w:lang w:val="en-US" w:eastAsia="zh-CN"/>
              </w:rPr>
              <w:t>环辰罚[</w:t>
            </w:r>
            <w:r>
              <w:rPr>
                <w:rFonts w:hint="default" w:ascii="Times New Roman" w:hAnsi="Times New Roman" w:eastAsia="宋体" w:cs="Times New Roman"/>
                <w:color w:val="auto"/>
                <w:u w:val="none"/>
                <w:lang w:val="en-US" w:eastAsia="zh-CN"/>
              </w:rPr>
              <w:t>202</w:t>
            </w:r>
            <w:r>
              <w:rPr>
                <w:rFonts w:hint="eastAsia" w:cs="Times New Roman"/>
                <w:color w:val="auto"/>
                <w:u w:val="none"/>
                <w:lang w:val="en-US" w:eastAsia="zh-CN"/>
              </w:rPr>
              <w:t>3]6</w:t>
            </w:r>
            <w:r>
              <w:rPr>
                <w:rFonts w:hint="default" w:ascii="Times New Roman" w:hAnsi="Times New Roman" w:eastAsia="宋体" w:cs="Times New Roman"/>
                <w:color w:val="auto"/>
                <w:u w:val="none"/>
                <w:lang w:val="en-US" w:eastAsia="zh-CN"/>
              </w:rPr>
              <w:t>号）</w:t>
            </w:r>
            <w:r>
              <w:rPr>
                <w:color w:val="auto"/>
              </w:rPr>
              <w:t>，企业于202</w:t>
            </w:r>
            <w:r>
              <w:rPr>
                <w:rFonts w:hint="eastAsia"/>
                <w:color w:val="auto"/>
                <w:lang w:val="en-US" w:eastAsia="zh-CN"/>
              </w:rPr>
              <w:t>3</w:t>
            </w:r>
            <w:r>
              <w:rPr>
                <w:color w:val="auto"/>
              </w:rPr>
              <w:t>年</w:t>
            </w:r>
            <w:r>
              <w:rPr>
                <w:rFonts w:hint="eastAsia"/>
                <w:color w:val="auto"/>
                <w:lang w:val="en-US" w:eastAsia="zh-CN"/>
              </w:rPr>
              <w:t>7</w:t>
            </w:r>
            <w:r>
              <w:rPr>
                <w:color w:val="auto"/>
              </w:rPr>
              <w:t>月</w:t>
            </w:r>
            <w:r>
              <w:rPr>
                <w:rFonts w:hint="eastAsia"/>
                <w:color w:val="auto"/>
                <w:lang w:val="en-US" w:eastAsia="zh-CN"/>
              </w:rPr>
              <w:t>1</w:t>
            </w:r>
            <w:r>
              <w:rPr>
                <w:color w:val="auto"/>
              </w:rPr>
              <w:t>0日缴纳了相应罚款。</w:t>
            </w:r>
          </w:p>
        </w:tc>
        <w:tc>
          <w:tcPr>
            <w:tcW w:w="1888" w:type="dxa"/>
            <w:tcMar>
              <w:top w:w="16" w:type="dxa"/>
              <w:left w:w="16" w:type="dxa"/>
              <w:right w:w="16" w:type="dxa"/>
            </w:tcMar>
            <w:vAlign w:val="center"/>
          </w:tcPr>
          <w:p>
            <w:pPr>
              <w:adjustRightInd w:val="0"/>
              <w:snapToGrid w:val="0"/>
              <w:spacing w:line="240" w:lineRule="auto"/>
              <w:jc w:val="center"/>
              <w:rPr>
                <w:spacing w:val="-6"/>
              </w:rPr>
            </w:pPr>
            <w:r>
              <w:rPr>
                <w:spacing w:val="-6"/>
              </w:rPr>
              <w:t>用地（用海）</w:t>
            </w:r>
          </w:p>
          <w:p>
            <w:pPr>
              <w:adjustRightInd w:val="0"/>
              <w:snapToGrid w:val="0"/>
              <w:spacing w:line="240" w:lineRule="auto"/>
              <w:jc w:val="center"/>
            </w:pPr>
            <w:r>
              <w:rPr>
                <w:spacing w:val="-6"/>
              </w:rPr>
              <w:t>面积（m</w:t>
            </w:r>
            <w:r>
              <w:rPr>
                <w:spacing w:val="-6"/>
                <w:vertAlign w:val="superscript"/>
              </w:rPr>
              <w:t>2</w:t>
            </w:r>
            <w:r>
              <w:rPr>
                <w:spacing w:val="-6"/>
              </w:rPr>
              <w:t>）</w:t>
            </w:r>
          </w:p>
        </w:tc>
        <w:tc>
          <w:tcPr>
            <w:tcW w:w="2639" w:type="dxa"/>
            <w:vAlign w:val="center"/>
          </w:tcPr>
          <w:p>
            <w:pPr>
              <w:adjustRightInd w:val="0"/>
              <w:snapToGrid w:val="0"/>
              <w:spacing w:line="240" w:lineRule="auto"/>
              <w:jc w:val="center"/>
            </w:pPr>
            <w:r>
              <w:rPr>
                <w:rFonts w:hint="eastAsia"/>
              </w:rPr>
              <w:t>17032</w:t>
            </w:r>
            <w:r>
              <w:t>m</w:t>
            </w:r>
            <w:r>
              <w:rPr>
                <w:vertAlign w:val="superscript"/>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50" w:type="dxa"/>
            <w:vAlign w:val="center"/>
          </w:tcPr>
          <w:p>
            <w:pPr>
              <w:autoSpaceDE w:val="0"/>
              <w:autoSpaceDN w:val="0"/>
              <w:adjustRightInd w:val="0"/>
              <w:snapToGrid w:val="0"/>
              <w:spacing w:line="240" w:lineRule="auto"/>
              <w:jc w:val="center"/>
              <w:rPr>
                <w:kern w:val="0"/>
              </w:rPr>
            </w:pPr>
            <w:r>
              <w:rPr>
                <w:kern w:val="0"/>
              </w:rPr>
              <w:t>专项评价设置情况</w:t>
            </w:r>
          </w:p>
        </w:tc>
        <w:tc>
          <w:tcPr>
            <w:tcW w:w="7320" w:type="dxa"/>
            <w:gridSpan w:val="3"/>
            <w:vAlign w:val="center"/>
          </w:tcPr>
          <w:p>
            <w:pPr>
              <w:autoSpaceDE w:val="0"/>
              <w:autoSpaceDN w:val="0"/>
              <w:adjustRightInd w:val="0"/>
              <w:snapToGrid w:val="0"/>
              <w:spacing w:line="240" w:lineRule="auto"/>
              <w:jc w:val="center"/>
              <w:rPr>
                <w:kern w:val="0"/>
              </w:rPr>
            </w:pPr>
            <w:r>
              <w:rPr>
                <w:kern w:val="0"/>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550" w:type="dxa"/>
            <w:vAlign w:val="center"/>
          </w:tcPr>
          <w:p>
            <w:pPr>
              <w:autoSpaceDE w:val="0"/>
              <w:autoSpaceDN w:val="0"/>
              <w:adjustRightInd w:val="0"/>
              <w:snapToGrid w:val="0"/>
              <w:spacing w:line="240" w:lineRule="auto"/>
              <w:jc w:val="center"/>
              <w:rPr>
                <w:kern w:val="0"/>
              </w:rPr>
            </w:pPr>
            <w:r>
              <w:t>规划情况</w:t>
            </w:r>
          </w:p>
        </w:tc>
        <w:tc>
          <w:tcPr>
            <w:tcW w:w="7320" w:type="dxa"/>
            <w:gridSpan w:val="3"/>
            <w:vAlign w:val="center"/>
          </w:tcPr>
          <w:p>
            <w:pPr>
              <w:autoSpaceDE w:val="0"/>
              <w:autoSpaceDN w:val="0"/>
              <w:adjustRightInd w:val="0"/>
              <w:snapToGrid w:val="0"/>
              <w:spacing w:line="240" w:lineRule="auto"/>
              <w:jc w:val="center"/>
              <w:rPr>
                <w:kern w:val="0"/>
              </w:rPr>
            </w:pPr>
            <w:r>
              <w:rPr>
                <w:rFonts w:hint="eastAsia"/>
                <w:kern w:val="0"/>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550" w:type="dxa"/>
            <w:vAlign w:val="center"/>
          </w:tcPr>
          <w:p>
            <w:pPr>
              <w:adjustRightInd w:val="0"/>
              <w:snapToGrid w:val="0"/>
              <w:spacing w:line="240" w:lineRule="auto"/>
              <w:jc w:val="center"/>
              <w:rPr>
                <w:kern w:val="0"/>
              </w:rPr>
            </w:pPr>
            <w:r>
              <w:t>规划环境影响评价情况</w:t>
            </w:r>
          </w:p>
        </w:tc>
        <w:tc>
          <w:tcPr>
            <w:tcW w:w="7320" w:type="dxa"/>
            <w:gridSpan w:val="3"/>
            <w:vAlign w:val="center"/>
          </w:tcPr>
          <w:p>
            <w:pPr>
              <w:autoSpaceDE w:val="0"/>
              <w:autoSpaceDN w:val="0"/>
              <w:adjustRightInd w:val="0"/>
              <w:snapToGrid w:val="0"/>
              <w:spacing w:line="240" w:lineRule="auto"/>
              <w:jc w:val="center"/>
              <w:rPr>
                <w:kern w:val="0"/>
              </w:rPr>
            </w:pPr>
            <w:r>
              <w:rPr>
                <w:kern w:val="0"/>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1550" w:type="dxa"/>
            <w:vAlign w:val="center"/>
          </w:tcPr>
          <w:p>
            <w:pPr>
              <w:autoSpaceDE w:val="0"/>
              <w:autoSpaceDN w:val="0"/>
              <w:adjustRightInd w:val="0"/>
              <w:snapToGrid w:val="0"/>
              <w:spacing w:line="240" w:lineRule="auto"/>
              <w:jc w:val="center"/>
              <w:rPr>
                <w:kern w:val="0"/>
              </w:rPr>
            </w:pPr>
            <w:r>
              <w:rPr>
                <w:kern w:val="0"/>
              </w:rPr>
              <w:t>规划及规划环境</w:t>
            </w:r>
          </w:p>
          <w:p>
            <w:pPr>
              <w:autoSpaceDE w:val="0"/>
              <w:autoSpaceDN w:val="0"/>
              <w:adjustRightInd w:val="0"/>
              <w:snapToGrid w:val="0"/>
              <w:spacing w:line="240" w:lineRule="auto"/>
              <w:jc w:val="center"/>
              <w:rPr>
                <w:kern w:val="0"/>
              </w:rPr>
            </w:pPr>
            <w:r>
              <w:rPr>
                <w:kern w:val="0"/>
              </w:rPr>
              <w:t>影响评价符合性分析</w:t>
            </w:r>
          </w:p>
        </w:tc>
        <w:tc>
          <w:tcPr>
            <w:tcW w:w="7320" w:type="dxa"/>
            <w:gridSpan w:val="3"/>
            <w:vAlign w:val="center"/>
          </w:tcPr>
          <w:p>
            <w:pPr>
              <w:autoSpaceDE w:val="0"/>
              <w:autoSpaceDN w:val="0"/>
              <w:adjustRightInd w:val="0"/>
              <w:snapToGrid w:val="0"/>
              <w:spacing w:line="240" w:lineRule="auto"/>
              <w:jc w:val="center"/>
              <w:rPr>
                <w:kern w:val="0"/>
              </w:rPr>
            </w:pPr>
            <w:r>
              <w:rPr>
                <w:kern w:val="0"/>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550" w:type="dxa"/>
            <w:vAlign w:val="center"/>
          </w:tcPr>
          <w:p>
            <w:pPr>
              <w:autoSpaceDE w:val="0"/>
              <w:autoSpaceDN w:val="0"/>
              <w:adjustRightInd w:val="0"/>
              <w:snapToGrid w:val="0"/>
              <w:spacing w:line="240" w:lineRule="auto"/>
              <w:jc w:val="center"/>
              <w:rPr>
                <w:color w:val="0000FF"/>
                <w:kern w:val="0"/>
              </w:rPr>
            </w:pPr>
            <w:r>
              <w:rPr>
                <w:kern w:val="0"/>
              </w:rPr>
              <w:t>其他符合性分析</w:t>
            </w:r>
          </w:p>
        </w:tc>
        <w:tc>
          <w:tcPr>
            <w:tcW w:w="7320" w:type="dxa"/>
            <w:gridSpan w:val="3"/>
            <w:vAlign w:val="center"/>
          </w:tcPr>
          <w:p>
            <w:pPr>
              <w:pStyle w:val="30"/>
            </w:pPr>
            <w:bookmarkStart w:id="6" w:name="_Toc68160346"/>
            <w:bookmarkStart w:id="7" w:name="_Toc18196"/>
            <w:r>
              <w:t>产业政策符合性分析</w:t>
            </w:r>
            <w:bookmarkEnd w:id="6"/>
            <w:bookmarkEnd w:id="7"/>
          </w:p>
          <w:p>
            <w:pPr>
              <w:autoSpaceDE w:val="0"/>
              <w:autoSpaceDN w:val="0"/>
              <w:adjustRightInd w:val="0"/>
              <w:snapToGrid w:val="0"/>
              <w:ind w:firstLine="480" w:firstLineChars="200"/>
              <w:rPr>
                <w:kern w:val="0"/>
              </w:rPr>
            </w:pPr>
            <w:r>
              <w:t>本项目属于</w:t>
            </w:r>
            <w:r>
              <w:rPr>
                <w:rFonts w:hint="eastAsia"/>
              </w:rPr>
              <w:t>其他建筑材料制造</w:t>
            </w:r>
            <w:r>
              <w:t>，</w:t>
            </w:r>
            <w:r>
              <w:rPr>
                <w:rFonts w:hint="eastAsia"/>
              </w:rPr>
              <w:t>主要销售砂料</w:t>
            </w:r>
            <w:r>
              <w:rPr>
                <w:spacing w:val="7"/>
              </w:rPr>
              <w:t>。</w:t>
            </w:r>
            <w:r>
              <w:t>经查阅，本项目</w:t>
            </w:r>
            <w:r>
              <w:rPr>
                <w:bCs/>
              </w:rPr>
              <w:t>的生产工艺、设备、产品</w:t>
            </w:r>
            <w:r>
              <w:t>不属于</w:t>
            </w:r>
            <w:r>
              <w:rPr>
                <w:rFonts w:hint="default" w:ascii="Times New Roman" w:hAnsi="Times New Roman" w:eastAsia="宋体" w:cs="Times New Roman"/>
                <w:color w:val="auto"/>
                <w:sz w:val="24"/>
                <w:u w:val="none" w:color="auto"/>
              </w:rPr>
              <w:t>《产业结构调整指导目录（20</w:t>
            </w:r>
            <w:r>
              <w:rPr>
                <w:rFonts w:hint="eastAsia" w:ascii="Times New Roman" w:hAnsi="Times New Roman" w:eastAsia="宋体" w:cs="Times New Roman"/>
                <w:color w:val="auto"/>
                <w:sz w:val="24"/>
                <w:u w:val="none" w:color="auto"/>
                <w:lang w:val="en-US" w:eastAsia="zh-CN"/>
              </w:rPr>
              <w:t>24</w:t>
            </w:r>
            <w:r>
              <w:rPr>
                <w:rFonts w:hint="default" w:ascii="Times New Roman" w:hAnsi="Times New Roman" w:eastAsia="宋体" w:cs="Times New Roman"/>
                <w:color w:val="auto"/>
                <w:sz w:val="24"/>
                <w:u w:val="none" w:color="auto"/>
              </w:rPr>
              <w:t>年本）》</w:t>
            </w:r>
            <w:r>
              <w:t>中的</w:t>
            </w:r>
            <w:r>
              <w:rPr>
                <w:bCs/>
              </w:rPr>
              <w:t>鼓励、限制和淘汰类，属于允许类，因此，项目建设符合国家产业政策。</w:t>
            </w:r>
          </w:p>
          <w:p>
            <w:pPr>
              <w:pStyle w:val="30"/>
            </w:pPr>
            <w:bookmarkStart w:id="8" w:name="_Toc30131"/>
            <w:bookmarkStart w:id="9" w:name="_Toc68160347"/>
            <w:r>
              <w:t>三线一单符合性分析</w:t>
            </w:r>
            <w:bookmarkEnd w:id="8"/>
            <w:bookmarkEnd w:id="9"/>
          </w:p>
          <w:p>
            <w:pPr>
              <w:pStyle w:val="26"/>
              <w:wordWrap w:val="0"/>
              <w:topLinePunct/>
              <w:autoSpaceDE/>
              <w:autoSpaceDN/>
              <w:snapToGrid w:val="0"/>
              <w:ind w:firstLine="480" w:firstLineChars="200"/>
              <w:rPr>
                <w:rFonts w:hint="default" w:ascii="Times New Roman" w:hAnsi="Times New Roman" w:eastAsia="宋体" w:cs="Times New Roman"/>
                <w:snapToGrid w:val="0"/>
                <w:color w:val="auto"/>
                <w:kern w:val="0"/>
              </w:rPr>
            </w:pPr>
            <w:bookmarkStart w:id="10" w:name="_Toc68160348"/>
            <w:r>
              <w:rPr>
                <w:rFonts w:ascii="Times New Roman" w:hAnsi="Times New Roman" w:eastAsia="宋体" w:cs="Times New Roman"/>
                <w:snapToGrid w:val="0"/>
                <w:color w:val="auto"/>
                <w:kern w:val="0"/>
              </w:rPr>
              <w:fldChar w:fldCharType="begin"/>
            </w:r>
            <w:r>
              <w:rPr>
                <w:rFonts w:ascii="Times New Roman" w:hAnsi="Times New Roman" w:eastAsia="宋体" w:cs="Times New Roman"/>
                <w:snapToGrid w:val="0"/>
                <w:color w:val="auto"/>
                <w:kern w:val="0"/>
              </w:rPr>
              <w:instrText xml:space="preserve"> = 1 \* GB3 </w:instrText>
            </w:r>
            <w:r>
              <w:rPr>
                <w:rFonts w:ascii="Times New Roman" w:hAnsi="Times New Roman" w:eastAsia="宋体" w:cs="Times New Roman"/>
                <w:snapToGrid w:val="0"/>
                <w:color w:val="auto"/>
                <w:kern w:val="0"/>
              </w:rPr>
              <w:fldChar w:fldCharType="separate"/>
            </w:r>
            <w:r>
              <w:rPr>
                <w:rFonts w:ascii="Times New Roman" w:hAnsi="Times New Roman" w:eastAsia="宋体" w:cs="Times New Roman"/>
                <w:snapToGrid w:val="0"/>
                <w:color w:val="auto"/>
                <w:kern w:val="0"/>
              </w:rPr>
              <w:t>①</w:t>
            </w:r>
            <w:r>
              <w:rPr>
                <w:rFonts w:ascii="Times New Roman" w:hAnsi="Times New Roman" w:eastAsia="宋体" w:cs="Times New Roman"/>
                <w:snapToGrid w:val="0"/>
                <w:color w:val="auto"/>
                <w:kern w:val="0"/>
              </w:rPr>
              <w:fldChar w:fldCharType="end"/>
            </w:r>
            <w:r>
              <w:rPr>
                <w:rFonts w:ascii="Times New Roman" w:hAnsi="Times New Roman" w:eastAsia="宋体" w:cs="Times New Roman"/>
                <w:snapToGrid w:val="0"/>
                <w:color w:val="auto"/>
                <w:kern w:val="0"/>
              </w:rPr>
              <w:t>生态红线</w:t>
            </w:r>
          </w:p>
          <w:p>
            <w:pPr>
              <w:pStyle w:val="26"/>
              <w:wordWrap w:val="0"/>
              <w:topLinePunct/>
              <w:autoSpaceDE/>
              <w:autoSpaceDN/>
              <w:snapToGrid w:val="0"/>
              <w:ind w:firstLine="480" w:firstLineChars="200"/>
              <w:rPr>
                <w:rFonts w:hint="default" w:ascii="Times New Roman" w:hAnsi="Times New Roman" w:eastAsia="宋体" w:cs="Times New Roman"/>
                <w:snapToGrid w:val="0"/>
                <w:color w:val="auto"/>
                <w:kern w:val="0"/>
              </w:rPr>
            </w:pPr>
            <w:r>
              <w:rPr>
                <w:rFonts w:ascii="Times New Roman" w:hAnsi="Times New Roman" w:eastAsia="宋体" w:cs="Times New Roman"/>
                <w:snapToGrid w:val="0"/>
                <w:color w:val="auto"/>
                <w:kern w:val="0"/>
              </w:rPr>
              <w:t>根据湖南省人民政府关于印发《湖南省生态保护红线》的通知湘政发〔2018〕20号(2018年7月25日)，</w:t>
            </w:r>
            <w:r>
              <w:rPr>
                <w:rFonts w:hint="eastAsia" w:ascii="Times New Roman" w:hAnsi="Times New Roman" w:eastAsia="宋体" w:cs="Times New Roman"/>
                <w:snapToGrid w:val="0"/>
                <w:color w:val="auto"/>
                <w:kern w:val="0"/>
                <w:lang w:eastAsia="zh-CN"/>
              </w:rPr>
              <w:t>根据项目不在生态保护红线的证明</w:t>
            </w:r>
            <w:r>
              <w:rPr>
                <w:rFonts w:ascii="Times New Roman" w:hAnsi="Times New Roman" w:eastAsia="宋体" w:cs="Times New Roman"/>
                <w:snapToGrid w:val="0"/>
                <w:color w:val="auto"/>
                <w:kern w:val="0"/>
              </w:rPr>
              <w:t>（见附</w:t>
            </w:r>
            <w:r>
              <w:rPr>
                <w:rFonts w:hint="eastAsia" w:ascii="Times New Roman" w:hAnsi="Times New Roman" w:eastAsia="宋体" w:cs="Times New Roman"/>
                <w:snapToGrid w:val="0"/>
                <w:color w:val="auto"/>
                <w:kern w:val="0"/>
                <w:lang w:eastAsia="zh-CN"/>
              </w:rPr>
              <w:t>件</w:t>
            </w:r>
            <w:r>
              <w:rPr>
                <w:rFonts w:hint="eastAsia" w:ascii="Times New Roman" w:hAnsi="Times New Roman" w:eastAsia="宋体" w:cs="Times New Roman"/>
                <w:snapToGrid w:val="0"/>
                <w:color w:val="auto"/>
                <w:kern w:val="0"/>
                <w:lang w:val="en-US" w:eastAsia="zh-CN"/>
              </w:rPr>
              <w:t>7</w:t>
            </w:r>
            <w:r>
              <w:rPr>
                <w:rFonts w:ascii="Times New Roman" w:hAnsi="Times New Roman" w:eastAsia="宋体" w:cs="Times New Roman"/>
                <w:snapToGrid w:val="0"/>
                <w:color w:val="auto"/>
                <w:kern w:val="0"/>
              </w:rPr>
              <w:t>），项目地不属于生态红线区域。</w:t>
            </w:r>
          </w:p>
          <w:p>
            <w:pPr>
              <w:pStyle w:val="26"/>
              <w:wordWrap w:val="0"/>
              <w:topLinePunct/>
              <w:autoSpaceDE/>
              <w:autoSpaceDN/>
              <w:snapToGrid w:val="0"/>
              <w:ind w:firstLine="480" w:firstLineChars="200"/>
              <w:rPr>
                <w:rFonts w:hint="default" w:ascii="Times New Roman" w:hAnsi="Times New Roman" w:eastAsia="宋体" w:cs="Times New Roman"/>
                <w:snapToGrid w:val="0"/>
                <w:color w:val="auto"/>
                <w:kern w:val="0"/>
              </w:rPr>
            </w:pPr>
            <w:r>
              <w:rPr>
                <w:rFonts w:ascii="Times New Roman" w:hAnsi="Times New Roman" w:eastAsia="宋体" w:cs="Times New Roman"/>
                <w:snapToGrid w:val="0"/>
                <w:color w:val="auto"/>
                <w:kern w:val="0"/>
              </w:rPr>
              <w:fldChar w:fldCharType="begin"/>
            </w:r>
            <w:r>
              <w:rPr>
                <w:rFonts w:ascii="Times New Roman" w:hAnsi="Times New Roman" w:eastAsia="宋体" w:cs="Times New Roman"/>
                <w:snapToGrid w:val="0"/>
                <w:color w:val="auto"/>
                <w:kern w:val="0"/>
              </w:rPr>
              <w:instrText xml:space="preserve"> = 2 \* GB3 </w:instrText>
            </w:r>
            <w:r>
              <w:rPr>
                <w:rFonts w:ascii="Times New Roman" w:hAnsi="Times New Roman" w:eastAsia="宋体" w:cs="Times New Roman"/>
                <w:snapToGrid w:val="0"/>
                <w:color w:val="auto"/>
                <w:kern w:val="0"/>
              </w:rPr>
              <w:fldChar w:fldCharType="separate"/>
            </w:r>
            <w:r>
              <w:rPr>
                <w:rFonts w:ascii="Times New Roman" w:hAnsi="Times New Roman" w:eastAsia="宋体" w:cs="Times New Roman"/>
                <w:snapToGrid w:val="0"/>
                <w:color w:val="auto"/>
                <w:kern w:val="0"/>
              </w:rPr>
              <w:t>②</w:t>
            </w:r>
            <w:r>
              <w:rPr>
                <w:rFonts w:ascii="Times New Roman" w:hAnsi="Times New Roman" w:eastAsia="宋体" w:cs="Times New Roman"/>
                <w:snapToGrid w:val="0"/>
                <w:color w:val="auto"/>
                <w:kern w:val="0"/>
              </w:rPr>
              <w:fldChar w:fldCharType="end"/>
            </w:r>
            <w:r>
              <w:rPr>
                <w:rFonts w:ascii="Times New Roman" w:hAnsi="Times New Roman" w:eastAsia="宋体" w:cs="Times New Roman"/>
                <w:snapToGrid w:val="0"/>
                <w:color w:val="auto"/>
                <w:kern w:val="0"/>
              </w:rPr>
              <w:t>环境质量底线</w:t>
            </w:r>
          </w:p>
          <w:p>
            <w:pPr>
              <w:wordWrap w:val="0"/>
              <w:topLinePunct/>
              <w:adjustRightInd w:val="0"/>
              <w:snapToGrid w:val="0"/>
              <w:ind w:firstLine="454"/>
              <w:rPr>
                <w:snapToGrid w:val="0"/>
                <w:kern w:val="0"/>
                <w:u w:val="single"/>
              </w:rPr>
            </w:pPr>
            <w:r>
              <w:rPr>
                <w:u w:val="single"/>
              </w:rPr>
              <w:t>根据项目场地现状环境监测可知，项目地环境空气质量符合《环境空气质量标准》（GB3095-2012）中的二级标准，区域地表水符合《地表水环境质量标准》（GB3838-2002）III类标准，声环境执行《声环境质量标准》(GB3095-2008)的2类及4a类区标准。项目建设地符合环境质量底线要求。</w:t>
            </w:r>
          </w:p>
          <w:p>
            <w:pPr>
              <w:wordWrap w:val="0"/>
              <w:topLinePunct/>
              <w:adjustRightInd w:val="0"/>
              <w:snapToGrid w:val="0"/>
              <w:ind w:firstLine="480" w:firstLineChars="200"/>
              <w:rPr>
                <w:color w:val="0000FF"/>
                <w:kern w:val="0"/>
                <w:u w:val="single"/>
              </w:rPr>
            </w:pPr>
            <w:r>
              <w:rPr>
                <w:u w:val="single"/>
              </w:rPr>
              <w:t>本项目大气污染物主要包括</w:t>
            </w:r>
            <w:r>
              <w:rPr>
                <w:rFonts w:hint="eastAsia"/>
                <w:kern w:val="0"/>
                <w:u w:val="single"/>
              </w:rPr>
              <w:t>成品</w:t>
            </w:r>
            <w:r>
              <w:rPr>
                <w:kern w:val="0"/>
                <w:u w:val="single"/>
              </w:rPr>
              <w:t>堆场扬尘、</w:t>
            </w:r>
            <w:r>
              <w:rPr>
                <w:rFonts w:hint="eastAsia"/>
                <w:kern w:val="0"/>
                <w:u w:val="single"/>
              </w:rPr>
              <w:t>装卸</w:t>
            </w:r>
            <w:r>
              <w:rPr>
                <w:kern w:val="0"/>
                <w:u w:val="single"/>
              </w:rPr>
              <w:t>粉尘、运输车辆扬尘、生产过程中产生的破碎筛分</w:t>
            </w:r>
            <w:r>
              <w:rPr>
                <w:rFonts w:hint="eastAsia"/>
                <w:kern w:val="0"/>
                <w:u w:val="single"/>
              </w:rPr>
              <w:t>制砂</w:t>
            </w:r>
            <w:r>
              <w:rPr>
                <w:kern w:val="0"/>
                <w:u w:val="single"/>
              </w:rPr>
              <w:t>粉尘、运输车辆汽车尾气及</w:t>
            </w:r>
            <w:r>
              <w:rPr>
                <w:u w:val="single"/>
              </w:rPr>
              <w:t>食堂油烟，各污染物均能实现达标排放，对周围环境质量影响较小；</w:t>
            </w:r>
            <w:r>
              <w:rPr>
                <w:kern w:val="21"/>
                <w:u w:val="single"/>
              </w:rPr>
              <w:t>本项目产生的废水包括</w:t>
            </w:r>
            <w:r>
              <w:rPr>
                <w:rFonts w:hint="eastAsia"/>
                <w:kern w:val="21"/>
                <w:u w:val="single"/>
                <w:lang w:eastAsia="zh-CN"/>
              </w:rPr>
              <w:t>生产工艺废水</w:t>
            </w:r>
            <w:r>
              <w:rPr>
                <w:rFonts w:hint="eastAsia"/>
                <w:kern w:val="21"/>
                <w:u w:val="single"/>
              </w:rPr>
              <w:t>、</w:t>
            </w:r>
            <w:r>
              <w:rPr>
                <w:szCs w:val="32"/>
                <w:u w:val="single"/>
              </w:rPr>
              <w:t>洗车废水、生活污水及初期雨水</w:t>
            </w:r>
            <w:r>
              <w:rPr>
                <w:kern w:val="21"/>
                <w:u w:val="single"/>
              </w:rPr>
              <w:t>，</w:t>
            </w:r>
            <w:r>
              <w:rPr>
                <w:rFonts w:hint="eastAsia"/>
                <w:kern w:val="21"/>
                <w:u w:val="single"/>
              </w:rPr>
              <w:t>初期雨水</w:t>
            </w:r>
            <w:r>
              <w:rPr>
                <w:color w:val="auto"/>
                <w:sz w:val="24"/>
                <w:szCs w:val="22"/>
                <w:u w:val="single"/>
                <w:lang w:bidi="zh-CN"/>
              </w:rPr>
              <w:t>通过截排水沟将</w:t>
            </w:r>
            <w:r>
              <w:rPr>
                <w:rFonts w:hint="eastAsia"/>
                <w:color w:val="auto"/>
                <w:sz w:val="24"/>
                <w:szCs w:val="22"/>
                <w:u w:val="single"/>
                <w:lang w:bidi="zh-CN"/>
              </w:rPr>
              <w:t>厂区</w:t>
            </w:r>
            <w:r>
              <w:rPr>
                <w:color w:val="auto"/>
                <w:sz w:val="24"/>
                <w:szCs w:val="22"/>
                <w:u w:val="single"/>
                <w:lang w:bidi="zh-CN"/>
              </w:rPr>
              <w:t>汇集的地表径流收集至</w:t>
            </w:r>
            <w:r>
              <w:rPr>
                <w:rFonts w:hint="eastAsia"/>
                <w:kern w:val="21"/>
                <w:u w:val="single"/>
              </w:rPr>
              <w:t>初期雨水收集池</w:t>
            </w:r>
            <w:r>
              <w:rPr>
                <w:kern w:val="21"/>
                <w:u w:val="single"/>
              </w:rPr>
              <w:t>沉淀后回用于厂区降尘洒水</w:t>
            </w:r>
            <w:r>
              <w:rPr>
                <w:rFonts w:hint="eastAsia"/>
                <w:kern w:val="21"/>
                <w:u w:val="single"/>
              </w:rPr>
              <w:t>，</w:t>
            </w:r>
            <w:r>
              <w:rPr>
                <w:szCs w:val="32"/>
                <w:u w:val="single"/>
              </w:rPr>
              <w:t>洗车废水</w:t>
            </w:r>
            <w:r>
              <w:rPr>
                <w:rFonts w:hint="eastAsia"/>
                <w:szCs w:val="32"/>
                <w:u w:val="single"/>
              </w:rPr>
              <w:t>、</w:t>
            </w:r>
            <w:r>
              <w:rPr>
                <w:rFonts w:hint="eastAsia"/>
                <w:szCs w:val="32"/>
                <w:u w:val="single"/>
                <w:lang w:eastAsia="zh-CN"/>
              </w:rPr>
              <w:t>生产工艺废水</w:t>
            </w:r>
            <w:r>
              <w:rPr>
                <w:rFonts w:hint="eastAsia"/>
                <w:szCs w:val="32"/>
                <w:u w:val="single"/>
              </w:rPr>
              <w:t>经</w:t>
            </w:r>
            <w:r>
              <w:rPr>
                <w:szCs w:val="32"/>
                <w:u w:val="single"/>
              </w:rPr>
              <w:t>废水处理系统</w:t>
            </w:r>
            <w:r>
              <w:rPr>
                <w:rFonts w:hint="eastAsia"/>
                <w:szCs w:val="32"/>
                <w:u w:val="single"/>
              </w:rPr>
              <w:t>处理后回用于生产，</w:t>
            </w:r>
            <w:r>
              <w:rPr>
                <w:szCs w:val="32"/>
                <w:u w:val="single"/>
              </w:rPr>
              <w:t>生活污水经</w:t>
            </w:r>
            <w:r>
              <w:rPr>
                <w:rFonts w:hint="eastAsia"/>
                <w:szCs w:val="32"/>
                <w:u w:val="single"/>
              </w:rPr>
              <w:t>隔油</w:t>
            </w:r>
            <w:r>
              <w:rPr>
                <w:szCs w:val="32"/>
                <w:u w:val="single"/>
              </w:rPr>
              <w:t>化粪池处理用于周边林地、</w:t>
            </w:r>
            <w:r>
              <w:rPr>
                <w:rFonts w:hint="eastAsia"/>
                <w:szCs w:val="32"/>
                <w:u w:val="single"/>
              </w:rPr>
              <w:t>菜地</w:t>
            </w:r>
            <w:r>
              <w:rPr>
                <w:szCs w:val="32"/>
                <w:u w:val="single"/>
              </w:rPr>
              <w:t>浇灌，不外排</w:t>
            </w:r>
            <w:r>
              <w:rPr>
                <w:rFonts w:hint="eastAsia"/>
                <w:szCs w:val="32"/>
                <w:u w:val="single"/>
              </w:rPr>
              <w:t>。项</w:t>
            </w:r>
            <w:r>
              <w:rPr>
                <w:szCs w:val="32"/>
                <w:u w:val="single"/>
              </w:rPr>
              <w:t>目厂界噪声昼间值满足《工业企业厂界环境噪声排放标准》(GB12348-2008)2类及4类标准要求，对周围声环境影响不明显，固废可做到无害化处置</w:t>
            </w:r>
            <w:r>
              <w:rPr>
                <w:u w:val="single"/>
              </w:rPr>
              <w:t>；本项目各种污染物均得到合理有效处置，项目运营后，不改变区域环境功能。</w:t>
            </w:r>
          </w:p>
          <w:p>
            <w:pPr>
              <w:wordWrap w:val="0"/>
              <w:topLinePunct/>
              <w:adjustRightInd w:val="0"/>
              <w:snapToGrid w:val="0"/>
              <w:ind w:firstLine="480" w:firstLineChars="200"/>
              <w:rPr>
                <w:kern w:val="0"/>
                <w:u w:val="single"/>
              </w:rPr>
            </w:pPr>
            <w:r>
              <w:rPr>
                <w:kern w:val="0"/>
                <w:u w:val="single"/>
              </w:rPr>
              <w:fldChar w:fldCharType="begin"/>
            </w:r>
            <w:r>
              <w:rPr>
                <w:kern w:val="0"/>
                <w:u w:val="single"/>
              </w:rPr>
              <w:instrText xml:space="preserve"> = 3 \* GB3 </w:instrText>
            </w:r>
            <w:r>
              <w:rPr>
                <w:kern w:val="0"/>
                <w:u w:val="single"/>
              </w:rPr>
              <w:fldChar w:fldCharType="separate"/>
            </w:r>
            <w:r>
              <w:rPr>
                <w:kern w:val="0"/>
                <w:u w:val="single"/>
              </w:rPr>
              <w:t>③</w:t>
            </w:r>
            <w:r>
              <w:rPr>
                <w:kern w:val="0"/>
                <w:u w:val="single"/>
              </w:rPr>
              <w:fldChar w:fldCharType="end"/>
            </w:r>
            <w:r>
              <w:rPr>
                <w:kern w:val="0"/>
                <w:u w:val="single"/>
              </w:rPr>
              <w:t>资源利用上线</w:t>
            </w:r>
          </w:p>
          <w:p>
            <w:pPr>
              <w:wordWrap w:val="0"/>
              <w:topLinePunct/>
              <w:adjustRightInd w:val="0"/>
              <w:snapToGrid w:val="0"/>
              <w:ind w:firstLine="480" w:firstLineChars="200"/>
              <w:rPr>
                <w:kern w:val="0"/>
                <w:u w:val="single"/>
              </w:rPr>
            </w:pPr>
            <w:r>
              <w:rPr>
                <w:kern w:val="0"/>
                <w:u w:val="single"/>
              </w:rPr>
              <w:t>根据《关于加强资源环境生态红线管控的指导意见》(发改环资〔2016〕1162号)相关要求，“设定资源消耗上限。合理设定全国及各地区资源消耗“天花板”，对能源、水、土地等战略性资源消耗总量实施管控，强化资源消耗总量管控与消耗强度管理的协同。”</w:t>
            </w:r>
          </w:p>
          <w:p>
            <w:pPr>
              <w:wordWrap w:val="0"/>
              <w:topLinePunct/>
              <w:adjustRightInd w:val="0"/>
              <w:snapToGrid w:val="0"/>
              <w:ind w:firstLine="480" w:firstLineChars="200"/>
              <w:rPr>
                <w:color w:val="0000FF"/>
                <w:kern w:val="0"/>
              </w:rPr>
            </w:pPr>
            <w:r>
              <w:rPr>
                <w:rFonts w:hint="eastAsia"/>
                <w:kern w:val="0"/>
                <w:szCs w:val="32"/>
                <w:u w:val="single"/>
              </w:rPr>
              <w:t>项目</w:t>
            </w:r>
            <w:r>
              <w:rPr>
                <w:kern w:val="0"/>
                <w:szCs w:val="32"/>
                <w:u w:val="single"/>
              </w:rPr>
              <w:t>为</w:t>
            </w:r>
            <w:r>
              <w:rPr>
                <w:u w:val="single"/>
              </w:rPr>
              <w:t>其他建筑材料制造</w:t>
            </w:r>
            <w:r>
              <w:rPr>
                <w:rFonts w:hint="eastAsia"/>
                <w:kern w:val="0"/>
                <w:szCs w:val="32"/>
                <w:u w:val="single"/>
              </w:rPr>
              <w:t>，</w:t>
            </w:r>
            <w:r>
              <w:rPr>
                <w:kern w:val="0"/>
                <w:u w:val="single"/>
              </w:rPr>
              <w:t>不属于高耗能、高污染、资源型企业，通过内部管理、设备选择、原辅材料的选用和管理、污染治理等方面采取合理可行的防治措施，以“节能、降耗、减污”为目标，有效的控制污染。项目不涉及基本农田，不占用耕地等土地资源，不会突破环境资源利用上线，不会使环境容量接近或超过承载能力。本项目资源消耗相对区域资源利用总量较少，符合资源利用上限要求。</w:t>
            </w:r>
          </w:p>
          <w:p>
            <w:pPr>
              <w:wordWrap w:val="0"/>
              <w:topLinePunct/>
              <w:adjustRightInd w:val="0"/>
              <w:snapToGrid w:val="0"/>
              <w:ind w:firstLine="480" w:firstLineChars="200"/>
              <w:rPr>
                <w:kern w:val="0"/>
              </w:rPr>
            </w:pPr>
            <w:r>
              <w:rPr>
                <w:kern w:val="0"/>
              </w:rPr>
              <w:fldChar w:fldCharType="begin"/>
            </w:r>
            <w:r>
              <w:rPr>
                <w:kern w:val="0"/>
              </w:rPr>
              <w:instrText xml:space="preserve"> = 4 \* GB3 </w:instrText>
            </w:r>
            <w:r>
              <w:rPr>
                <w:kern w:val="0"/>
              </w:rPr>
              <w:fldChar w:fldCharType="separate"/>
            </w:r>
            <w:r>
              <w:rPr>
                <w:kern w:val="0"/>
              </w:rPr>
              <w:t>④</w:t>
            </w:r>
            <w:r>
              <w:rPr>
                <w:kern w:val="0"/>
              </w:rPr>
              <w:fldChar w:fldCharType="end"/>
            </w:r>
            <w:r>
              <w:rPr>
                <w:rFonts w:hint="eastAsia"/>
                <w:kern w:val="0"/>
                <w:lang w:eastAsia="zh-CN"/>
              </w:rPr>
              <w:t>生态环境</w:t>
            </w:r>
            <w:r>
              <w:rPr>
                <w:kern w:val="0"/>
              </w:rPr>
              <w:t>准入清单</w:t>
            </w:r>
          </w:p>
          <w:p>
            <w:pPr>
              <w:ind w:firstLine="480" w:firstLineChars="200"/>
              <w:rPr>
                <w:color w:val="0000FF"/>
                <w:szCs w:val="32"/>
                <w:u w:val="single"/>
                <w:shd w:val="clear" w:color="auto" w:fill="FFFFFF"/>
              </w:rPr>
            </w:pPr>
            <w:r>
              <w:rPr>
                <w:szCs w:val="32"/>
                <w:u w:val="single"/>
              </w:rPr>
              <w:t>本项目位于怀化市</w:t>
            </w:r>
            <w:r>
              <w:rPr>
                <w:rFonts w:hint="eastAsia"/>
                <w:u w:val="single"/>
              </w:rPr>
              <w:t>辰溪县火马冲镇沙堆村</w:t>
            </w:r>
            <w:r>
              <w:rPr>
                <w:szCs w:val="32"/>
                <w:u w:val="single"/>
              </w:rPr>
              <w:t>，根据《怀化市“三线一单”生态环境管控基本要求暨环境管控单元（省级以上产业园区除外）生态环境准入清单》</w:t>
            </w:r>
            <w:r>
              <w:rPr>
                <w:szCs w:val="32"/>
                <w:u w:val="single"/>
                <w:shd w:val="clear" w:color="auto" w:fill="FFFFFF"/>
              </w:rPr>
              <w:t>，项目所在地为重点管控单元，环境管控单元编码为</w:t>
            </w:r>
            <w:r>
              <w:rPr>
                <w:rFonts w:hint="eastAsia"/>
                <w:szCs w:val="21"/>
                <w:u w:val="single"/>
              </w:rPr>
              <w:t>ZH43122320003</w:t>
            </w:r>
            <w:r>
              <w:rPr>
                <w:szCs w:val="32"/>
                <w:u w:val="single"/>
                <w:shd w:val="clear" w:color="auto" w:fill="FFFFFF"/>
              </w:rPr>
              <w:t>，具体管控要求及本项目符合性见下表。</w:t>
            </w:r>
          </w:p>
          <w:p>
            <w:pPr>
              <w:wordWrap w:val="0"/>
              <w:topLinePunct/>
              <w:adjustRightInd w:val="0"/>
              <w:snapToGrid w:val="0"/>
              <w:spacing w:line="240" w:lineRule="auto"/>
              <w:jc w:val="center"/>
              <w:rPr>
                <w:b/>
                <w:bCs/>
                <w:sz w:val="21"/>
                <w:szCs w:val="21"/>
                <w:u w:val="single"/>
              </w:rPr>
            </w:pPr>
            <w:r>
              <w:rPr>
                <w:b/>
                <w:bCs/>
                <w:sz w:val="21"/>
                <w:szCs w:val="21"/>
                <w:u w:val="single"/>
              </w:rPr>
              <w:t>表1-1  项目与怀化市“三线一单”环境管控单元的符合性分析</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4"/>
              <w:gridCol w:w="2614"/>
              <w:gridCol w:w="2684"/>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78" w:type="pct"/>
                  <w:vAlign w:val="center"/>
                </w:tcPr>
                <w:p>
                  <w:pPr>
                    <w:adjustRightInd w:val="0"/>
                    <w:snapToGrid w:val="0"/>
                    <w:spacing w:line="240" w:lineRule="auto"/>
                    <w:jc w:val="center"/>
                    <w:rPr>
                      <w:b/>
                      <w:bCs/>
                      <w:sz w:val="21"/>
                      <w:szCs w:val="21"/>
                      <w:u w:val="single"/>
                    </w:rPr>
                  </w:pPr>
                  <w:r>
                    <w:rPr>
                      <w:b/>
                      <w:bCs/>
                      <w:sz w:val="21"/>
                      <w:szCs w:val="21"/>
                      <w:u w:val="single"/>
                    </w:rPr>
                    <w:t>项目</w:t>
                  </w:r>
                </w:p>
              </w:tc>
              <w:tc>
                <w:tcPr>
                  <w:tcW w:w="1843" w:type="pct"/>
                  <w:vAlign w:val="center"/>
                </w:tcPr>
                <w:p>
                  <w:pPr>
                    <w:adjustRightInd w:val="0"/>
                    <w:snapToGrid w:val="0"/>
                    <w:spacing w:line="240" w:lineRule="auto"/>
                    <w:jc w:val="center"/>
                    <w:rPr>
                      <w:b/>
                      <w:bCs/>
                      <w:sz w:val="21"/>
                      <w:szCs w:val="21"/>
                      <w:u w:val="single"/>
                    </w:rPr>
                  </w:pPr>
                  <w:r>
                    <w:rPr>
                      <w:b/>
                      <w:bCs/>
                      <w:sz w:val="21"/>
                      <w:szCs w:val="21"/>
                      <w:u w:val="single"/>
                    </w:rPr>
                    <w:t>管控要求</w:t>
                  </w:r>
                </w:p>
              </w:tc>
              <w:tc>
                <w:tcPr>
                  <w:tcW w:w="1892" w:type="pct"/>
                  <w:vAlign w:val="center"/>
                </w:tcPr>
                <w:p>
                  <w:pPr>
                    <w:adjustRightInd w:val="0"/>
                    <w:snapToGrid w:val="0"/>
                    <w:spacing w:line="240" w:lineRule="auto"/>
                    <w:jc w:val="center"/>
                    <w:rPr>
                      <w:b/>
                      <w:bCs/>
                      <w:sz w:val="21"/>
                      <w:szCs w:val="21"/>
                      <w:u w:val="single"/>
                    </w:rPr>
                  </w:pPr>
                  <w:r>
                    <w:rPr>
                      <w:b/>
                      <w:bCs/>
                      <w:sz w:val="21"/>
                      <w:szCs w:val="21"/>
                      <w:u w:val="single"/>
                    </w:rPr>
                    <w:t>本项目情况</w:t>
                  </w:r>
                </w:p>
              </w:tc>
              <w:tc>
                <w:tcPr>
                  <w:tcW w:w="486" w:type="pct"/>
                  <w:vAlign w:val="center"/>
                </w:tcPr>
                <w:p>
                  <w:pPr>
                    <w:adjustRightInd w:val="0"/>
                    <w:snapToGrid w:val="0"/>
                    <w:spacing w:line="240" w:lineRule="auto"/>
                    <w:jc w:val="center"/>
                    <w:rPr>
                      <w:b/>
                      <w:bCs/>
                      <w:sz w:val="21"/>
                      <w:szCs w:val="21"/>
                      <w:u w:val="single"/>
                    </w:rPr>
                  </w:pPr>
                  <w:r>
                    <w:rPr>
                      <w:b/>
                      <w:bCs/>
                      <w:sz w:val="21"/>
                      <w:szCs w:val="21"/>
                      <w:u w:val="single"/>
                    </w:rPr>
                    <w:t>是否相符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jc w:val="center"/>
              </w:trPr>
              <w:tc>
                <w:tcPr>
                  <w:tcW w:w="778" w:type="pct"/>
                  <w:vAlign w:val="center"/>
                </w:tcPr>
                <w:p>
                  <w:pPr>
                    <w:adjustRightInd w:val="0"/>
                    <w:snapToGrid w:val="0"/>
                    <w:spacing w:line="240" w:lineRule="auto"/>
                    <w:jc w:val="center"/>
                    <w:rPr>
                      <w:sz w:val="21"/>
                      <w:szCs w:val="21"/>
                      <w:u w:val="single"/>
                    </w:rPr>
                  </w:pPr>
                  <w:r>
                    <w:rPr>
                      <w:sz w:val="21"/>
                      <w:szCs w:val="21"/>
                      <w:u w:val="single"/>
                    </w:rPr>
                    <w:t>区域主体功能定位及主导产业</w:t>
                  </w:r>
                </w:p>
              </w:tc>
              <w:tc>
                <w:tcPr>
                  <w:tcW w:w="1843" w:type="pct"/>
                  <w:vAlign w:val="center"/>
                </w:tcPr>
                <w:p>
                  <w:pPr>
                    <w:adjustRightInd w:val="0"/>
                    <w:snapToGrid w:val="0"/>
                    <w:spacing w:line="240" w:lineRule="auto"/>
                    <w:jc w:val="center"/>
                    <w:rPr>
                      <w:sz w:val="21"/>
                      <w:szCs w:val="21"/>
                      <w:u w:val="single"/>
                    </w:rPr>
                  </w:pPr>
                  <w:r>
                    <w:rPr>
                      <w:sz w:val="21"/>
                      <w:szCs w:val="21"/>
                      <w:u w:val="single"/>
                    </w:rPr>
                    <w:t>国家级重点生态功能区，</w:t>
                  </w:r>
                </w:p>
                <w:p>
                  <w:pPr>
                    <w:pStyle w:val="10"/>
                    <w:adjustRightInd w:val="0"/>
                    <w:spacing w:after="0" w:line="240" w:lineRule="auto"/>
                    <w:jc w:val="center"/>
                    <w:rPr>
                      <w:sz w:val="21"/>
                      <w:szCs w:val="21"/>
                      <w:u w:val="single"/>
                    </w:rPr>
                  </w:pPr>
                  <w:r>
                    <w:rPr>
                      <w:sz w:val="21"/>
                      <w:szCs w:val="21"/>
                      <w:u w:val="single"/>
                    </w:rPr>
                    <w:t>经济产业布局：农业、养殖业</w:t>
                  </w:r>
                  <w:r>
                    <w:rPr>
                      <w:rFonts w:hint="eastAsia"/>
                      <w:sz w:val="21"/>
                      <w:szCs w:val="21"/>
                      <w:u w:val="single"/>
                    </w:rPr>
                    <w:t>、旅游业、物流业、农副产品加工</w:t>
                  </w:r>
                  <w:r>
                    <w:rPr>
                      <w:sz w:val="21"/>
                      <w:szCs w:val="21"/>
                      <w:u w:val="single"/>
                    </w:rPr>
                    <w:t>。</w:t>
                  </w:r>
                </w:p>
              </w:tc>
              <w:tc>
                <w:tcPr>
                  <w:tcW w:w="1892" w:type="pct"/>
                  <w:vAlign w:val="center"/>
                </w:tcPr>
                <w:p>
                  <w:pPr>
                    <w:adjustRightInd w:val="0"/>
                    <w:snapToGrid w:val="0"/>
                    <w:spacing w:line="240" w:lineRule="auto"/>
                    <w:jc w:val="center"/>
                    <w:rPr>
                      <w:sz w:val="21"/>
                      <w:szCs w:val="21"/>
                      <w:u w:val="single"/>
                    </w:rPr>
                  </w:pPr>
                  <w:r>
                    <w:rPr>
                      <w:sz w:val="21"/>
                      <w:szCs w:val="21"/>
                      <w:u w:val="single"/>
                    </w:rPr>
                    <w:t>本项目为</w:t>
                  </w:r>
                  <w:r>
                    <w:rPr>
                      <w:rFonts w:hint="eastAsia"/>
                      <w:sz w:val="21"/>
                      <w:szCs w:val="21"/>
                      <w:u w:val="single"/>
                    </w:rPr>
                    <w:t>其他建筑材料制造</w:t>
                  </w:r>
                  <w:r>
                    <w:rPr>
                      <w:sz w:val="21"/>
                      <w:szCs w:val="21"/>
                      <w:u w:val="single"/>
                    </w:rPr>
                    <w:t>。</w:t>
                  </w:r>
                </w:p>
              </w:tc>
              <w:tc>
                <w:tcPr>
                  <w:tcW w:w="486" w:type="pct"/>
                  <w:vAlign w:val="center"/>
                </w:tcPr>
                <w:p>
                  <w:pPr>
                    <w:adjustRightInd w:val="0"/>
                    <w:snapToGrid w:val="0"/>
                    <w:spacing w:line="240" w:lineRule="auto"/>
                    <w:jc w:val="center"/>
                    <w:rPr>
                      <w:sz w:val="21"/>
                      <w:szCs w:val="21"/>
                      <w:u w:val="single"/>
                    </w:rPr>
                  </w:pPr>
                  <w:r>
                    <w:rPr>
                      <w:sz w:val="21"/>
                      <w:szCs w:val="21"/>
                      <w:u w:val="singl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778" w:type="pct"/>
                  <w:vAlign w:val="center"/>
                </w:tcPr>
                <w:p>
                  <w:pPr>
                    <w:adjustRightInd w:val="0"/>
                    <w:snapToGrid w:val="0"/>
                    <w:spacing w:line="240" w:lineRule="auto"/>
                    <w:jc w:val="center"/>
                    <w:rPr>
                      <w:sz w:val="21"/>
                      <w:szCs w:val="21"/>
                      <w:u w:val="single"/>
                    </w:rPr>
                  </w:pPr>
                  <w:r>
                    <w:rPr>
                      <w:sz w:val="21"/>
                      <w:szCs w:val="21"/>
                      <w:u w:val="single"/>
                    </w:rPr>
                    <w:t>空间布局约束</w:t>
                  </w:r>
                </w:p>
              </w:tc>
              <w:tc>
                <w:tcPr>
                  <w:tcW w:w="1843" w:type="pct"/>
                  <w:vAlign w:val="center"/>
                </w:tcPr>
                <w:p>
                  <w:pPr>
                    <w:tabs>
                      <w:tab w:val="left" w:pos="1021"/>
                    </w:tabs>
                    <w:spacing w:line="240" w:lineRule="auto"/>
                    <w:jc w:val="center"/>
                    <w:rPr>
                      <w:sz w:val="21"/>
                      <w:szCs w:val="21"/>
                      <w:u w:val="single"/>
                    </w:rPr>
                  </w:pPr>
                  <w:r>
                    <w:rPr>
                      <w:rFonts w:hint="eastAsia"/>
                      <w:sz w:val="21"/>
                      <w:szCs w:val="21"/>
                      <w:u w:val="single"/>
                    </w:rPr>
                    <w:t>（1.1）按省级、市级生态环境准入总体清单中相关条文执行。</w:t>
                  </w:r>
                </w:p>
                <w:p>
                  <w:pPr>
                    <w:adjustRightInd w:val="0"/>
                    <w:snapToGrid w:val="0"/>
                    <w:spacing w:line="240" w:lineRule="auto"/>
                    <w:jc w:val="center"/>
                    <w:rPr>
                      <w:sz w:val="21"/>
                      <w:szCs w:val="21"/>
                      <w:u w:val="single"/>
                    </w:rPr>
                  </w:pPr>
                  <w:r>
                    <w:rPr>
                      <w:rFonts w:hint="eastAsia"/>
                      <w:sz w:val="21"/>
                      <w:szCs w:val="21"/>
                      <w:u w:val="single"/>
                    </w:rPr>
                    <w:t>（1.2）省级园区核准范围外部分，参照省级以上园区清单执行。</w:t>
                  </w:r>
                </w:p>
              </w:tc>
              <w:tc>
                <w:tcPr>
                  <w:tcW w:w="1892" w:type="pct"/>
                  <w:vAlign w:val="center"/>
                </w:tcPr>
                <w:p>
                  <w:pPr>
                    <w:adjustRightInd w:val="0"/>
                    <w:snapToGrid w:val="0"/>
                    <w:spacing w:line="240" w:lineRule="auto"/>
                    <w:jc w:val="center"/>
                    <w:rPr>
                      <w:sz w:val="21"/>
                      <w:szCs w:val="21"/>
                      <w:u w:val="single"/>
                    </w:rPr>
                  </w:pPr>
                  <w:r>
                    <w:rPr>
                      <w:rFonts w:hint="eastAsia"/>
                      <w:sz w:val="21"/>
                      <w:szCs w:val="21"/>
                      <w:u w:val="single"/>
                    </w:rPr>
                    <w:t>严格按照要求执行。</w:t>
                  </w:r>
                </w:p>
              </w:tc>
              <w:tc>
                <w:tcPr>
                  <w:tcW w:w="486" w:type="pct"/>
                  <w:vAlign w:val="center"/>
                </w:tcPr>
                <w:p>
                  <w:pPr>
                    <w:adjustRightInd w:val="0"/>
                    <w:snapToGrid w:val="0"/>
                    <w:spacing w:line="240" w:lineRule="auto"/>
                    <w:jc w:val="center"/>
                    <w:rPr>
                      <w:sz w:val="21"/>
                      <w:szCs w:val="21"/>
                      <w:u w:val="single"/>
                    </w:rPr>
                  </w:pPr>
                  <w:r>
                    <w:rPr>
                      <w:sz w:val="21"/>
                      <w:szCs w:val="21"/>
                      <w:u w:val="singl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8" w:type="pct"/>
                  <w:vAlign w:val="center"/>
                </w:tcPr>
                <w:p>
                  <w:pPr>
                    <w:adjustRightInd w:val="0"/>
                    <w:snapToGrid w:val="0"/>
                    <w:spacing w:line="240" w:lineRule="auto"/>
                    <w:jc w:val="center"/>
                    <w:rPr>
                      <w:color w:val="0000FF"/>
                      <w:sz w:val="21"/>
                      <w:szCs w:val="21"/>
                      <w:u w:val="single"/>
                    </w:rPr>
                  </w:pPr>
                </w:p>
                <w:p>
                  <w:pPr>
                    <w:adjustRightInd w:val="0"/>
                    <w:snapToGrid w:val="0"/>
                    <w:spacing w:line="240" w:lineRule="auto"/>
                    <w:rPr>
                      <w:color w:val="0000FF"/>
                      <w:sz w:val="21"/>
                      <w:szCs w:val="21"/>
                      <w:u w:val="single"/>
                    </w:rPr>
                  </w:pPr>
                </w:p>
                <w:p>
                  <w:pPr>
                    <w:adjustRightInd w:val="0"/>
                    <w:snapToGrid w:val="0"/>
                    <w:spacing w:line="240" w:lineRule="auto"/>
                    <w:jc w:val="center"/>
                    <w:rPr>
                      <w:color w:val="0000FF"/>
                      <w:sz w:val="21"/>
                      <w:szCs w:val="21"/>
                      <w:u w:val="single"/>
                    </w:rPr>
                  </w:pPr>
                </w:p>
                <w:p>
                  <w:pPr>
                    <w:adjustRightInd w:val="0"/>
                    <w:snapToGrid w:val="0"/>
                    <w:spacing w:line="240" w:lineRule="auto"/>
                    <w:jc w:val="center"/>
                    <w:rPr>
                      <w:color w:val="0000FF"/>
                      <w:sz w:val="21"/>
                      <w:szCs w:val="21"/>
                      <w:u w:val="single"/>
                    </w:rPr>
                  </w:pPr>
                  <w:r>
                    <w:rPr>
                      <w:sz w:val="21"/>
                      <w:szCs w:val="21"/>
                      <w:u w:val="single"/>
                    </w:rPr>
                    <w:t>污染</w:t>
                  </w:r>
                  <w:r>
                    <w:rPr>
                      <w:sz w:val="21"/>
                      <w:szCs w:val="21"/>
                      <w:u w:val="single"/>
                    </w:rPr>
                    <w:cr/>
                  </w:r>
                  <w:r>
                    <w:rPr>
                      <w:sz w:val="21"/>
                      <w:szCs w:val="21"/>
                      <w:u w:val="single"/>
                    </w:rPr>
                    <w:t>物排放管控</w:t>
                  </w:r>
                </w:p>
              </w:tc>
              <w:tc>
                <w:tcPr>
                  <w:tcW w:w="1843" w:type="pct"/>
                  <w:vAlign w:val="center"/>
                </w:tcPr>
                <w:p>
                  <w:pPr>
                    <w:adjustRightInd w:val="0"/>
                    <w:snapToGrid w:val="0"/>
                    <w:spacing w:line="240" w:lineRule="auto"/>
                    <w:jc w:val="center"/>
                    <w:rPr>
                      <w:sz w:val="21"/>
                      <w:szCs w:val="21"/>
                      <w:u w:val="single"/>
                    </w:rPr>
                  </w:pPr>
                  <w:r>
                    <w:rPr>
                      <w:rFonts w:hint="eastAsia"/>
                      <w:sz w:val="21"/>
                      <w:szCs w:val="21"/>
                      <w:u w:val="single"/>
                    </w:rPr>
                    <w:t>（2.1）到2025年，建有污水治理设施行政村覆盖率不低于55%；到2030年，建有污水治理设施的行政村覆盖率不低于80%。</w:t>
                  </w:r>
                </w:p>
                <w:p>
                  <w:pPr>
                    <w:adjustRightInd w:val="0"/>
                    <w:snapToGrid w:val="0"/>
                    <w:spacing w:line="240" w:lineRule="auto"/>
                    <w:jc w:val="center"/>
                    <w:rPr>
                      <w:color w:val="0000FF"/>
                      <w:sz w:val="21"/>
                      <w:szCs w:val="21"/>
                      <w:u w:val="single"/>
                    </w:rPr>
                  </w:pPr>
                  <w:r>
                    <w:rPr>
                      <w:rFonts w:hint="eastAsia"/>
                      <w:sz w:val="21"/>
                      <w:szCs w:val="21"/>
                      <w:u w:val="single"/>
                    </w:rPr>
                    <w:t>（2.2）推广秸秆资源化利用技术，控制秸秆污染，到2021年作物秸秆资源化利用率达到85%以上。推广畜禽粪便沼气发酵处理技术，控制畜禽粪便污染。推广污水净化池处理污水技术，控制污水污染。建立生活垃圾分户收集、分类、处理制度，实现对生活垃圾的减量排放和资源化利用。</w:t>
                  </w:r>
                </w:p>
              </w:tc>
              <w:tc>
                <w:tcPr>
                  <w:tcW w:w="1892" w:type="pct"/>
                  <w:vAlign w:val="center"/>
                </w:tcPr>
                <w:p>
                  <w:pPr>
                    <w:adjustRightInd w:val="0"/>
                    <w:snapToGrid w:val="0"/>
                    <w:spacing w:line="240" w:lineRule="auto"/>
                    <w:rPr>
                      <w:color w:val="0000FF"/>
                      <w:sz w:val="21"/>
                      <w:szCs w:val="21"/>
                      <w:u w:val="single"/>
                    </w:rPr>
                  </w:pPr>
                  <w:r>
                    <w:rPr>
                      <w:sz w:val="21"/>
                      <w:szCs w:val="21"/>
                      <w:u w:val="single"/>
                    </w:rPr>
                    <w:t>本项目厂区实行雨污分流。</w:t>
                  </w:r>
                  <w:r>
                    <w:rPr>
                      <w:rFonts w:hint="eastAsia"/>
                      <w:sz w:val="21"/>
                      <w:szCs w:val="21"/>
                      <w:u w:val="single"/>
                    </w:rPr>
                    <w:t>生产</w:t>
                  </w:r>
                  <w:r>
                    <w:rPr>
                      <w:rFonts w:hint="eastAsia"/>
                      <w:sz w:val="21"/>
                      <w:szCs w:val="21"/>
                      <w:u w:val="single"/>
                      <w:lang w:eastAsia="zh-CN"/>
                    </w:rPr>
                    <w:t>工艺</w:t>
                  </w:r>
                  <w:r>
                    <w:rPr>
                      <w:rFonts w:hint="eastAsia"/>
                      <w:sz w:val="21"/>
                      <w:szCs w:val="21"/>
                      <w:u w:val="single"/>
                    </w:rPr>
                    <w:t>废水经</w:t>
                  </w:r>
                  <w:r>
                    <w:rPr>
                      <w:sz w:val="21"/>
                      <w:szCs w:val="21"/>
                      <w:u w:val="single"/>
                    </w:rPr>
                    <w:t>废水处理系统</w:t>
                  </w:r>
                  <w:r>
                    <w:rPr>
                      <w:rFonts w:hint="eastAsia"/>
                      <w:sz w:val="21"/>
                      <w:szCs w:val="21"/>
                      <w:u w:val="single"/>
                    </w:rPr>
                    <w:t>处理后回用于生产</w:t>
                  </w:r>
                  <w:r>
                    <w:rPr>
                      <w:sz w:val="21"/>
                      <w:szCs w:val="21"/>
                      <w:u w:val="single"/>
                    </w:rPr>
                    <w:t>（</w:t>
                  </w:r>
                  <w:r>
                    <w:rPr>
                      <w:rFonts w:hint="eastAsia"/>
                      <w:sz w:val="21"/>
                      <w:szCs w:val="21"/>
                      <w:u w:val="single"/>
                    </w:rPr>
                    <w:t>75</w:t>
                  </w:r>
                  <w:r>
                    <w:rPr>
                      <w:sz w:val="21"/>
                      <w:szCs w:val="21"/>
                      <w:u w:val="single"/>
                    </w:rPr>
                    <w:t>m</w:t>
                  </w:r>
                  <w:r>
                    <w:rPr>
                      <w:sz w:val="21"/>
                      <w:szCs w:val="21"/>
                      <w:u w:val="single"/>
                      <w:vertAlign w:val="superscript"/>
                    </w:rPr>
                    <w:t>3</w:t>
                  </w:r>
                  <w:r>
                    <w:rPr>
                      <w:sz w:val="21"/>
                      <w:szCs w:val="21"/>
                      <w:u w:val="single"/>
                    </w:rPr>
                    <w:t>废水收集池深锥浓缩罐+板框压滤机+</w:t>
                  </w:r>
                  <w:r>
                    <w:rPr>
                      <w:rFonts w:hint="eastAsia"/>
                      <w:sz w:val="21"/>
                      <w:szCs w:val="21"/>
                      <w:u w:val="single"/>
                    </w:rPr>
                    <w:t>27</w:t>
                  </w:r>
                  <w:r>
                    <w:rPr>
                      <w:sz w:val="21"/>
                      <w:szCs w:val="21"/>
                      <w:u w:val="single"/>
                    </w:rPr>
                    <w:t>m</w:t>
                  </w:r>
                  <w:r>
                    <w:rPr>
                      <w:sz w:val="21"/>
                      <w:szCs w:val="21"/>
                      <w:u w:val="single"/>
                      <w:vertAlign w:val="superscript"/>
                    </w:rPr>
                    <w:t>3</w:t>
                  </w:r>
                  <w:r>
                    <w:rPr>
                      <w:sz w:val="21"/>
                      <w:szCs w:val="21"/>
                      <w:u w:val="single"/>
                    </w:rPr>
                    <w:t>清水池）；</w:t>
                  </w:r>
                  <w:r>
                    <w:rPr>
                      <w:rFonts w:hint="eastAsia"/>
                      <w:sz w:val="21"/>
                      <w:szCs w:val="21"/>
                      <w:u w:val="single"/>
                      <w:lang w:eastAsia="zh-CN"/>
                    </w:rPr>
                    <w:t>洗车废水经洗车平台沉淀池（</w:t>
                  </w:r>
                  <w:r>
                    <w:rPr>
                      <w:rFonts w:hint="eastAsia"/>
                      <w:sz w:val="21"/>
                      <w:szCs w:val="21"/>
                      <w:u w:val="single"/>
                      <w:lang w:val="en-US" w:eastAsia="zh-CN"/>
                    </w:rPr>
                    <w:t>27m³</w:t>
                  </w:r>
                  <w:r>
                    <w:rPr>
                      <w:rFonts w:hint="eastAsia"/>
                      <w:sz w:val="21"/>
                      <w:szCs w:val="21"/>
                      <w:u w:val="single"/>
                      <w:lang w:eastAsia="zh-CN"/>
                    </w:rPr>
                    <w:t>）处理后回用于洗车；</w:t>
                  </w:r>
                  <w:r>
                    <w:rPr>
                      <w:sz w:val="21"/>
                      <w:szCs w:val="21"/>
                      <w:u w:val="single"/>
                    </w:rPr>
                    <w:t>生活污水</w:t>
                  </w:r>
                  <w:r>
                    <w:rPr>
                      <w:kern w:val="0"/>
                      <w:sz w:val="21"/>
                      <w:szCs w:val="21"/>
                      <w:u w:val="single"/>
                    </w:rPr>
                    <w:t>经</w:t>
                  </w:r>
                  <w:r>
                    <w:rPr>
                      <w:rFonts w:hint="eastAsia"/>
                      <w:kern w:val="0"/>
                      <w:sz w:val="21"/>
                      <w:szCs w:val="21"/>
                      <w:u w:val="single"/>
                    </w:rPr>
                    <w:t>隔油</w:t>
                  </w:r>
                  <w:r>
                    <w:rPr>
                      <w:kern w:val="0"/>
                      <w:sz w:val="21"/>
                      <w:szCs w:val="21"/>
                      <w:u w:val="single"/>
                    </w:rPr>
                    <w:t>化粪池</w:t>
                  </w:r>
                  <w:r>
                    <w:rPr>
                      <w:rFonts w:hint="eastAsia"/>
                      <w:kern w:val="0"/>
                      <w:sz w:val="21"/>
                      <w:szCs w:val="21"/>
                      <w:u w:val="single"/>
                    </w:rPr>
                    <w:t>（</w:t>
                  </w:r>
                  <w:r>
                    <w:rPr>
                      <w:rFonts w:hint="eastAsia"/>
                      <w:kern w:val="0"/>
                      <w:sz w:val="21"/>
                      <w:szCs w:val="21"/>
                      <w:u w:val="single"/>
                      <w:lang w:val="en-US" w:eastAsia="zh-CN"/>
                    </w:rPr>
                    <w:t>5</w:t>
                  </w:r>
                  <w:r>
                    <w:rPr>
                      <w:sz w:val="21"/>
                      <w:szCs w:val="21"/>
                      <w:u w:val="single"/>
                    </w:rPr>
                    <w:t>m</w:t>
                  </w:r>
                  <w:r>
                    <w:rPr>
                      <w:sz w:val="21"/>
                      <w:szCs w:val="21"/>
                      <w:u w:val="single"/>
                      <w:vertAlign w:val="superscript"/>
                    </w:rPr>
                    <w:t>3</w:t>
                  </w:r>
                  <w:r>
                    <w:rPr>
                      <w:rFonts w:hint="eastAsia"/>
                      <w:kern w:val="0"/>
                      <w:sz w:val="21"/>
                      <w:szCs w:val="21"/>
                      <w:u w:val="single"/>
                    </w:rPr>
                    <w:t>）</w:t>
                  </w:r>
                  <w:r>
                    <w:rPr>
                      <w:kern w:val="0"/>
                      <w:sz w:val="21"/>
                      <w:szCs w:val="21"/>
                      <w:u w:val="single"/>
                    </w:rPr>
                    <w:t>处理用于周边林地、</w:t>
                  </w:r>
                  <w:r>
                    <w:rPr>
                      <w:rFonts w:hint="eastAsia"/>
                      <w:kern w:val="0"/>
                      <w:sz w:val="21"/>
                      <w:szCs w:val="21"/>
                      <w:u w:val="single"/>
                    </w:rPr>
                    <w:t>菜地</w:t>
                  </w:r>
                  <w:r>
                    <w:rPr>
                      <w:kern w:val="0"/>
                      <w:sz w:val="21"/>
                      <w:szCs w:val="21"/>
                      <w:u w:val="single"/>
                    </w:rPr>
                    <w:t>浇灌，不外排</w:t>
                  </w:r>
                  <w:r>
                    <w:rPr>
                      <w:rFonts w:hint="eastAsia"/>
                      <w:kern w:val="0"/>
                      <w:sz w:val="21"/>
                      <w:szCs w:val="21"/>
                      <w:u w:val="single"/>
                    </w:rPr>
                    <w:t>；</w:t>
                  </w:r>
                  <w:r>
                    <w:rPr>
                      <w:rFonts w:hint="eastAsia"/>
                      <w:sz w:val="21"/>
                      <w:szCs w:val="21"/>
                      <w:u w:val="single"/>
                    </w:rPr>
                    <w:t>初期</w:t>
                  </w:r>
                  <w:r>
                    <w:rPr>
                      <w:sz w:val="21"/>
                      <w:szCs w:val="21"/>
                      <w:u w:val="single"/>
                    </w:rPr>
                    <w:t>雨水</w:t>
                  </w:r>
                  <w:r>
                    <w:rPr>
                      <w:rFonts w:ascii="Times New Roman" w:hAnsi="Times New Roman" w:eastAsia="宋体" w:cs="Times New Roman"/>
                      <w:kern w:val="0"/>
                      <w:sz w:val="21"/>
                      <w:szCs w:val="21"/>
                      <w:u w:val="single"/>
                      <w:lang w:bidi="zh-CN"/>
                    </w:rPr>
                    <w:t>通过截排水沟将</w:t>
                  </w:r>
                  <w:r>
                    <w:rPr>
                      <w:rFonts w:hint="default" w:ascii="Times New Roman" w:hAnsi="Times New Roman" w:eastAsia="宋体" w:cs="Times New Roman"/>
                      <w:kern w:val="0"/>
                      <w:sz w:val="21"/>
                      <w:szCs w:val="21"/>
                      <w:u w:val="single"/>
                      <w:lang w:bidi="zh-CN"/>
                    </w:rPr>
                    <w:t>厂区</w:t>
                  </w:r>
                  <w:r>
                    <w:rPr>
                      <w:rFonts w:ascii="Times New Roman" w:hAnsi="Times New Roman" w:eastAsia="宋体" w:cs="Times New Roman"/>
                      <w:kern w:val="0"/>
                      <w:sz w:val="21"/>
                      <w:szCs w:val="21"/>
                      <w:u w:val="single"/>
                      <w:lang w:bidi="zh-CN"/>
                    </w:rPr>
                    <w:t>汇集的地表径流收集至</w:t>
                  </w:r>
                  <w:r>
                    <w:rPr>
                      <w:rFonts w:hint="eastAsia"/>
                      <w:sz w:val="21"/>
                      <w:szCs w:val="21"/>
                      <w:u w:val="single"/>
                    </w:rPr>
                    <w:t>初期雨水收集池</w:t>
                  </w:r>
                  <w:r>
                    <w:rPr>
                      <w:rFonts w:hint="eastAsia"/>
                      <w:kern w:val="0"/>
                      <w:sz w:val="21"/>
                      <w:szCs w:val="21"/>
                      <w:u w:val="single"/>
                    </w:rPr>
                    <w:t>（</w:t>
                  </w:r>
                  <w:r>
                    <w:rPr>
                      <w:rFonts w:hint="eastAsia"/>
                      <w:kern w:val="0"/>
                      <w:sz w:val="21"/>
                      <w:szCs w:val="21"/>
                      <w:u w:val="single"/>
                      <w:lang w:val="en-US" w:eastAsia="zh-CN"/>
                    </w:rPr>
                    <w:t>116</w:t>
                  </w:r>
                  <w:r>
                    <w:rPr>
                      <w:sz w:val="21"/>
                      <w:szCs w:val="21"/>
                      <w:u w:val="single"/>
                    </w:rPr>
                    <w:t>m</w:t>
                  </w:r>
                  <w:r>
                    <w:rPr>
                      <w:sz w:val="21"/>
                      <w:szCs w:val="21"/>
                      <w:u w:val="single"/>
                      <w:vertAlign w:val="superscript"/>
                    </w:rPr>
                    <w:t>3</w:t>
                  </w:r>
                  <w:r>
                    <w:rPr>
                      <w:rFonts w:hint="eastAsia"/>
                      <w:kern w:val="0"/>
                      <w:sz w:val="21"/>
                      <w:szCs w:val="21"/>
                      <w:u w:val="single"/>
                    </w:rPr>
                    <w:t>）</w:t>
                  </w:r>
                  <w:r>
                    <w:rPr>
                      <w:sz w:val="21"/>
                      <w:szCs w:val="21"/>
                      <w:u w:val="single"/>
                    </w:rPr>
                    <w:t>沉淀后回用于厂区降尘洒水；本项目</w:t>
                  </w:r>
                  <w:r>
                    <w:rPr>
                      <w:rFonts w:hint="eastAsia"/>
                      <w:sz w:val="21"/>
                      <w:szCs w:val="21"/>
                      <w:u w:val="single"/>
                    </w:rPr>
                    <w:t>成品</w:t>
                  </w:r>
                  <w:r>
                    <w:rPr>
                      <w:sz w:val="21"/>
                      <w:szCs w:val="21"/>
                      <w:u w:val="single"/>
                    </w:rPr>
                    <w:t>堆场设置</w:t>
                  </w:r>
                  <w:r>
                    <w:rPr>
                      <w:rFonts w:hint="eastAsia"/>
                      <w:sz w:val="21"/>
                      <w:szCs w:val="21"/>
                      <w:u w:val="single"/>
                    </w:rPr>
                    <w:t>喷淋抑尘设施</w:t>
                  </w:r>
                  <w:r>
                    <w:rPr>
                      <w:bCs/>
                      <w:sz w:val="21"/>
                      <w:szCs w:val="21"/>
                      <w:u w:val="single"/>
                    </w:rPr>
                    <w:t>后无组织排放，</w:t>
                  </w:r>
                  <w:r>
                    <w:rPr>
                      <w:rFonts w:hint="eastAsia"/>
                      <w:bCs/>
                      <w:sz w:val="21"/>
                      <w:szCs w:val="21"/>
                      <w:u w:val="single"/>
                    </w:rPr>
                    <w:t>装卸粉尘、运输车辆扬尘</w:t>
                  </w:r>
                  <w:r>
                    <w:rPr>
                      <w:bCs/>
                      <w:sz w:val="21"/>
                      <w:szCs w:val="21"/>
                      <w:u w:val="single"/>
                    </w:rPr>
                    <w:t>无组织排放，</w:t>
                  </w:r>
                  <w:r>
                    <w:rPr>
                      <w:rFonts w:hint="eastAsia"/>
                      <w:bCs/>
                      <w:sz w:val="21"/>
                      <w:szCs w:val="21"/>
                      <w:u w:val="single"/>
                    </w:rPr>
                    <w:t>破碎、筛分、制砂采用湿式作业</w:t>
                  </w:r>
                  <w:r>
                    <w:rPr>
                      <w:rFonts w:hint="eastAsia"/>
                      <w:bCs/>
                      <w:sz w:val="21"/>
                      <w:szCs w:val="21"/>
                      <w:u w:val="single"/>
                      <w:lang w:eastAsia="zh-CN"/>
                    </w:rPr>
                    <w:t>，</w:t>
                  </w:r>
                  <w:r>
                    <w:rPr>
                      <w:rFonts w:hint="eastAsia"/>
                      <w:sz w:val="21"/>
                      <w:szCs w:val="21"/>
                      <w:u w:val="single"/>
                    </w:rPr>
                    <w:t>对</w:t>
                  </w:r>
                  <w:r>
                    <w:rPr>
                      <w:rFonts w:hint="eastAsia"/>
                      <w:sz w:val="21"/>
                      <w:szCs w:val="21"/>
                      <w:u w:val="single"/>
                      <w:lang w:eastAsia="zh-CN"/>
                    </w:rPr>
                    <w:t>破碎工序</w:t>
                  </w:r>
                  <w:r>
                    <w:rPr>
                      <w:rFonts w:hint="eastAsia"/>
                      <w:sz w:val="21"/>
                      <w:szCs w:val="21"/>
                      <w:u w:val="single"/>
                    </w:rPr>
                    <w:t>设置</w:t>
                  </w:r>
                  <w:r>
                    <w:rPr>
                      <w:rFonts w:hint="eastAsia"/>
                      <w:sz w:val="21"/>
                      <w:szCs w:val="21"/>
                      <w:u w:val="single"/>
                      <w:lang w:eastAsia="zh-CN"/>
                    </w:rPr>
                    <w:t>三面</w:t>
                  </w:r>
                  <w:r>
                    <w:rPr>
                      <w:rFonts w:hint="eastAsia"/>
                      <w:sz w:val="21"/>
                      <w:szCs w:val="21"/>
                      <w:u w:val="single"/>
                    </w:rPr>
                    <w:t>围挡</w:t>
                  </w:r>
                  <w:r>
                    <w:rPr>
                      <w:rFonts w:hint="eastAsia"/>
                      <w:sz w:val="21"/>
                      <w:szCs w:val="21"/>
                      <w:u w:val="single"/>
                      <w:lang w:eastAsia="zh-CN"/>
                    </w:rPr>
                    <w:t>，</w:t>
                  </w:r>
                  <w:r>
                    <w:rPr>
                      <w:rFonts w:hint="eastAsia"/>
                      <w:bCs/>
                      <w:sz w:val="21"/>
                      <w:szCs w:val="21"/>
                      <w:u w:val="single"/>
                    </w:rPr>
                    <w:t>粉尘产生量可忽略不计，运输车辆</w:t>
                  </w:r>
                  <w:r>
                    <w:rPr>
                      <w:bCs/>
                      <w:sz w:val="21"/>
                      <w:szCs w:val="21"/>
                      <w:u w:val="single"/>
                    </w:rPr>
                    <w:t>尾气经自然扩散后外排，食堂油烟经1套油烟净化装置处理后达标排放</w:t>
                  </w:r>
                  <w:r>
                    <w:rPr>
                      <w:sz w:val="21"/>
                      <w:szCs w:val="21"/>
                      <w:u w:val="single"/>
                    </w:rPr>
                    <w:t>；本项目固体废物、危险废物和生活垃圾定期处理，不会造成二次污染。</w:t>
                  </w:r>
                </w:p>
              </w:tc>
              <w:tc>
                <w:tcPr>
                  <w:tcW w:w="486" w:type="pct"/>
                  <w:vAlign w:val="center"/>
                </w:tcPr>
                <w:p>
                  <w:pPr>
                    <w:adjustRightInd w:val="0"/>
                    <w:snapToGrid w:val="0"/>
                    <w:spacing w:line="240" w:lineRule="auto"/>
                    <w:rPr>
                      <w:color w:val="0000FF"/>
                      <w:sz w:val="21"/>
                      <w:szCs w:val="21"/>
                      <w:u w:val="single"/>
                    </w:rPr>
                  </w:pPr>
                </w:p>
                <w:p>
                  <w:pPr>
                    <w:adjustRightInd w:val="0"/>
                    <w:snapToGrid w:val="0"/>
                    <w:spacing w:line="240" w:lineRule="auto"/>
                    <w:jc w:val="center"/>
                    <w:rPr>
                      <w:color w:val="0000FF"/>
                      <w:sz w:val="21"/>
                      <w:szCs w:val="21"/>
                      <w:u w:val="single"/>
                    </w:rPr>
                  </w:pPr>
                </w:p>
                <w:p>
                  <w:pPr>
                    <w:adjustRightInd w:val="0"/>
                    <w:snapToGrid w:val="0"/>
                    <w:spacing w:line="240" w:lineRule="auto"/>
                    <w:jc w:val="center"/>
                    <w:rPr>
                      <w:color w:val="0000FF"/>
                      <w:sz w:val="21"/>
                      <w:szCs w:val="21"/>
                      <w:u w:val="single"/>
                    </w:rPr>
                  </w:pPr>
                  <w:r>
                    <w:rPr>
                      <w:sz w:val="21"/>
                      <w:szCs w:val="21"/>
                      <w:u w:val="singl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8" w:type="pct"/>
                  <w:vAlign w:val="center"/>
                </w:tcPr>
                <w:p>
                  <w:pPr>
                    <w:adjustRightInd w:val="0"/>
                    <w:snapToGrid w:val="0"/>
                    <w:spacing w:line="240" w:lineRule="auto"/>
                    <w:jc w:val="center"/>
                    <w:rPr>
                      <w:color w:val="0000FF"/>
                      <w:sz w:val="21"/>
                      <w:szCs w:val="21"/>
                      <w:u w:val="single"/>
                    </w:rPr>
                  </w:pPr>
                  <w:r>
                    <w:rPr>
                      <w:sz w:val="21"/>
                      <w:szCs w:val="21"/>
                      <w:u w:val="single"/>
                    </w:rPr>
                    <w:t>环境风险防控</w:t>
                  </w:r>
                </w:p>
              </w:tc>
              <w:tc>
                <w:tcPr>
                  <w:tcW w:w="1843" w:type="pct"/>
                  <w:vAlign w:val="center"/>
                </w:tcPr>
                <w:p>
                  <w:pPr>
                    <w:widowControl/>
                    <w:spacing w:line="240" w:lineRule="auto"/>
                    <w:jc w:val="center"/>
                    <w:rPr>
                      <w:color w:val="0000FF"/>
                      <w:sz w:val="21"/>
                      <w:szCs w:val="21"/>
                      <w:u w:val="single"/>
                    </w:rPr>
                  </w:pPr>
                  <w:r>
                    <w:rPr>
                      <w:rFonts w:hint="eastAsia"/>
                      <w:sz w:val="21"/>
                      <w:szCs w:val="21"/>
                      <w:u w:val="single"/>
                    </w:rPr>
                    <w:t>（3.1）按省级、市级生态环境准入总体清单中与环境风险防控相关条文执行。</w:t>
                  </w:r>
                </w:p>
              </w:tc>
              <w:tc>
                <w:tcPr>
                  <w:tcW w:w="2684" w:type="dxa"/>
                  <w:vAlign w:val="center"/>
                </w:tcPr>
                <w:p>
                  <w:pPr>
                    <w:adjustRightInd w:val="0"/>
                    <w:snapToGrid w:val="0"/>
                    <w:spacing w:line="240" w:lineRule="auto"/>
                    <w:jc w:val="center"/>
                    <w:rPr>
                      <w:color w:val="0000FF"/>
                      <w:sz w:val="21"/>
                      <w:szCs w:val="21"/>
                      <w:u w:val="single"/>
                    </w:rPr>
                  </w:pPr>
                  <w:r>
                    <w:rPr>
                      <w:rFonts w:hint="eastAsia"/>
                      <w:sz w:val="21"/>
                      <w:szCs w:val="21"/>
                      <w:u w:val="single"/>
                    </w:rPr>
                    <w:t>严格按照要求执行。</w:t>
                  </w:r>
                </w:p>
              </w:tc>
              <w:tc>
                <w:tcPr>
                  <w:tcW w:w="689" w:type="dxa"/>
                  <w:vAlign w:val="center"/>
                </w:tcPr>
                <w:p>
                  <w:pPr>
                    <w:adjustRightInd w:val="0"/>
                    <w:snapToGrid w:val="0"/>
                    <w:spacing w:line="240" w:lineRule="auto"/>
                    <w:jc w:val="center"/>
                    <w:rPr>
                      <w:color w:val="0000FF"/>
                      <w:sz w:val="21"/>
                      <w:szCs w:val="21"/>
                      <w:u w:val="single"/>
                    </w:rPr>
                  </w:pPr>
                  <w:r>
                    <w:rPr>
                      <w:sz w:val="21"/>
                      <w:szCs w:val="21"/>
                      <w:u w:val="singl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9" w:hRule="atLeast"/>
                <w:jc w:val="center"/>
              </w:trPr>
              <w:tc>
                <w:tcPr>
                  <w:tcW w:w="778" w:type="pct"/>
                  <w:vAlign w:val="center"/>
                </w:tcPr>
                <w:p>
                  <w:pPr>
                    <w:adjustRightInd w:val="0"/>
                    <w:snapToGrid w:val="0"/>
                    <w:spacing w:line="240" w:lineRule="auto"/>
                    <w:jc w:val="center"/>
                    <w:rPr>
                      <w:sz w:val="21"/>
                      <w:szCs w:val="21"/>
                      <w:u w:val="single"/>
                    </w:rPr>
                  </w:pPr>
                  <w:r>
                    <w:rPr>
                      <w:sz w:val="21"/>
                      <w:szCs w:val="21"/>
                      <w:u w:val="single"/>
                    </w:rPr>
                    <w:t>资源开发效率要求</w:t>
                  </w:r>
                </w:p>
              </w:tc>
              <w:tc>
                <w:tcPr>
                  <w:tcW w:w="1843" w:type="pct"/>
                  <w:vAlign w:val="center"/>
                </w:tcPr>
                <w:p>
                  <w:pPr>
                    <w:adjustRightInd w:val="0"/>
                    <w:snapToGrid w:val="0"/>
                    <w:spacing w:line="240" w:lineRule="auto"/>
                    <w:jc w:val="center"/>
                    <w:rPr>
                      <w:sz w:val="21"/>
                      <w:szCs w:val="21"/>
                      <w:u w:val="single"/>
                    </w:rPr>
                  </w:pPr>
                  <w:r>
                    <w:rPr>
                      <w:rFonts w:hint="eastAsia"/>
                      <w:sz w:val="21"/>
                      <w:szCs w:val="21"/>
                      <w:u w:val="single"/>
                    </w:rPr>
                    <w:t>（4.1）构建农村现代能源体系。提升农村电网保障能力，加快天然气管网设施建设，因地制宜推进太阳能、水能、风能、地热能等资源的开发利用，推进农作物秸秆等能源化利用及沼气工程集中供气、发电上网等综合利用。</w:t>
                  </w:r>
                </w:p>
              </w:tc>
              <w:tc>
                <w:tcPr>
                  <w:tcW w:w="1892" w:type="pct"/>
                  <w:vAlign w:val="center"/>
                </w:tcPr>
                <w:p>
                  <w:pPr>
                    <w:spacing w:line="240" w:lineRule="auto"/>
                    <w:jc w:val="center"/>
                    <w:rPr>
                      <w:sz w:val="21"/>
                      <w:szCs w:val="21"/>
                      <w:u w:val="single"/>
                    </w:rPr>
                  </w:pPr>
                </w:p>
                <w:p>
                  <w:pPr>
                    <w:pStyle w:val="26"/>
                    <w:spacing w:line="240" w:lineRule="auto"/>
                    <w:rPr>
                      <w:rFonts w:hint="default" w:ascii="Times New Roman" w:hAnsi="Times New Roman" w:cs="Times New Roman"/>
                      <w:color w:val="auto"/>
                      <w:sz w:val="21"/>
                      <w:szCs w:val="21"/>
                      <w:u w:val="single"/>
                    </w:rPr>
                  </w:pPr>
                </w:p>
                <w:p>
                  <w:pPr>
                    <w:spacing w:line="240" w:lineRule="auto"/>
                    <w:jc w:val="center"/>
                    <w:rPr>
                      <w:sz w:val="21"/>
                      <w:szCs w:val="21"/>
                      <w:u w:val="single"/>
                    </w:rPr>
                  </w:pPr>
                </w:p>
                <w:p>
                  <w:pPr>
                    <w:spacing w:line="240" w:lineRule="auto"/>
                    <w:jc w:val="center"/>
                    <w:rPr>
                      <w:sz w:val="21"/>
                      <w:szCs w:val="21"/>
                      <w:u w:val="single"/>
                    </w:rPr>
                  </w:pPr>
                  <w:r>
                    <w:rPr>
                      <w:sz w:val="21"/>
                      <w:szCs w:val="21"/>
                      <w:u w:val="single"/>
                    </w:rPr>
                    <w:t>严格按照要求执行</w:t>
                  </w:r>
                </w:p>
                <w:p>
                  <w:pPr>
                    <w:spacing w:line="240" w:lineRule="auto"/>
                    <w:jc w:val="center"/>
                    <w:rPr>
                      <w:sz w:val="21"/>
                      <w:szCs w:val="21"/>
                      <w:u w:val="single"/>
                    </w:rPr>
                  </w:pPr>
                </w:p>
                <w:p>
                  <w:pPr>
                    <w:pStyle w:val="10"/>
                    <w:spacing w:line="240" w:lineRule="auto"/>
                    <w:jc w:val="center"/>
                    <w:rPr>
                      <w:sz w:val="21"/>
                      <w:szCs w:val="21"/>
                      <w:u w:val="single"/>
                    </w:rPr>
                  </w:pPr>
                </w:p>
              </w:tc>
              <w:tc>
                <w:tcPr>
                  <w:tcW w:w="486" w:type="pct"/>
                  <w:vAlign w:val="center"/>
                </w:tcPr>
                <w:p>
                  <w:pPr>
                    <w:spacing w:line="240" w:lineRule="auto"/>
                    <w:jc w:val="center"/>
                    <w:rPr>
                      <w:sz w:val="21"/>
                      <w:szCs w:val="21"/>
                      <w:u w:val="single"/>
                    </w:rPr>
                  </w:pPr>
                  <w:r>
                    <w:rPr>
                      <w:sz w:val="21"/>
                      <w:szCs w:val="21"/>
                      <w:u w:val="single"/>
                    </w:rPr>
                    <w:t>符合</w:t>
                  </w:r>
                </w:p>
              </w:tc>
            </w:tr>
          </w:tbl>
          <w:p>
            <w:pPr>
              <w:autoSpaceDE w:val="0"/>
              <w:autoSpaceDN w:val="0"/>
              <w:adjustRightInd w:val="0"/>
              <w:snapToGrid w:val="0"/>
              <w:ind w:firstLine="480" w:firstLineChars="200"/>
              <w:jc w:val="left"/>
              <w:rPr>
                <w:color w:val="0000FF"/>
              </w:rPr>
            </w:pPr>
            <w:bookmarkStart w:id="11" w:name="_Toc29062"/>
            <w:r>
              <w:rPr>
                <w:u w:val="single"/>
              </w:rPr>
              <w:t>综上，本项目的建设与《怀化市“三线一单”生态环境管控基本要求暨环境管控单元（省级以上产业园区除外）生态环境准入清单》》相符合。</w:t>
            </w:r>
          </w:p>
          <w:p>
            <w:pPr>
              <w:pStyle w:val="30"/>
              <w:numPr>
                <w:ilvl w:val="1"/>
                <w:numId w:val="0"/>
              </w:numPr>
              <w:ind w:left="284"/>
            </w:pPr>
            <w:r>
              <w:t>1.</w:t>
            </w:r>
            <w:r>
              <w:rPr>
                <w:rFonts w:hint="eastAsia"/>
              </w:rPr>
              <w:t>3</w:t>
            </w:r>
            <w:r>
              <w:t xml:space="preserve"> 选址合理性分析</w:t>
            </w:r>
            <w:bookmarkEnd w:id="10"/>
            <w:bookmarkEnd w:id="11"/>
          </w:p>
          <w:p>
            <w:pPr>
              <w:ind w:firstLine="480" w:firstLineChars="200"/>
              <w:rPr>
                <w:rFonts w:hint="eastAsia" w:cs="Times New Roman"/>
                <w:sz w:val="24"/>
                <w:szCs w:val="24"/>
                <w:lang w:val="en-US" w:eastAsia="zh-CN"/>
              </w:rPr>
            </w:pPr>
            <w:r>
              <w:rPr>
                <w:kern w:val="0"/>
                <w:u w:val="single"/>
              </w:rPr>
              <w:t>本项目选址于</w:t>
            </w:r>
            <w:r>
              <w:rPr>
                <w:rFonts w:hint="eastAsia"/>
                <w:u w:val="single"/>
              </w:rPr>
              <w:t>怀化市辰溪县火马冲镇沙堆村</w:t>
            </w:r>
            <w:r>
              <w:rPr>
                <w:kern w:val="0"/>
                <w:u w:val="single"/>
              </w:rPr>
              <w:t>，距</w:t>
            </w:r>
            <w:r>
              <w:rPr>
                <w:rFonts w:hint="eastAsia"/>
                <w:kern w:val="0"/>
                <w:u w:val="single"/>
              </w:rPr>
              <w:t>G354国道10m</w:t>
            </w:r>
            <w:r>
              <w:rPr>
                <w:kern w:val="0"/>
                <w:u w:val="single"/>
              </w:rPr>
              <w:t>，生产所需</w:t>
            </w:r>
            <w:r>
              <w:rPr>
                <w:rFonts w:hint="eastAsia"/>
                <w:kern w:val="0"/>
                <w:u w:val="single"/>
              </w:rPr>
              <w:t>原材料</w:t>
            </w:r>
            <w:r>
              <w:rPr>
                <w:rFonts w:hint="eastAsia"/>
                <w:kern w:val="0"/>
                <w:u w:val="single"/>
                <w:lang w:val="en-US" w:eastAsia="zh-CN"/>
              </w:rPr>
              <w:t>主要</w:t>
            </w:r>
            <w:r>
              <w:rPr>
                <w:rFonts w:hint="eastAsia"/>
                <w:kern w:val="0"/>
                <w:u w:val="single"/>
              </w:rPr>
              <w:t>来源于</w:t>
            </w:r>
            <w:r>
              <w:rPr>
                <w:rFonts w:hint="eastAsia"/>
                <w:u w:val="single"/>
              </w:rPr>
              <w:t>辰溪博雅中学沅水尾堆清理</w:t>
            </w:r>
            <w:r>
              <w:rPr>
                <w:rFonts w:hint="eastAsia"/>
                <w:sz w:val="24"/>
                <w:szCs w:val="32"/>
                <w:lang w:val="en-US" w:eastAsia="zh-CN"/>
              </w:rPr>
              <w:t>弃渣点</w:t>
            </w:r>
            <w:r>
              <w:rPr>
                <w:rFonts w:hint="eastAsia"/>
                <w:u w:val="single"/>
                <w:lang w:eastAsia="zh-CN"/>
              </w:rPr>
              <w:t>、沅水洪江至辰溪航道建设工程</w:t>
            </w:r>
            <w:r>
              <w:rPr>
                <w:rFonts w:hint="eastAsia"/>
                <w:u w:val="single"/>
              </w:rPr>
              <w:t>产生的鹅卵石</w:t>
            </w:r>
            <w:r>
              <w:rPr>
                <w:kern w:val="0"/>
                <w:u w:val="single"/>
              </w:rPr>
              <w:t>，</w:t>
            </w:r>
            <w:r>
              <w:rPr>
                <w:rFonts w:hint="eastAsia"/>
                <w:kern w:val="0"/>
                <w:u w:val="single"/>
                <w:lang w:eastAsia="zh-CN"/>
              </w:rPr>
              <w:t>其中</w:t>
            </w:r>
            <w:r>
              <w:rPr>
                <w:rFonts w:hint="eastAsia"/>
                <w:u w:val="single"/>
              </w:rPr>
              <w:t>辰溪博雅中学沅水尾堆清理</w:t>
            </w:r>
            <w:r>
              <w:rPr>
                <w:rFonts w:hint="eastAsia"/>
                <w:sz w:val="24"/>
                <w:szCs w:val="32"/>
                <w:lang w:val="en-US" w:eastAsia="zh-CN"/>
              </w:rPr>
              <w:t>弃渣点</w:t>
            </w:r>
            <w:r>
              <w:rPr>
                <w:rFonts w:hint="eastAsia"/>
                <w:u w:val="single"/>
                <w:lang w:eastAsia="zh-CN"/>
              </w:rPr>
              <w:t>至本项目</w:t>
            </w:r>
            <w:r>
              <w:rPr>
                <w:rFonts w:hint="eastAsia"/>
                <w:kern w:val="0"/>
                <w:u w:val="single"/>
              </w:rPr>
              <w:t>陆运距离24km，</w:t>
            </w:r>
            <w:r>
              <w:rPr>
                <w:rFonts w:hint="eastAsia"/>
                <w:u w:val="single"/>
                <w:lang w:eastAsia="zh-CN"/>
              </w:rPr>
              <w:t>沅水洪江至辰溪航道建设工程“</w:t>
            </w:r>
            <w:r>
              <w:rPr>
                <w:rFonts w:hint="eastAsia"/>
                <w:u w:val="single"/>
                <w:lang w:val="en-US" w:eastAsia="zh-CN"/>
              </w:rPr>
              <w:t>辰州滩-大洑潭段弃渣场</w:t>
            </w:r>
            <w:r>
              <w:rPr>
                <w:rFonts w:hint="eastAsia"/>
                <w:u w:val="single"/>
                <w:lang w:eastAsia="zh-CN"/>
              </w:rPr>
              <w:t>”至本项目陆运距离</w:t>
            </w:r>
            <w:r>
              <w:rPr>
                <w:rFonts w:hint="eastAsia"/>
                <w:u w:val="single"/>
                <w:lang w:val="en-US" w:eastAsia="zh-CN"/>
              </w:rPr>
              <w:t>26</w:t>
            </w:r>
            <w:r>
              <w:rPr>
                <w:rFonts w:hint="eastAsia"/>
                <w:kern w:val="0"/>
                <w:u w:val="single"/>
              </w:rPr>
              <w:t>km</w:t>
            </w:r>
            <w:r>
              <w:rPr>
                <w:rFonts w:hint="eastAsia"/>
                <w:u w:val="single"/>
                <w:lang w:eastAsia="zh-CN"/>
              </w:rPr>
              <w:t>，</w:t>
            </w:r>
            <w:r>
              <w:rPr>
                <w:kern w:val="0"/>
                <w:u w:val="single"/>
              </w:rPr>
              <w:t>交通便利；建设用地工程地质条件较好，所在地的气候条件较好，自然条件对工程的影响不大；厂区生产用水由</w:t>
            </w:r>
            <w:r>
              <w:rPr>
                <w:rFonts w:hint="eastAsia"/>
                <w:kern w:val="0"/>
                <w:u w:val="single"/>
              </w:rPr>
              <w:t>沅水</w:t>
            </w:r>
            <w:r>
              <w:rPr>
                <w:kern w:val="0"/>
                <w:u w:val="single"/>
              </w:rPr>
              <w:t>提供，供应有保障，水质、水量能满足生产、需求，当地供电部门提供一路10KV高压电源，引至配电室，满足项目建设条件。</w:t>
            </w:r>
            <w:r>
              <w:rPr>
                <w:u w:val="single"/>
              </w:rPr>
              <w:t>项目地不涉及生态红线，周边无自然保护区、风景名胜区、饮用水源地保护区、基本农田保护区等环境敏感区</w:t>
            </w:r>
            <w:r>
              <w:rPr>
                <w:kern w:val="0"/>
                <w:u w:val="single"/>
              </w:rPr>
              <w:t>，</w:t>
            </w:r>
            <w:r>
              <w:rPr>
                <w:rFonts w:hint="default"/>
                <w:kern w:val="2"/>
                <w:u w:val="single"/>
                <w:lang w:eastAsia="zh-CN"/>
              </w:rPr>
              <w:t>其中</w:t>
            </w:r>
            <w:r>
              <w:rPr>
                <w:rFonts w:hint="default" w:ascii="Times New Roman" w:hAnsi="Times New Roman" w:eastAsia="宋体" w:cs="Times New Roman"/>
                <w:sz w:val="24"/>
                <w:szCs w:val="24"/>
                <w:u w:val="single"/>
              </w:rPr>
              <w:t>沅水辰溪段鲌类黄颡鱼国家级水产种质资源保护区</w:t>
            </w:r>
            <w:r>
              <w:rPr>
                <w:rFonts w:hint="eastAsia" w:cs="Times New Roman"/>
                <w:sz w:val="24"/>
                <w:szCs w:val="24"/>
                <w:u w:val="single"/>
                <w:lang w:eastAsia="zh-CN"/>
              </w:rPr>
              <w:t>核心区及</w:t>
            </w:r>
            <w:r>
              <w:rPr>
                <w:rFonts w:hint="eastAsia" w:ascii="宋体" w:hAnsi="宋体" w:eastAsia="宋体" w:cs="Times New Roman"/>
                <w:kern w:val="2"/>
                <w:sz w:val="24"/>
                <w:szCs w:val="24"/>
                <w:u w:val="single"/>
                <w:lang w:val="en-US" w:eastAsia="zh-CN" w:bidi="ar-SA"/>
              </w:rPr>
              <w:t>沅水特有鱼类国家级水产种质资源保护区实验区</w:t>
            </w:r>
            <w:r>
              <w:rPr>
                <w:rFonts w:hint="default" w:cs="Times New Roman"/>
                <w:sz w:val="24"/>
                <w:szCs w:val="24"/>
                <w:u w:val="single"/>
                <w:lang w:eastAsia="zh-CN"/>
              </w:rPr>
              <w:t>距项目地北面</w:t>
            </w:r>
            <w:r>
              <w:rPr>
                <w:rFonts w:hint="default" w:cs="Times New Roman"/>
                <w:sz w:val="24"/>
                <w:szCs w:val="24"/>
                <w:u w:val="single"/>
                <w:lang w:val="en-US" w:eastAsia="zh-CN"/>
              </w:rPr>
              <w:t>1m</w:t>
            </w:r>
            <w:r>
              <w:rPr>
                <w:rFonts w:hint="eastAsia" w:cs="Times New Roman"/>
                <w:sz w:val="24"/>
                <w:szCs w:val="24"/>
                <w:u w:val="single"/>
                <w:lang w:val="en-US" w:eastAsia="zh-CN"/>
              </w:rPr>
              <w:t>。</w:t>
            </w:r>
          </w:p>
          <w:p>
            <w:pPr>
              <w:ind w:firstLine="480" w:firstLineChars="200"/>
              <w:rPr>
                <w:rFonts w:hint="eastAsia"/>
                <w:bCs/>
                <w:color w:val="auto"/>
                <w:sz w:val="24"/>
                <w:u w:val="single"/>
                <w:lang w:eastAsia="zh-CN"/>
              </w:rPr>
            </w:pPr>
            <w:r>
              <w:rPr>
                <w:rFonts w:hint="default" w:cs="Times New Roman"/>
                <w:sz w:val="24"/>
                <w:szCs w:val="24"/>
                <w:u w:val="single"/>
                <w:lang w:val="en-US" w:eastAsia="zh-CN"/>
              </w:rPr>
              <w:t>辰溪县二水厂</w:t>
            </w:r>
            <w:r>
              <w:rPr>
                <w:rFonts w:hint="eastAsia" w:cs="Times New Roman"/>
                <w:sz w:val="24"/>
                <w:szCs w:val="24"/>
                <w:u w:val="single"/>
                <w:lang w:val="en-US" w:eastAsia="zh-CN"/>
              </w:rPr>
              <w:t>规划</w:t>
            </w:r>
            <w:r>
              <w:rPr>
                <w:rFonts w:hint="default" w:cs="Times New Roman"/>
                <w:sz w:val="24"/>
                <w:szCs w:val="24"/>
                <w:u w:val="single"/>
                <w:lang w:val="en-US" w:eastAsia="zh-CN"/>
              </w:rPr>
              <w:t>饮用水源取水口距项目地北</w:t>
            </w:r>
            <w:r>
              <w:rPr>
                <w:rFonts w:hint="eastAsia" w:cs="Times New Roman"/>
                <w:sz w:val="24"/>
                <w:szCs w:val="24"/>
                <w:u w:val="single"/>
                <w:lang w:val="en-US" w:eastAsia="zh-CN"/>
              </w:rPr>
              <w:t>侧厂界直线距离</w:t>
            </w:r>
            <w:r>
              <w:rPr>
                <w:rFonts w:hint="default" w:cs="Times New Roman"/>
                <w:sz w:val="24"/>
                <w:szCs w:val="24"/>
                <w:u w:val="single"/>
                <w:lang w:val="en-US" w:eastAsia="zh-CN"/>
              </w:rPr>
              <w:t>200m</w:t>
            </w:r>
            <w:r>
              <w:rPr>
                <w:rFonts w:hint="eastAsia" w:cs="Times New Roman"/>
                <w:sz w:val="24"/>
                <w:szCs w:val="24"/>
                <w:u w:val="single"/>
                <w:lang w:val="en-US" w:eastAsia="zh-CN"/>
              </w:rPr>
              <w:t>，</w:t>
            </w:r>
            <w:r>
              <w:rPr>
                <w:rFonts w:hint="eastAsia"/>
                <w:bCs/>
                <w:u w:val="single"/>
                <w:lang w:val="en-US" w:eastAsia="zh-CN"/>
              </w:rPr>
              <w:t>辰溪县二水厂取水口原为工业取水口，辰溪县佳润生活服务有限公司于2021年11月委托湖南新瑞智环境科技有限责任公司编制完成了《辰溪县第二水厂供水工程项目环境影响报告表》，并于2021年12月14日获怀化市生态环境局辰溪分局批复（怀辰</w:t>
            </w:r>
            <w:r>
              <w:rPr>
                <w:rFonts w:hint="eastAsia"/>
                <w:bCs/>
                <w:color w:val="auto"/>
                <w:sz w:val="24"/>
                <w:u w:val="single"/>
                <w:lang w:eastAsia="zh-CN"/>
              </w:rPr>
              <w:t>环评</w:t>
            </w:r>
            <w:r>
              <w:rPr>
                <w:rFonts w:hint="eastAsia"/>
                <w:bCs/>
                <w:color w:val="auto"/>
                <w:sz w:val="24"/>
                <w:u w:val="single"/>
              </w:rPr>
              <w:t>[20</w:t>
            </w:r>
            <w:r>
              <w:rPr>
                <w:rFonts w:hint="eastAsia"/>
                <w:bCs/>
                <w:color w:val="auto"/>
                <w:sz w:val="24"/>
                <w:u w:val="single"/>
                <w:lang w:val="en-US" w:eastAsia="zh-CN"/>
              </w:rPr>
              <w:t>21</w:t>
            </w:r>
            <w:r>
              <w:rPr>
                <w:rFonts w:hint="eastAsia"/>
                <w:bCs/>
                <w:color w:val="auto"/>
                <w:sz w:val="24"/>
                <w:u w:val="single"/>
              </w:rPr>
              <w:t>]</w:t>
            </w:r>
            <w:r>
              <w:rPr>
                <w:rFonts w:hint="eastAsia"/>
                <w:bCs/>
                <w:color w:val="auto"/>
                <w:sz w:val="24"/>
                <w:u w:val="single"/>
                <w:lang w:val="en-US" w:eastAsia="zh-CN"/>
              </w:rPr>
              <w:t>16</w:t>
            </w:r>
            <w:r>
              <w:rPr>
                <w:rFonts w:hint="eastAsia"/>
                <w:bCs/>
                <w:color w:val="auto"/>
                <w:sz w:val="24"/>
                <w:u w:val="single"/>
              </w:rPr>
              <w:t>号）</w:t>
            </w:r>
            <w:r>
              <w:rPr>
                <w:rFonts w:hint="eastAsia"/>
                <w:bCs/>
                <w:color w:val="auto"/>
                <w:sz w:val="24"/>
                <w:highlight w:val="none"/>
                <w:u w:val="single"/>
              </w:rPr>
              <w:t>（见附件</w:t>
            </w:r>
            <w:r>
              <w:rPr>
                <w:rFonts w:hint="eastAsia"/>
                <w:bCs/>
                <w:color w:val="auto"/>
                <w:sz w:val="24"/>
                <w:highlight w:val="none"/>
                <w:u w:val="single"/>
                <w:lang w:eastAsia="zh-CN"/>
              </w:rPr>
              <w:t>8</w:t>
            </w:r>
            <w:r>
              <w:rPr>
                <w:rFonts w:hint="eastAsia"/>
                <w:bCs/>
                <w:color w:val="auto"/>
                <w:sz w:val="24"/>
                <w:highlight w:val="none"/>
                <w:u w:val="single"/>
              </w:rPr>
              <w:t>）</w:t>
            </w:r>
            <w:r>
              <w:rPr>
                <w:rFonts w:hint="eastAsia"/>
                <w:bCs/>
                <w:color w:val="auto"/>
                <w:sz w:val="24"/>
                <w:highlight w:val="none"/>
                <w:u w:val="single"/>
                <w:lang w:eastAsia="zh-CN"/>
              </w:rPr>
              <w:t>，同意该取水口调整为饮用水源取水口，目前二水厂还未运营，且饮用水源保护区未划分</w:t>
            </w:r>
            <w:r>
              <w:rPr>
                <w:rFonts w:hint="eastAsia"/>
                <w:bCs/>
                <w:color w:val="auto"/>
                <w:sz w:val="24"/>
                <w:u w:val="single"/>
                <w:lang w:eastAsia="zh-CN"/>
              </w:rPr>
              <w:t>。</w:t>
            </w:r>
          </w:p>
          <w:p>
            <w:pPr>
              <w:ind w:firstLine="480" w:firstLineChars="200"/>
              <w:rPr>
                <w:rFonts w:hint="eastAsia"/>
                <w:bCs/>
                <w:u w:val="single"/>
                <w:lang w:val="en-US" w:eastAsia="zh-CN"/>
              </w:rPr>
            </w:pPr>
            <w:r>
              <w:rPr>
                <w:rFonts w:hint="eastAsia"/>
                <w:bCs/>
                <w:u w:val="single"/>
                <w:lang w:val="en-US" w:eastAsia="zh-CN"/>
              </w:rPr>
              <w:t>根据辰溪县经济建设投资有限公司《关于辰溪佳润公司二水厂滩头取水点的函》（见附件</w:t>
            </w:r>
            <w:r>
              <w:rPr>
                <w:rFonts w:hint="eastAsia"/>
                <w:bCs/>
                <w:highlight w:val="none"/>
                <w:u w:val="single"/>
                <w:lang w:val="en-US" w:eastAsia="zh-CN"/>
              </w:rPr>
              <w:t>11</w:t>
            </w:r>
            <w:r>
              <w:rPr>
                <w:rFonts w:hint="eastAsia"/>
                <w:bCs/>
                <w:u w:val="single"/>
                <w:lang w:val="en-US" w:eastAsia="zh-CN"/>
              </w:rPr>
              <w:t>），</w:t>
            </w:r>
            <w:r>
              <w:rPr>
                <w:rFonts w:hint="eastAsia"/>
                <w:bCs/>
                <w:u w:val="single"/>
              </w:rPr>
              <w:t>火马冲广润砂石集散中心为辰溪县经济建设投资有限公司与怀化水务建设经营有限公司、湖南百舸水利建设股份有限公司合作项目，即辰溪沅水尾堆清理及弃渣加工处理经营项目点，弃渣处置期为5年，即2021年9月起至2026年9月止。</w:t>
            </w:r>
            <w:r>
              <w:rPr>
                <w:rFonts w:hint="eastAsia"/>
                <w:bCs/>
                <w:u w:val="single"/>
                <w:lang w:val="en-US" w:eastAsia="zh-CN"/>
              </w:rPr>
              <w:t>目前，</w:t>
            </w:r>
            <w:r>
              <w:rPr>
                <w:rFonts w:hint="eastAsia"/>
                <w:bCs/>
                <w:u w:val="single"/>
              </w:rPr>
              <w:t>辰溪县佳润生活服务有限公司二水厂同处于建设期，尚未启动生产经营。</w:t>
            </w:r>
            <w:r>
              <w:rPr>
                <w:rFonts w:hint="eastAsia"/>
                <w:bCs/>
                <w:u w:val="single"/>
                <w:lang w:val="en-US" w:eastAsia="zh-CN"/>
              </w:rPr>
              <w:t>函明确“1、若</w:t>
            </w:r>
            <w:r>
              <w:rPr>
                <w:rFonts w:hint="eastAsia"/>
                <w:bCs/>
                <w:u w:val="single"/>
              </w:rPr>
              <w:t>辰溪县佳润生活服务有限公司二水厂开始经营生产，火马冲广润砂石集散中心将无条件拆除或搬离，不得影响辰溪县佳润生活服务有限公司二水厂的饮用水源取水口相关环境保护要求</w:t>
            </w:r>
            <w:r>
              <w:rPr>
                <w:rFonts w:hint="eastAsia"/>
                <w:bCs/>
                <w:u w:val="single"/>
                <w:lang w:eastAsia="zh-CN"/>
              </w:rPr>
              <w:t>，</w:t>
            </w:r>
            <w:r>
              <w:rPr>
                <w:rFonts w:hint="eastAsia"/>
                <w:bCs/>
                <w:u w:val="single"/>
                <w:lang w:val="en-US" w:eastAsia="zh-CN"/>
              </w:rPr>
              <w:t>否则自愿同意由辰溪县经济建设投资有限公司强制清场，可处置滞留在场地的所有物品且不要求辰溪县经济建设投资有限公司承担任何赔偿等民事责任; 2、</w:t>
            </w:r>
            <w:r>
              <w:rPr>
                <w:rFonts w:hint="eastAsia"/>
                <w:bCs/>
                <w:u w:val="single"/>
              </w:rPr>
              <w:t>火马冲广润砂石集散中心</w:t>
            </w:r>
            <w:r>
              <w:rPr>
                <w:rFonts w:hint="eastAsia"/>
                <w:bCs/>
                <w:u w:val="single"/>
                <w:lang w:val="en-US" w:eastAsia="zh-CN"/>
              </w:rPr>
              <w:t>经营使用日期自2025年 12月 31日截止，逾期使用的，同意由相关部门强制清场，可处置滞留在场地的所有物品且不要求对方承担任何赔偿等民事责任”。</w:t>
            </w:r>
          </w:p>
          <w:p>
            <w:pPr>
              <w:ind w:firstLine="480" w:firstLineChars="200"/>
              <w:rPr>
                <w:rFonts w:hint="eastAsia"/>
                <w:bCs/>
                <w:sz w:val="24"/>
              </w:rPr>
            </w:pPr>
            <w:r>
              <w:rPr>
                <w:rFonts w:hint="eastAsia"/>
                <w:bCs/>
                <w:sz w:val="24"/>
                <w:u w:val="single"/>
                <w:lang w:val="en-US" w:eastAsia="zh-CN"/>
              </w:rPr>
              <w:t>根据</w:t>
            </w:r>
            <w:r>
              <w:rPr>
                <w:rFonts w:hint="eastAsia"/>
                <w:bCs/>
                <w:sz w:val="24"/>
                <w:u w:val="single"/>
              </w:rPr>
              <w:t>辰溪县人民政府专题会议纪要（见附件13）</w:t>
            </w:r>
            <w:r>
              <w:rPr>
                <w:rFonts w:hint="eastAsia"/>
                <w:bCs/>
                <w:sz w:val="24"/>
                <w:u w:val="single"/>
                <w:lang w:eastAsia="zh-CN"/>
              </w:rPr>
              <w:t>，</w:t>
            </w:r>
            <w:r>
              <w:rPr>
                <w:rFonts w:hint="eastAsia"/>
                <w:bCs/>
                <w:sz w:val="24"/>
                <w:u w:val="single"/>
                <w:lang w:val="en-US" w:eastAsia="zh-CN"/>
              </w:rPr>
              <w:t>明确“</w:t>
            </w:r>
            <w:r>
              <w:rPr>
                <w:rFonts w:hint="eastAsia"/>
                <w:bCs/>
                <w:sz w:val="24"/>
                <w:u w:val="single"/>
              </w:rPr>
              <w:t>1</w:t>
            </w:r>
            <w:r>
              <w:rPr>
                <w:rFonts w:hint="eastAsia"/>
                <w:bCs/>
                <w:sz w:val="24"/>
                <w:u w:val="single"/>
                <w:lang w:eastAsia="zh-CN"/>
              </w:rPr>
              <w:t>、</w:t>
            </w:r>
            <w:r>
              <w:rPr>
                <w:rFonts w:hint="eastAsia"/>
                <w:bCs/>
                <w:sz w:val="24"/>
                <w:u w:val="single"/>
              </w:rPr>
              <w:t>由县经建投公司牵头，与广润砂石公司尽快达成协议，一水厂建成投产时，广润砂石码头需无偿、无条件搬离现址，另行选址重新建设，不得影响二水厂饮用水源的取水安全。2.由市生态环境局辰溪分局牵头，在县经建投公司和广润砂石公司达成协议后，依法依规按弃渣处置点给予广润砂石公司办理环评手续，其经营期限截止 2025 年12月31日。</w:t>
            </w:r>
          </w:p>
          <w:p>
            <w:pPr>
              <w:pStyle w:val="2"/>
              <w:spacing w:after="0"/>
              <w:ind w:left="0" w:leftChars="0" w:firstLine="480" w:firstLineChars="200"/>
              <w:rPr>
                <w:rFonts w:hint="eastAsia"/>
                <w:bCs/>
                <w:sz w:val="24"/>
                <w:u w:val="single"/>
                <w:lang w:val="en-US" w:eastAsia="zh-CN"/>
              </w:rPr>
            </w:pPr>
            <w:r>
              <w:rPr>
                <w:rFonts w:hint="eastAsia"/>
                <w:bCs/>
                <w:sz w:val="24"/>
                <w:u w:val="single"/>
                <w:lang w:val="en-US" w:eastAsia="zh-CN"/>
              </w:rPr>
              <w:t>经咨询怀化市生态环境局辰溪分局，该饮用水源取水口目前还未划定饮用水源保护区。根据</w:t>
            </w:r>
            <w:r>
              <w:rPr>
                <w:rFonts w:hint="eastAsia"/>
                <w:bCs/>
                <w:sz w:val="24"/>
                <w:highlight w:val="none"/>
                <w:u w:val="single"/>
                <w:lang w:val="en-US" w:eastAsia="zh-CN"/>
              </w:rPr>
              <w:t>辰溪县砂石有限责任公司的承诺书（见附件12），</w:t>
            </w:r>
            <w:r>
              <w:rPr>
                <w:rFonts w:hint="eastAsia"/>
                <w:bCs/>
                <w:sz w:val="24"/>
                <w:u w:val="single"/>
                <w:lang w:val="en-US" w:eastAsia="zh-CN"/>
              </w:rPr>
              <w:t>辰溪县砂石有限责任公司承诺如下“</w:t>
            </w:r>
            <w:r>
              <w:rPr>
                <w:rFonts w:hint="eastAsia"/>
                <w:bCs/>
                <w:sz w:val="24"/>
                <w:highlight w:val="none"/>
                <w:u w:val="single"/>
                <w:lang w:val="en-US" w:eastAsia="zh-CN"/>
              </w:rPr>
              <w:t>1、</w:t>
            </w:r>
            <w:r>
              <w:rPr>
                <w:rFonts w:hint="eastAsia"/>
                <w:bCs/>
                <w:sz w:val="24"/>
                <w:u w:val="single"/>
              </w:rPr>
              <w:t>广润砂石公司</w:t>
            </w:r>
            <w:r>
              <w:rPr>
                <w:rFonts w:hint="eastAsia"/>
                <w:bCs/>
                <w:sz w:val="24"/>
                <w:highlight w:val="none"/>
                <w:u w:val="single"/>
                <w:lang w:val="en-US" w:eastAsia="zh-CN"/>
              </w:rPr>
              <w:t>在经营使用过程中，将会高度注意保护辰溪县佳润生活服务有限公司二水厂的饮用水源取水口环境，若造成污染将及时报告相关部门，且自愿承担法律责任。2、若辰溪县佳润生活服务有限公司二水厂滩头取水点一旦开始取水运营，</w:t>
            </w:r>
            <w:r>
              <w:rPr>
                <w:rFonts w:hint="eastAsia"/>
                <w:bCs/>
                <w:sz w:val="24"/>
                <w:u w:val="single"/>
              </w:rPr>
              <w:t>广润砂石公司</w:t>
            </w:r>
            <w:r>
              <w:rPr>
                <w:rFonts w:hint="eastAsia"/>
                <w:bCs/>
                <w:sz w:val="24"/>
                <w:highlight w:val="none"/>
                <w:u w:val="single"/>
                <w:lang w:val="en-US" w:eastAsia="zh-CN"/>
              </w:rPr>
              <w:t>接到辰溪县经济建设投资有限公司书面通知后限期一周内无条件搬离，逾期未搬离的，自愿同意由贵司强制清场，可处置滞留在场地的所有物品且不要求辰溪县经济建设投资有限公司承担任何赔偿等民事责任。3、</w:t>
            </w:r>
            <w:r>
              <w:rPr>
                <w:rFonts w:hint="eastAsia"/>
                <w:bCs/>
                <w:sz w:val="24"/>
                <w:u w:val="single"/>
              </w:rPr>
              <w:t>广润砂石公司</w:t>
            </w:r>
            <w:r>
              <w:rPr>
                <w:rFonts w:hint="eastAsia"/>
                <w:bCs/>
                <w:sz w:val="24"/>
                <w:highlight w:val="none"/>
                <w:u w:val="single"/>
                <w:lang w:val="en-US" w:eastAsia="zh-CN"/>
              </w:rPr>
              <w:t>在取得环评许可手续后，经营使用日期自2025年 12 月 31日截止，逾期使用的，同意由相关部门强制清场,可处置滞留在场地的所有物品且不要求对方承担任何赔偿等民事责任”</w:t>
            </w:r>
            <w:r>
              <w:rPr>
                <w:rFonts w:hint="eastAsia"/>
                <w:bCs/>
                <w:sz w:val="24"/>
                <w:u w:val="single"/>
                <w:lang w:val="en-US" w:eastAsia="zh-CN"/>
              </w:rPr>
              <w:t xml:space="preserve">。  </w:t>
            </w:r>
          </w:p>
          <w:p>
            <w:pPr>
              <w:ind w:firstLine="480" w:firstLineChars="200"/>
              <w:rPr>
                <w:kern w:val="0"/>
                <w:u w:val="single"/>
              </w:rPr>
            </w:pPr>
            <w:r>
              <w:rPr>
                <w:rFonts w:hint="default" w:cs="Times New Roman"/>
                <w:sz w:val="24"/>
                <w:szCs w:val="24"/>
                <w:u w:val="single"/>
                <w:lang w:val="en-US" w:eastAsia="zh-CN"/>
              </w:rPr>
              <w:t>本项目生产过程中产生的废水均不外排，对辰溪县二水厂</w:t>
            </w:r>
            <w:r>
              <w:rPr>
                <w:rFonts w:hint="eastAsia" w:cs="Times New Roman"/>
                <w:sz w:val="24"/>
                <w:szCs w:val="24"/>
                <w:u w:val="single"/>
                <w:lang w:val="en-US" w:eastAsia="zh-CN"/>
              </w:rPr>
              <w:t>规划</w:t>
            </w:r>
            <w:r>
              <w:rPr>
                <w:rFonts w:hint="default" w:cs="Times New Roman"/>
                <w:sz w:val="24"/>
                <w:szCs w:val="24"/>
                <w:u w:val="single"/>
                <w:lang w:val="en-US" w:eastAsia="zh-CN"/>
              </w:rPr>
              <w:t>饮用水源取水口</w:t>
            </w:r>
            <w:r>
              <w:rPr>
                <w:rFonts w:hint="eastAsia" w:cs="Times New Roman"/>
                <w:sz w:val="24"/>
                <w:szCs w:val="24"/>
                <w:u w:val="single"/>
                <w:lang w:val="en-US" w:eastAsia="zh-CN"/>
              </w:rPr>
              <w:t>、</w:t>
            </w:r>
            <w:r>
              <w:rPr>
                <w:rFonts w:hint="default" w:ascii="Times New Roman" w:hAnsi="Times New Roman" w:eastAsia="宋体" w:cs="Times New Roman"/>
                <w:sz w:val="24"/>
                <w:szCs w:val="24"/>
                <w:u w:val="single"/>
              </w:rPr>
              <w:t>沅水辰溪段鲌类黄颡鱼国家级水产种质资源保护区</w:t>
            </w:r>
            <w:r>
              <w:rPr>
                <w:rFonts w:hint="eastAsia" w:cs="Times New Roman"/>
                <w:sz w:val="24"/>
                <w:szCs w:val="24"/>
                <w:u w:val="single"/>
                <w:lang w:eastAsia="zh-CN"/>
              </w:rPr>
              <w:t>核心区及</w:t>
            </w:r>
            <w:r>
              <w:rPr>
                <w:rFonts w:hint="eastAsia" w:ascii="宋体" w:hAnsi="宋体" w:eastAsia="宋体" w:cs="Times New Roman"/>
                <w:kern w:val="2"/>
                <w:sz w:val="24"/>
                <w:szCs w:val="24"/>
                <w:u w:val="single"/>
                <w:lang w:val="en-US" w:eastAsia="zh-CN" w:bidi="ar-SA"/>
              </w:rPr>
              <w:t>沅水特有鱼类国家级水产种质资源保护区实验区</w:t>
            </w:r>
            <w:r>
              <w:rPr>
                <w:rFonts w:hint="eastAsia" w:ascii="宋体" w:hAnsi="宋体" w:cs="Times New Roman"/>
                <w:kern w:val="2"/>
                <w:sz w:val="24"/>
                <w:szCs w:val="24"/>
                <w:u w:val="single"/>
                <w:lang w:val="en-US" w:eastAsia="zh-CN" w:bidi="ar-SA"/>
              </w:rPr>
              <w:t>水质基本无影响</w:t>
            </w:r>
            <w:r>
              <w:rPr>
                <w:rFonts w:hint="default" w:cs="Times New Roman"/>
                <w:sz w:val="24"/>
                <w:szCs w:val="24"/>
                <w:u w:val="single"/>
                <w:lang w:val="en-US" w:eastAsia="zh-CN"/>
              </w:rPr>
              <w:t>；</w:t>
            </w:r>
            <w:r>
              <w:rPr>
                <w:kern w:val="0"/>
                <w:u w:val="single"/>
              </w:rPr>
              <w:t>项目生产过程中产生的噪声、废气对附近居民影响较小。</w:t>
            </w:r>
          </w:p>
          <w:p>
            <w:pPr>
              <w:widowControl/>
              <w:spacing w:line="360" w:lineRule="auto"/>
              <w:ind w:firstLine="480" w:firstLineChars="200"/>
              <w:jc w:val="both"/>
              <w:rPr>
                <w:rFonts w:hint="default" w:eastAsia="宋体"/>
                <w:kern w:val="2"/>
                <w:u w:val="single"/>
                <w:lang w:eastAsia="zh-CN"/>
              </w:rPr>
            </w:pPr>
            <w:r>
              <w:rPr>
                <w:rFonts w:hint="default"/>
                <w:kern w:val="2"/>
                <w:u w:val="single"/>
                <w:lang w:eastAsia="zh-CN"/>
              </w:rPr>
              <w:t>根据本项目</w:t>
            </w:r>
            <w:r>
              <w:rPr>
                <w:rFonts w:hint="default" w:cs="Times New Roman"/>
                <w:sz w:val="24"/>
                <w:szCs w:val="24"/>
                <w:u w:val="single"/>
                <w:lang w:eastAsia="zh-CN"/>
              </w:rPr>
              <w:t>《建设项目洪水影响评价报告》</w:t>
            </w:r>
            <w:r>
              <w:rPr>
                <w:rFonts w:hint="eastAsia" w:cs="Times New Roman"/>
                <w:sz w:val="24"/>
                <w:szCs w:val="24"/>
                <w:u w:val="single"/>
                <w:lang w:eastAsia="zh-CN"/>
              </w:rPr>
              <w:t>：</w:t>
            </w:r>
            <w:r>
              <w:rPr>
                <w:rFonts w:ascii="Times New Roman" w:hAnsi="Times New Roman" w:eastAsia="宋体" w:cs="Times New Roman"/>
                <w:sz w:val="24"/>
                <w:szCs w:val="24"/>
                <w:u w:val="single"/>
              </w:rPr>
              <w:t>（1）</w:t>
            </w:r>
            <w:r>
              <w:rPr>
                <w:rFonts w:hint="default" w:ascii="Times New Roman" w:hAnsi="Times New Roman" w:eastAsia="宋体" w:cs="Times New Roman"/>
                <w:sz w:val="24"/>
                <w:szCs w:val="24"/>
                <w:u w:val="single"/>
              </w:rPr>
              <w:t>项目</w:t>
            </w:r>
            <w:r>
              <w:rPr>
                <w:rFonts w:ascii="Times New Roman" w:hAnsi="Times New Roman" w:eastAsia="宋体" w:cs="Times New Roman"/>
                <w:sz w:val="24"/>
                <w:szCs w:val="24"/>
                <w:u w:val="single"/>
              </w:rPr>
              <w:t>建设符合水利规划、河道岸线规划、水功能区划等相关规划及规定</w:t>
            </w:r>
            <w:r>
              <w:rPr>
                <w:rFonts w:hint="eastAsia" w:cs="Times New Roman"/>
                <w:sz w:val="24"/>
                <w:szCs w:val="24"/>
                <w:u w:val="single"/>
                <w:lang w:eastAsia="zh-CN"/>
              </w:rPr>
              <w:t>；</w:t>
            </w:r>
            <w:r>
              <w:rPr>
                <w:rFonts w:ascii="Times New Roman" w:hAnsi="Times New Roman" w:eastAsia="宋体" w:cs="Times New Roman"/>
                <w:sz w:val="24"/>
                <w:szCs w:val="24"/>
                <w:u w:val="single"/>
              </w:rPr>
              <w:t>（2）</w:t>
            </w:r>
            <w:r>
              <w:rPr>
                <w:rFonts w:hint="default" w:ascii="Times New Roman" w:hAnsi="Times New Roman" w:eastAsia="宋体" w:cs="Times New Roman"/>
                <w:sz w:val="24"/>
                <w:szCs w:val="24"/>
                <w:u w:val="single"/>
              </w:rPr>
              <w:t>项目</w:t>
            </w:r>
            <w:r>
              <w:rPr>
                <w:rFonts w:ascii="Times New Roman" w:hAnsi="Times New Roman" w:eastAsia="宋体" w:cs="Times New Roman"/>
                <w:sz w:val="24"/>
                <w:szCs w:val="24"/>
                <w:u w:val="single"/>
              </w:rPr>
              <w:t>处</w:t>
            </w:r>
            <w:r>
              <w:rPr>
                <w:rFonts w:hint="default" w:ascii="Times New Roman" w:hAnsi="Times New Roman" w:eastAsia="宋体" w:cs="Times New Roman"/>
                <w:sz w:val="24"/>
                <w:szCs w:val="24"/>
                <w:u w:val="single"/>
              </w:rPr>
              <w:t>沅江</w:t>
            </w:r>
            <w:r>
              <w:rPr>
                <w:rFonts w:ascii="Times New Roman" w:hAnsi="Times New Roman" w:eastAsia="宋体" w:cs="Times New Roman"/>
                <w:sz w:val="24"/>
                <w:szCs w:val="24"/>
                <w:u w:val="single"/>
              </w:rPr>
              <w:t>河道20年一遇洪水洪峰流量为20036m</w:t>
            </w:r>
            <w:r>
              <w:rPr>
                <w:rFonts w:ascii="Times New Roman" w:hAnsi="Times New Roman" w:eastAsia="宋体" w:cs="Times New Roman"/>
                <w:sz w:val="24"/>
                <w:szCs w:val="24"/>
                <w:u w:val="single"/>
                <w:vertAlign w:val="superscript"/>
              </w:rPr>
              <w:t>3/</w:t>
            </w:r>
            <w:r>
              <w:rPr>
                <w:rFonts w:ascii="Times New Roman" w:hAnsi="Times New Roman" w:eastAsia="宋体" w:cs="Times New Roman"/>
                <w:sz w:val="24"/>
                <w:szCs w:val="24"/>
                <w:u w:val="single"/>
              </w:rPr>
              <w:t>s；</w:t>
            </w:r>
            <w:r>
              <w:rPr>
                <w:rFonts w:hint="default" w:ascii="Times New Roman" w:hAnsi="Times New Roman" w:eastAsia="宋体" w:cs="Times New Roman"/>
                <w:sz w:val="24"/>
                <w:szCs w:val="24"/>
                <w:u w:val="single"/>
              </w:rPr>
              <w:t>项目</w:t>
            </w:r>
            <w:r>
              <w:rPr>
                <w:rFonts w:ascii="Times New Roman" w:hAnsi="Times New Roman" w:eastAsia="宋体" w:cs="Times New Roman"/>
                <w:sz w:val="24"/>
                <w:szCs w:val="24"/>
                <w:u w:val="single"/>
              </w:rPr>
              <w:t>范围</w:t>
            </w:r>
            <w:r>
              <w:rPr>
                <w:rFonts w:hint="default" w:ascii="Times New Roman" w:hAnsi="Times New Roman" w:eastAsia="宋体" w:cs="Times New Roman"/>
                <w:sz w:val="24"/>
                <w:szCs w:val="24"/>
                <w:u w:val="single"/>
              </w:rPr>
              <w:t>上</w:t>
            </w:r>
            <w:r>
              <w:rPr>
                <w:rFonts w:ascii="Times New Roman" w:hAnsi="Times New Roman" w:eastAsia="宋体" w:cs="Times New Roman"/>
                <w:sz w:val="24"/>
                <w:szCs w:val="24"/>
                <w:u w:val="single"/>
              </w:rPr>
              <w:t>下游起止断面20年一遇设计洪水位为132.87m～132.99m</w:t>
            </w:r>
            <w:r>
              <w:rPr>
                <w:rFonts w:hint="eastAsia" w:cs="Times New Roman"/>
                <w:sz w:val="24"/>
                <w:szCs w:val="24"/>
                <w:u w:val="single"/>
                <w:lang w:eastAsia="zh-CN"/>
              </w:rPr>
              <w:t>；</w:t>
            </w:r>
            <w:r>
              <w:rPr>
                <w:rFonts w:ascii="Times New Roman" w:hAnsi="Times New Roman" w:eastAsia="宋体" w:cs="Times New Roman"/>
                <w:sz w:val="24"/>
                <w:szCs w:val="24"/>
                <w:u w:val="single"/>
              </w:rPr>
              <w:t>（</w:t>
            </w:r>
            <w:r>
              <w:rPr>
                <w:rFonts w:hint="eastAsia" w:cs="Times New Roman"/>
                <w:sz w:val="24"/>
                <w:szCs w:val="24"/>
                <w:u w:val="single"/>
                <w:lang w:val="en-US" w:eastAsia="zh-CN"/>
              </w:rPr>
              <w:t>3</w:t>
            </w:r>
            <w:r>
              <w:rPr>
                <w:rFonts w:ascii="Times New Roman" w:hAnsi="Times New Roman" w:eastAsia="宋体" w:cs="Times New Roman"/>
                <w:sz w:val="24"/>
                <w:szCs w:val="24"/>
                <w:u w:val="single"/>
              </w:rPr>
              <w:t>）工程河段流速</w:t>
            </w:r>
            <w:r>
              <w:rPr>
                <w:rFonts w:hint="default" w:ascii="Times New Roman" w:hAnsi="Times New Roman" w:eastAsia="宋体" w:cs="Times New Roman"/>
                <w:sz w:val="24"/>
                <w:szCs w:val="24"/>
                <w:u w:val="single"/>
              </w:rPr>
              <w:t>减少</w:t>
            </w:r>
            <w:r>
              <w:rPr>
                <w:rFonts w:ascii="Times New Roman" w:hAnsi="Times New Roman" w:eastAsia="宋体" w:cs="Times New Roman"/>
                <w:sz w:val="24"/>
                <w:szCs w:val="24"/>
                <w:u w:val="single"/>
              </w:rPr>
              <w:t>0.44%～0.50%，</w:t>
            </w:r>
            <w:r>
              <w:rPr>
                <w:rFonts w:hint="default" w:ascii="Times New Roman" w:hAnsi="Times New Roman" w:eastAsia="宋体" w:cs="Times New Roman"/>
                <w:sz w:val="24"/>
                <w:szCs w:val="24"/>
                <w:u w:val="single"/>
              </w:rPr>
              <w:t>20年一遇</w:t>
            </w:r>
            <w:r>
              <w:rPr>
                <w:rFonts w:ascii="Times New Roman" w:hAnsi="Times New Roman" w:eastAsia="宋体" w:cs="Times New Roman"/>
                <w:sz w:val="24"/>
                <w:szCs w:val="24"/>
                <w:u w:val="single"/>
              </w:rPr>
              <w:t>洪水对岸坡的冲刷深度为0.44～0.</w:t>
            </w:r>
            <w:r>
              <w:rPr>
                <w:rFonts w:hint="default" w:ascii="Times New Roman" w:hAnsi="Times New Roman" w:eastAsia="宋体" w:cs="Times New Roman"/>
                <w:sz w:val="24"/>
                <w:szCs w:val="24"/>
                <w:u w:val="single"/>
              </w:rPr>
              <w:t>56</w:t>
            </w:r>
            <w:r>
              <w:rPr>
                <w:rFonts w:ascii="Times New Roman" w:hAnsi="Times New Roman" w:eastAsia="宋体" w:cs="Times New Roman"/>
                <w:sz w:val="24"/>
                <w:szCs w:val="24"/>
                <w:u w:val="single"/>
              </w:rPr>
              <w:t>m</w:t>
            </w:r>
            <w:r>
              <w:rPr>
                <w:rFonts w:hint="eastAsia" w:cs="Times New Roman"/>
                <w:sz w:val="24"/>
                <w:szCs w:val="24"/>
                <w:u w:val="single"/>
                <w:lang w:eastAsia="zh-CN"/>
              </w:rPr>
              <w:t>；</w:t>
            </w:r>
            <w:r>
              <w:rPr>
                <w:rFonts w:ascii="Times New Roman" w:hAnsi="Times New Roman" w:eastAsia="宋体" w:cs="Times New Roman"/>
                <w:sz w:val="24"/>
                <w:szCs w:val="24"/>
                <w:u w:val="single"/>
              </w:rPr>
              <w:t>（</w:t>
            </w:r>
            <w:r>
              <w:rPr>
                <w:rFonts w:hint="eastAsia" w:cs="Times New Roman"/>
                <w:sz w:val="24"/>
                <w:szCs w:val="24"/>
                <w:u w:val="single"/>
                <w:lang w:val="en-US" w:eastAsia="zh-CN"/>
              </w:rPr>
              <w:t>4</w:t>
            </w:r>
            <w:r>
              <w:rPr>
                <w:rFonts w:ascii="Times New Roman" w:hAnsi="Times New Roman" w:eastAsia="宋体" w:cs="Times New Roman"/>
                <w:sz w:val="24"/>
                <w:szCs w:val="24"/>
                <w:u w:val="single"/>
              </w:rPr>
              <w:t>）</w:t>
            </w:r>
            <w:r>
              <w:rPr>
                <w:rFonts w:hint="default" w:ascii="Times New Roman" w:hAnsi="Times New Roman" w:eastAsia="宋体" w:cs="Times New Roman"/>
                <w:sz w:val="24"/>
                <w:szCs w:val="24"/>
                <w:u w:val="single"/>
              </w:rPr>
              <w:t>项目</w:t>
            </w:r>
            <w:r>
              <w:rPr>
                <w:rFonts w:ascii="Times New Roman" w:hAnsi="Times New Roman" w:eastAsia="宋体" w:cs="Times New Roman"/>
                <w:sz w:val="24"/>
                <w:szCs w:val="24"/>
                <w:u w:val="single"/>
              </w:rPr>
              <w:t>建成后水位、流速等要素变化小，洪水中泓线不会发生明显变化，对河势影响小</w:t>
            </w:r>
            <w:r>
              <w:rPr>
                <w:rFonts w:hint="eastAsia" w:cs="Times New Roman"/>
                <w:sz w:val="24"/>
                <w:szCs w:val="24"/>
                <w:u w:val="single"/>
                <w:lang w:eastAsia="zh-CN"/>
              </w:rPr>
              <w:t>；</w:t>
            </w:r>
            <w:r>
              <w:rPr>
                <w:rFonts w:ascii="Times New Roman" w:hAnsi="Times New Roman" w:eastAsia="宋体" w:cs="Times New Roman"/>
                <w:sz w:val="24"/>
                <w:szCs w:val="24"/>
                <w:u w:val="single"/>
              </w:rPr>
              <w:t>（</w:t>
            </w:r>
            <w:r>
              <w:rPr>
                <w:rFonts w:hint="eastAsia" w:cs="Times New Roman"/>
                <w:sz w:val="24"/>
                <w:szCs w:val="24"/>
                <w:u w:val="single"/>
                <w:lang w:val="en-US" w:eastAsia="zh-CN"/>
              </w:rPr>
              <w:t>5</w:t>
            </w:r>
            <w:r>
              <w:rPr>
                <w:rFonts w:ascii="Times New Roman" w:hAnsi="Times New Roman" w:eastAsia="宋体" w:cs="Times New Roman"/>
                <w:sz w:val="24"/>
                <w:szCs w:val="24"/>
                <w:u w:val="single"/>
              </w:rPr>
              <w:t>）</w:t>
            </w:r>
            <w:r>
              <w:rPr>
                <w:rFonts w:hint="default" w:ascii="Times New Roman" w:hAnsi="Times New Roman" w:eastAsia="宋体" w:cs="Times New Roman"/>
                <w:sz w:val="24"/>
                <w:szCs w:val="24"/>
                <w:u w:val="single"/>
              </w:rPr>
              <w:t>项目</w:t>
            </w:r>
            <w:r>
              <w:rPr>
                <w:rFonts w:ascii="Times New Roman" w:hAnsi="Times New Roman" w:eastAsia="宋体" w:cs="Times New Roman"/>
                <w:sz w:val="24"/>
                <w:szCs w:val="24"/>
                <w:u w:val="single"/>
              </w:rPr>
              <w:t>陆域</w:t>
            </w:r>
            <w:r>
              <w:rPr>
                <w:rFonts w:hint="default" w:ascii="Times New Roman" w:hAnsi="Times New Roman" w:eastAsia="宋体" w:cs="Times New Roman"/>
                <w:sz w:val="24"/>
                <w:szCs w:val="24"/>
                <w:u w:val="single"/>
              </w:rPr>
              <w:t>厂房</w:t>
            </w:r>
            <w:r>
              <w:rPr>
                <w:rFonts w:ascii="Times New Roman" w:hAnsi="Times New Roman" w:eastAsia="宋体" w:cs="Times New Roman"/>
                <w:sz w:val="24"/>
                <w:szCs w:val="24"/>
                <w:u w:val="single"/>
              </w:rPr>
              <w:t>区设计高程</w:t>
            </w:r>
            <w:r>
              <w:rPr>
                <w:rFonts w:hint="default" w:ascii="Times New Roman" w:hAnsi="Times New Roman" w:eastAsia="宋体" w:cs="Times New Roman"/>
                <w:sz w:val="24"/>
                <w:szCs w:val="24"/>
                <w:u w:val="single"/>
              </w:rPr>
              <w:t>满</w:t>
            </w:r>
            <w:r>
              <w:rPr>
                <w:rFonts w:ascii="Times New Roman" w:hAnsi="Times New Roman" w:eastAsia="宋体" w:cs="Times New Roman"/>
                <w:sz w:val="24"/>
                <w:szCs w:val="24"/>
                <w:u w:val="single"/>
              </w:rPr>
              <w:t>足20年一遇洪水标准，且不增加区域20年一遇洪水防洪压力</w:t>
            </w:r>
            <w:r>
              <w:rPr>
                <w:rFonts w:hint="eastAsia" w:cs="Times New Roman"/>
                <w:sz w:val="24"/>
                <w:szCs w:val="24"/>
                <w:u w:val="single"/>
                <w:lang w:eastAsia="zh-CN"/>
              </w:rPr>
              <w:t>；</w:t>
            </w:r>
            <w:r>
              <w:rPr>
                <w:rFonts w:ascii="Times New Roman" w:hAnsi="Times New Roman" w:eastAsia="宋体" w:cs="Times New Roman"/>
                <w:sz w:val="24"/>
                <w:szCs w:val="24"/>
                <w:u w:val="single"/>
              </w:rPr>
              <w:t>（</w:t>
            </w:r>
            <w:r>
              <w:rPr>
                <w:rFonts w:hint="eastAsia" w:cs="Times New Roman"/>
                <w:sz w:val="24"/>
                <w:szCs w:val="24"/>
                <w:u w:val="single"/>
                <w:lang w:val="en-US" w:eastAsia="zh-CN"/>
              </w:rPr>
              <w:t>6</w:t>
            </w:r>
            <w:r>
              <w:rPr>
                <w:rFonts w:ascii="Times New Roman" w:hAnsi="Times New Roman" w:eastAsia="宋体" w:cs="Times New Roman"/>
                <w:sz w:val="24"/>
                <w:szCs w:val="24"/>
                <w:u w:val="single"/>
              </w:rPr>
              <w:t>）</w:t>
            </w:r>
            <w:r>
              <w:rPr>
                <w:rFonts w:hint="default" w:ascii="Times New Roman" w:hAnsi="Times New Roman" w:eastAsia="宋体" w:cs="Times New Roman"/>
                <w:sz w:val="24"/>
                <w:szCs w:val="24"/>
                <w:u w:val="single"/>
              </w:rPr>
              <w:t>项目</w:t>
            </w:r>
            <w:r>
              <w:rPr>
                <w:rFonts w:ascii="Times New Roman" w:hAnsi="Times New Roman" w:eastAsia="宋体" w:cs="Times New Roman"/>
                <w:sz w:val="24"/>
                <w:szCs w:val="24"/>
                <w:u w:val="single"/>
              </w:rPr>
              <w:t>建设</w:t>
            </w:r>
            <w:r>
              <w:rPr>
                <w:rFonts w:hint="default" w:ascii="Times New Roman" w:hAnsi="Times New Roman" w:eastAsia="宋体" w:cs="Times New Roman"/>
                <w:sz w:val="24"/>
                <w:szCs w:val="24"/>
                <w:u w:val="single"/>
              </w:rPr>
              <w:t>对</w:t>
            </w:r>
            <w:r>
              <w:rPr>
                <w:rFonts w:ascii="Times New Roman" w:hAnsi="Times New Roman" w:eastAsia="宋体" w:cs="Times New Roman"/>
                <w:sz w:val="24"/>
                <w:szCs w:val="24"/>
                <w:u w:val="single"/>
              </w:rPr>
              <w:t>现有水利工程不产生影响，</w:t>
            </w:r>
            <w:r>
              <w:rPr>
                <w:rFonts w:hint="default" w:ascii="Times New Roman" w:hAnsi="Times New Roman" w:eastAsia="宋体" w:cs="Times New Roman"/>
                <w:sz w:val="24"/>
                <w:szCs w:val="24"/>
                <w:u w:val="single"/>
              </w:rPr>
              <w:t>不</w:t>
            </w:r>
            <w:r>
              <w:rPr>
                <w:rFonts w:ascii="Times New Roman" w:hAnsi="Times New Roman" w:eastAsia="宋体" w:cs="Times New Roman"/>
                <w:sz w:val="24"/>
                <w:szCs w:val="24"/>
                <w:u w:val="single"/>
              </w:rPr>
              <w:t>占用防洪抢险通道。工程不影响通航</w:t>
            </w:r>
            <w:r>
              <w:rPr>
                <w:rFonts w:hint="eastAsia" w:cs="Times New Roman"/>
                <w:sz w:val="24"/>
                <w:szCs w:val="24"/>
                <w:u w:val="single"/>
                <w:lang w:eastAsia="zh-CN"/>
              </w:rPr>
              <w:t>；</w:t>
            </w:r>
            <w:r>
              <w:rPr>
                <w:rFonts w:ascii="Times New Roman" w:hAnsi="Times New Roman" w:eastAsia="宋体" w:cs="Times New Roman"/>
                <w:sz w:val="24"/>
                <w:szCs w:val="24"/>
                <w:u w:val="single"/>
              </w:rPr>
              <w:t>（</w:t>
            </w:r>
            <w:r>
              <w:rPr>
                <w:rFonts w:hint="eastAsia" w:cs="Times New Roman"/>
                <w:sz w:val="24"/>
                <w:szCs w:val="24"/>
                <w:u w:val="single"/>
                <w:lang w:val="en-US" w:eastAsia="zh-CN"/>
              </w:rPr>
              <w:t>7</w:t>
            </w:r>
            <w:r>
              <w:rPr>
                <w:rFonts w:ascii="Times New Roman" w:hAnsi="Times New Roman" w:eastAsia="宋体" w:cs="Times New Roman"/>
                <w:sz w:val="24"/>
                <w:szCs w:val="24"/>
                <w:u w:val="single"/>
              </w:rPr>
              <w:t>）</w:t>
            </w:r>
            <w:r>
              <w:rPr>
                <w:rFonts w:hint="default" w:ascii="Times New Roman" w:hAnsi="Times New Roman" w:eastAsia="宋体" w:cs="Times New Roman"/>
                <w:sz w:val="24"/>
                <w:szCs w:val="24"/>
                <w:u w:val="single"/>
              </w:rPr>
              <w:t>项目</w:t>
            </w:r>
            <w:r>
              <w:rPr>
                <w:rFonts w:ascii="Times New Roman" w:hAnsi="Times New Roman" w:eastAsia="宋体" w:cs="Times New Roman"/>
                <w:sz w:val="24"/>
                <w:szCs w:val="24"/>
                <w:u w:val="single"/>
              </w:rPr>
              <w:t>建设对第三人合法水事权益</w:t>
            </w:r>
            <w:r>
              <w:rPr>
                <w:rFonts w:hint="default" w:ascii="Times New Roman" w:hAnsi="Times New Roman" w:eastAsia="宋体" w:cs="Times New Roman"/>
                <w:sz w:val="24"/>
                <w:szCs w:val="24"/>
                <w:u w:val="single"/>
              </w:rPr>
              <w:t>不</w:t>
            </w:r>
            <w:r>
              <w:rPr>
                <w:rFonts w:ascii="Times New Roman" w:hAnsi="Times New Roman" w:eastAsia="宋体" w:cs="Times New Roman"/>
                <w:sz w:val="24"/>
                <w:szCs w:val="24"/>
                <w:u w:val="single"/>
              </w:rPr>
              <w:t>产生影响。</w:t>
            </w:r>
          </w:p>
          <w:p>
            <w:pPr>
              <w:ind w:firstLine="480" w:firstLineChars="200"/>
            </w:pPr>
            <w:r>
              <w:rPr>
                <w:rFonts w:hint="eastAsia"/>
                <w:kern w:val="0"/>
                <w:u w:val="single"/>
              </w:rPr>
              <w:t>同时，</w:t>
            </w:r>
            <w:r>
              <w:rPr>
                <w:rFonts w:hint="eastAsia"/>
                <w:u w:val="single"/>
              </w:rPr>
              <w:t>项目于2022年12月5日取得辰溪县人民政府关于本项目临时用地审批单，项目用地为工业用地，符合乡镇用地规划，不在城镇开发边界线内。</w:t>
            </w:r>
          </w:p>
          <w:p>
            <w:pPr>
              <w:ind w:firstLine="480" w:firstLineChars="200"/>
              <w:rPr>
                <w:kern w:val="0"/>
              </w:rPr>
            </w:pPr>
            <w:r>
              <w:rPr>
                <w:kern w:val="0"/>
                <w:u w:val="single"/>
              </w:rPr>
              <w:t>综上所述，从地理位置、区域资源、用地条件等角度看，</w:t>
            </w:r>
            <w:r>
              <w:rPr>
                <w:rFonts w:hint="eastAsia"/>
                <w:kern w:val="0"/>
                <w:u w:val="single"/>
                <w:lang w:val="en-US" w:eastAsia="zh-CN"/>
              </w:rPr>
              <w:t>在</w:t>
            </w:r>
            <w:r>
              <w:rPr>
                <w:rFonts w:hint="eastAsia"/>
                <w:kern w:val="0"/>
                <w:u w:val="single"/>
              </w:rPr>
              <w:t>辰溪县佳润生活服务有限公司二水厂</w:t>
            </w:r>
            <w:r>
              <w:rPr>
                <w:rFonts w:hint="eastAsia"/>
                <w:kern w:val="0"/>
                <w:u w:val="single"/>
                <w:lang w:val="en-US" w:eastAsia="zh-CN"/>
              </w:rPr>
              <w:t>未运营前或者</w:t>
            </w:r>
            <w:r>
              <w:rPr>
                <w:rFonts w:hint="eastAsia"/>
                <w:kern w:val="0"/>
                <w:u w:val="single"/>
              </w:rPr>
              <w:t>二水厂</w:t>
            </w:r>
            <w:r>
              <w:rPr>
                <w:rFonts w:hint="eastAsia"/>
                <w:kern w:val="0"/>
                <w:u w:val="single"/>
                <w:lang w:val="en-US" w:eastAsia="zh-CN"/>
              </w:rPr>
              <w:t>取水口未划定饮用水源保护区之前，项目</w:t>
            </w:r>
            <w:r>
              <w:rPr>
                <w:kern w:val="0"/>
                <w:u w:val="single"/>
              </w:rPr>
              <w:t>选址较合理。</w:t>
            </w:r>
          </w:p>
          <w:p>
            <w:pPr>
              <w:pStyle w:val="30"/>
              <w:numPr>
                <w:ilvl w:val="1"/>
                <w:numId w:val="0"/>
              </w:numPr>
              <w:ind w:left="284"/>
            </w:pPr>
            <w:bookmarkStart w:id="12" w:name="_Toc7026"/>
            <w:r>
              <w:t>1.</w:t>
            </w:r>
            <w:r>
              <w:rPr>
                <w:rFonts w:hint="eastAsia"/>
              </w:rPr>
              <w:t>4</w:t>
            </w:r>
            <w:r>
              <w:t xml:space="preserve"> 湖南省砂石骨料行业规范条件的符合性分析</w:t>
            </w:r>
            <w:bookmarkEnd w:id="12"/>
          </w:p>
          <w:p>
            <w:pPr>
              <w:widowControl/>
              <w:ind w:firstLine="480"/>
              <w:jc w:val="left"/>
              <w:rPr>
                <w:color w:val="0000FF"/>
              </w:rPr>
            </w:pPr>
            <w:r>
              <w:rPr>
                <w:rFonts w:hint="eastAsia"/>
              </w:rPr>
              <w:t>为落实《国务院办公厅关于促进建材工业稳增长调结构增效益的指导意见》（国办发[2016] 34号）等文件精神，推进砂石骨料产业转型升级与规范管理，提高砂石骨料产品质量，引导社会合理投资，促进产业健康可持续发展。根据有关法律法规和产业政策，湖南省经济和信息化委员会制定了《湖南省砂石骨料行业规范条件》（湘经信原材料[2018]10号）。</w:t>
            </w:r>
          </w:p>
          <w:p>
            <w:pPr>
              <w:autoSpaceDE w:val="0"/>
              <w:autoSpaceDN w:val="0"/>
              <w:adjustRightInd w:val="0"/>
              <w:snapToGrid w:val="0"/>
              <w:spacing w:line="240" w:lineRule="auto"/>
              <w:jc w:val="center"/>
              <w:rPr>
                <w:b/>
                <w:bCs/>
                <w:kern w:val="0"/>
                <w:sz w:val="21"/>
                <w:szCs w:val="21"/>
              </w:rPr>
            </w:pPr>
            <w:r>
              <w:rPr>
                <w:b/>
                <w:bCs/>
                <w:kern w:val="0"/>
                <w:sz w:val="21"/>
                <w:szCs w:val="21"/>
              </w:rPr>
              <w:t>表1-</w:t>
            </w:r>
            <w:r>
              <w:rPr>
                <w:rFonts w:hint="eastAsia"/>
                <w:b/>
                <w:bCs/>
                <w:kern w:val="0"/>
                <w:sz w:val="21"/>
                <w:szCs w:val="21"/>
              </w:rPr>
              <w:t>2</w:t>
            </w:r>
            <w:r>
              <w:rPr>
                <w:b/>
                <w:bCs/>
                <w:kern w:val="0"/>
                <w:sz w:val="21"/>
                <w:szCs w:val="21"/>
              </w:rPr>
              <w:t xml:space="preserve">  项目与《湖南省砂石骨料行业规范条件》符合性对照表</w:t>
            </w:r>
          </w:p>
          <w:tbl>
            <w:tblPr>
              <w:tblStyle w:val="23"/>
              <w:tblW w:w="70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0"/>
              <w:gridCol w:w="3357"/>
              <w:gridCol w:w="2397"/>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dxa"/>
                  <w:vAlign w:val="center"/>
                </w:tcPr>
                <w:p>
                  <w:pPr>
                    <w:spacing w:line="240" w:lineRule="auto"/>
                    <w:jc w:val="center"/>
                    <w:rPr>
                      <w:b/>
                      <w:bCs/>
                      <w:sz w:val="21"/>
                      <w:szCs w:val="21"/>
                    </w:rPr>
                  </w:pPr>
                  <w:r>
                    <w:rPr>
                      <w:b/>
                      <w:bCs/>
                      <w:sz w:val="21"/>
                      <w:szCs w:val="21"/>
                    </w:rPr>
                    <w:t>序号</w:t>
                  </w:r>
                </w:p>
              </w:tc>
              <w:tc>
                <w:tcPr>
                  <w:tcW w:w="3357" w:type="dxa"/>
                  <w:vAlign w:val="center"/>
                </w:tcPr>
                <w:p>
                  <w:pPr>
                    <w:spacing w:line="240" w:lineRule="auto"/>
                    <w:jc w:val="center"/>
                    <w:rPr>
                      <w:b/>
                      <w:bCs/>
                      <w:sz w:val="21"/>
                      <w:szCs w:val="21"/>
                    </w:rPr>
                  </w:pPr>
                  <w:r>
                    <w:rPr>
                      <w:b/>
                      <w:bCs/>
                      <w:sz w:val="21"/>
                      <w:szCs w:val="21"/>
                    </w:rPr>
                    <w:t>《湖南省砂石骨料行业规范条件》</w:t>
                  </w:r>
                </w:p>
              </w:tc>
              <w:tc>
                <w:tcPr>
                  <w:tcW w:w="2397" w:type="dxa"/>
                  <w:vAlign w:val="center"/>
                </w:tcPr>
                <w:p>
                  <w:pPr>
                    <w:spacing w:line="240" w:lineRule="auto"/>
                    <w:jc w:val="center"/>
                    <w:rPr>
                      <w:b/>
                      <w:bCs/>
                      <w:sz w:val="21"/>
                      <w:szCs w:val="21"/>
                    </w:rPr>
                  </w:pPr>
                  <w:r>
                    <w:rPr>
                      <w:b/>
                      <w:bCs/>
                      <w:sz w:val="21"/>
                      <w:szCs w:val="21"/>
                    </w:rPr>
                    <w:t>本项目情况</w:t>
                  </w:r>
                </w:p>
              </w:tc>
              <w:tc>
                <w:tcPr>
                  <w:tcW w:w="840" w:type="dxa"/>
                  <w:vAlign w:val="center"/>
                </w:tcPr>
                <w:p>
                  <w:pPr>
                    <w:spacing w:line="240" w:lineRule="auto"/>
                    <w:jc w:val="center"/>
                    <w:rPr>
                      <w:b/>
                      <w:bCs/>
                      <w:sz w:val="21"/>
                      <w:szCs w:val="21"/>
                    </w:rPr>
                  </w:pPr>
                  <w:r>
                    <w:rPr>
                      <w:b/>
                      <w:bCs/>
                      <w:sz w:val="21"/>
                      <w:szCs w:val="21"/>
                    </w:rPr>
                    <w:t>符合情况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dxa"/>
                  <w:vAlign w:val="center"/>
                </w:tcPr>
                <w:p>
                  <w:pPr>
                    <w:spacing w:line="240" w:lineRule="auto"/>
                    <w:jc w:val="center"/>
                    <w:rPr>
                      <w:sz w:val="21"/>
                      <w:szCs w:val="21"/>
                    </w:rPr>
                  </w:pPr>
                  <w:r>
                    <w:rPr>
                      <w:sz w:val="21"/>
                      <w:szCs w:val="21"/>
                    </w:rPr>
                    <w:t>1</w:t>
                  </w:r>
                </w:p>
              </w:tc>
              <w:tc>
                <w:tcPr>
                  <w:tcW w:w="3357" w:type="dxa"/>
                  <w:vAlign w:val="center"/>
                </w:tcPr>
                <w:p>
                  <w:pPr>
                    <w:spacing w:line="240" w:lineRule="auto"/>
                    <w:jc w:val="center"/>
                    <w:rPr>
                      <w:sz w:val="21"/>
                      <w:szCs w:val="21"/>
                    </w:rPr>
                  </w:pPr>
                  <w:r>
                    <w:rPr>
                      <w:sz w:val="21"/>
                      <w:szCs w:val="21"/>
                    </w:rPr>
                    <w:t>新建、改建机制砂石骨料项目生产规模不低于60万t/年,对综合利用尾矿、废石、工业和建筑等废弃物生产砂石骨料，其生产规模可适当放宽。</w:t>
                  </w:r>
                </w:p>
              </w:tc>
              <w:tc>
                <w:tcPr>
                  <w:tcW w:w="2397" w:type="dxa"/>
                  <w:vAlign w:val="center"/>
                </w:tcPr>
                <w:p>
                  <w:pPr>
                    <w:spacing w:line="240" w:lineRule="auto"/>
                    <w:jc w:val="center"/>
                    <w:rPr>
                      <w:sz w:val="21"/>
                      <w:szCs w:val="21"/>
                    </w:rPr>
                  </w:pPr>
                  <w:r>
                    <w:rPr>
                      <w:rFonts w:hint="eastAsia"/>
                      <w:bCs/>
                      <w:sz w:val="21"/>
                      <w:szCs w:val="21"/>
                    </w:rPr>
                    <w:t>本</w:t>
                  </w:r>
                  <w:r>
                    <w:rPr>
                      <w:bCs/>
                      <w:sz w:val="21"/>
                      <w:szCs w:val="21"/>
                    </w:rPr>
                    <w:t>项目利用</w:t>
                  </w:r>
                  <w:r>
                    <w:rPr>
                      <w:rFonts w:hint="eastAsia"/>
                      <w:bCs/>
                      <w:sz w:val="21"/>
                      <w:szCs w:val="21"/>
                    </w:rPr>
                    <w:t>鹅卵石</w:t>
                  </w:r>
                  <w:r>
                    <w:rPr>
                      <w:bCs/>
                      <w:sz w:val="21"/>
                      <w:szCs w:val="21"/>
                    </w:rPr>
                    <w:t>生产砂料</w:t>
                  </w:r>
                  <w:r>
                    <w:rPr>
                      <w:rFonts w:hint="eastAsia"/>
                      <w:bCs/>
                      <w:sz w:val="21"/>
                      <w:szCs w:val="21"/>
                    </w:rPr>
                    <w:t>120</w:t>
                  </w:r>
                  <w:r>
                    <w:rPr>
                      <w:bCs/>
                      <w:sz w:val="21"/>
                      <w:szCs w:val="21"/>
                    </w:rPr>
                    <w:t>万t/a。</w:t>
                  </w:r>
                </w:p>
              </w:tc>
              <w:tc>
                <w:tcPr>
                  <w:tcW w:w="840" w:type="dxa"/>
                  <w:vAlign w:val="center"/>
                </w:tcPr>
                <w:p>
                  <w:pPr>
                    <w:spacing w:line="240" w:lineRule="auto"/>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dxa"/>
                  <w:vAlign w:val="center"/>
                </w:tcPr>
                <w:p>
                  <w:pPr>
                    <w:spacing w:line="240" w:lineRule="auto"/>
                    <w:jc w:val="center"/>
                    <w:rPr>
                      <w:sz w:val="21"/>
                      <w:szCs w:val="21"/>
                    </w:rPr>
                  </w:pPr>
                  <w:r>
                    <w:rPr>
                      <w:sz w:val="21"/>
                      <w:szCs w:val="21"/>
                    </w:rPr>
                    <w:t>2</w:t>
                  </w:r>
                </w:p>
              </w:tc>
              <w:tc>
                <w:tcPr>
                  <w:tcW w:w="3357" w:type="dxa"/>
                  <w:vAlign w:val="center"/>
                </w:tcPr>
                <w:p>
                  <w:pPr>
                    <w:spacing w:line="240" w:lineRule="auto"/>
                    <w:jc w:val="center"/>
                    <w:rPr>
                      <w:sz w:val="21"/>
                      <w:szCs w:val="21"/>
                    </w:rPr>
                  </w:pPr>
                  <w:r>
                    <w:rPr>
                      <w:sz w:val="21"/>
                      <w:szCs w:val="21"/>
                    </w:rPr>
                    <w:t>新建机制砂石骨料项目宜选择资源或接近矿山资源所在地，远离居民区。严禁在风景名胜区、地质公园、生态保护区、自然和文化遗产保护区、饮用水源保护区、城市建成区等区域新建和扩建机制砂石骨料项目。严禁布置在矿山爆破安全危险区范围内，已建成的项目应按照相关规划和规定进行处置。</w:t>
                  </w:r>
                </w:p>
              </w:tc>
              <w:tc>
                <w:tcPr>
                  <w:tcW w:w="2397" w:type="dxa"/>
                  <w:vAlign w:val="center"/>
                </w:tcPr>
                <w:p>
                  <w:pPr>
                    <w:spacing w:line="240" w:lineRule="auto"/>
                    <w:jc w:val="center"/>
                    <w:rPr>
                      <w:sz w:val="21"/>
                      <w:szCs w:val="21"/>
                    </w:rPr>
                  </w:pPr>
                  <w:r>
                    <w:rPr>
                      <w:sz w:val="21"/>
                      <w:szCs w:val="21"/>
                    </w:rPr>
                    <w:t>项目位于</w:t>
                  </w:r>
                  <w:r>
                    <w:rPr>
                      <w:rFonts w:hint="eastAsia"/>
                      <w:sz w:val="21"/>
                      <w:szCs w:val="21"/>
                    </w:rPr>
                    <w:t>怀化市辰溪县火马冲镇沙堆村</w:t>
                  </w:r>
                  <w:r>
                    <w:rPr>
                      <w:sz w:val="21"/>
                      <w:szCs w:val="21"/>
                    </w:rPr>
                    <w:t>，不涉及敏感区。</w:t>
                  </w:r>
                  <w:r>
                    <w:rPr>
                      <w:rFonts w:hint="eastAsia"/>
                      <w:sz w:val="21"/>
                      <w:szCs w:val="21"/>
                    </w:rPr>
                    <w:t>原料来源</w:t>
                  </w:r>
                  <w:r>
                    <w:rPr>
                      <w:rFonts w:hint="default" w:ascii="Times New Roman" w:hAnsi="Times New Roman" w:eastAsia="宋体" w:cs="Times New Roman"/>
                      <w:sz w:val="21"/>
                      <w:szCs w:val="21"/>
                      <w:u w:val="none"/>
                    </w:rPr>
                    <w:t>辰溪博雅中学沅水尾堆清理</w:t>
                  </w:r>
                  <w:r>
                    <w:rPr>
                      <w:rFonts w:hint="default"/>
                      <w:sz w:val="21"/>
                      <w:szCs w:val="21"/>
                      <w:u w:val="none"/>
                      <w:lang w:val="en-US" w:eastAsia="zh-CN"/>
                    </w:rPr>
                    <w:t>弃渣点</w:t>
                  </w:r>
                  <w:r>
                    <w:rPr>
                      <w:rFonts w:hint="default" w:ascii="Times New Roman" w:hAnsi="Times New Roman" w:eastAsia="宋体" w:cs="Times New Roman"/>
                      <w:sz w:val="21"/>
                      <w:szCs w:val="21"/>
                      <w:u w:val="none"/>
                      <w:lang w:eastAsia="zh-CN"/>
                    </w:rPr>
                    <w:t>、沅水洪江至辰溪航道建设工程</w:t>
                  </w:r>
                  <w:r>
                    <w:rPr>
                      <w:rFonts w:hint="default" w:ascii="Times New Roman" w:hAnsi="Times New Roman" w:eastAsia="宋体" w:cs="Times New Roman"/>
                      <w:sz w:val="21"/>
                      <w:szCs w:val="21"/>
                      <w:u w:val="none"/>
                    </w:rPr>
                    <w:t>产生的鹅卵石</w:t>
                  </w:r>
                  <w:r>
                    <w:rPr>
                      <w:rFonts w:ascii="Times New Roman" w:hAnsi="Times New Roman" w:eastAsia="宋体" w:cs="Times New Roman"/>
                      <w:kern w:val="2"/>
                      <w:sz w:val="21"/>
                      <w:szCs w:val="21"/>
                      <w:u w:val="none"/>
                    </w:rPr>
                    <w:t>，</w:t>
                  </w:r>
                  <w:r>
                    <w:rPr>
                      <w:rFonts w:hint="default" w:ascii="Times New Roman" w:hAnsi="Times New Roman" w:eastAsia="宋体" w:cs="Times New Roman"/>
                      <w:kern w:val="2"/>
                      <w:sz w:val="21"/>
                      <w:szCs w:val="21"/>
                      <w:u w:val="none"/>
                      <w:lang w:eastAsia="zh-CN"/>
                    </w:rPr>
                    <w:t>其中</w:t>
                  </w:r>
                  <w:r>
                    <w:rPr>
                      <w:rFonts w:hint="default" w:ascii="Times New Roman" w:hAnsi="Times New Roman" w:eastAsia="宋体" w:cs="Times New Roman"/>
                      <w:sz w:val="21"/>
                      <w:szCs w:val="21"/>
                      <w:u w:val="none"/>
                    </w:rPr>
                    <w:t>辰溪博雅中学沅水尾堆清理</w:t>
                  </w:r>
                  <w:r>
                    <w:rPr>
                      <w:rFonts w:hint="default"/>
                      <w:sz w:val="21"/>
                      <w:szCs w:val="21"/>
                      <w:u w:val="none"/>
                      <w:lang w:val="en-US" w:eastAsia="zh-CN"/>
                    </w:rPr>
                    <w:t>弃渣点</w:t>
                  </w:r>
                  <w:r>
                    <w:rPr>
                      <w:rFonts w:hint="default" w:ascii="Times New Roman" w:hAnsi="Times New Roman" w:eastAsia="宋体" w:cs="Times New Roman"/>
                      <w:sz w:val="21"/>
                      <w:szCs w:val="21"/>
                      <w:u w:val="none"/>
                      <w:lang w:eastAsia="zh-CN"/>
                    </w:rPr>
                    <w:t>至本项目</w:t>
                  </w:r>
                  <w:r>
                    <w:rPr>
                      <w:rFonts w:hint="default" w:ascii="Times New Roman" w:hAnsi="Times New Roman" w:eastAsia="宋体" w:cs="Times New Roman"/>
                      <w:kern w:val="2"/>
                      <w:sz w:val="21"/>
                      <w:szCs w:val="21"/>
                      <w:u w:val="none"/>
                    </w:rPr>
                    <w:t>陆运距离24km，</w:t>
                  </w:r>
                  <w:r>
                    <w:rPr>
                      <w:rFonts w:hint="default" w:ascii="Times New Roman" w:hAnsi="Times New Roman" w:eastAsia="宋体" w:cs="Times New Roman"/>
                      <w:sz w:val="21"/>
                      <w:szCs w:val="21"/>
                      <w:u w:val="none"/>
                      <w:lang w:eastAsia="zh-CN"/>
                    </w:rPr>
                    <w:t>沅水洪江至辰溪航道建设工程“</w:t>
                  </w:r>
                  <w:r>
                    <w:rPr>
                      <w:rFonts w:hint="default" w:ascii="Times New Roman" w:hAnsi="Times New Roman" w:eastAsia="宋体" w:cs="Times New Roman"/>
                      <w:sz w:val="21"/>
                      <w:szCs w:val="21"/>
                      <w:u w:val="none"/>
                      <w:lang w:val="en-US" w:eastAsia="zh-CN"/>
                    </w:rPr>
                    <w:t>辰州滩-大洑潭段弃渣场</w:t>
                  </w:r>
                  <w:r>
                    <w:rPr>
                      <w:rFonts w:hint="default" w:ascii="Times New Roman" w:hAnsi="Times New Roman" w:eastAsia="宋体" w:cs="Times New Roman"/>
                      <w:sz w:val="21"/>
                      <w:szCs w:val="21"/>
                      <w:u w:val="none"/>
                      <w:lang w:eastAsia="zh-CN"/>
                    </w:rPr>
                    <w:t>”至本项目陆运距离</w:t>
                  </w:r>
                  <w:r>
                    <w:rPr>
                      <w:rFonts w:hint="default" w:ascii="Times New Roman" w:hAnsi="Times New Roman" w:eastAsia="宋体" w:cs="Times New Roman"/>
                      <w:sz w:val="21"/>
                      <w:szCs w:val="21"/>
                      <w:u w:val="none"/>
                      <w:lang w:val="en-US" w:eastAsia="zh-CN"/>
                    </w:rPr>
                    <w:t>26</w:t>
                  </w:r>
                  <w:r>
                    <w:rPr>
                      <w:rFonts w:hint="default" w:ascii="Times New Roman" w:hAnsi="Times New Roman" w:eastAsia="宋体" w:cs="Times New Roman"/>
                      <w:kern w:val="2"/>
                      <w:sz w:val="21"/>
                      <w:szCs w:val="21"/>
                      <w:u w:val="none"/>
                    </w:rPr>
                    <w:t>km</w:t>
                  </w:r>
                  <w:r>
                    <w:rPr>
                      <w:rFonts w:hint="default" w:ascii="Times New Roman" w:hAnsi="Times New Roman" w:eastAsia="宋体" w:cs="Times New Roman"/>
                      <w:sz w:val="21"/>
                      <w:szCs w:val="21"/>
                    </w:rPr>
                    <w:t>，</w:t>
                  </w:r>
                  <w:r>
                    <w:rPr>
                      <w:rFonts w:hint="eastAsia"/>
                      <w:sz w:val="21"/>
                      <w:szCs w:val="21"/>
                    </w:rPr>
                    <w:t>交通便利。</w:t>
                  </w:r>
                </w:p>
              </w:tc>
              <w:tc>
                <w:tcPr>
                  <w:tcW w:w="840" w:type="dxa"/>
                  <w:vAlign w:val="center"/>
                </w:tcPr>
                <w:p>
                  <w:pPr>
                    <w:spacing w:line="240" w:lineRule="auto"/>
                    <w:jc w:val="center"/>
                    <w:rPr>
                      <w:sz w:val="21"/>
                      <w:szCs w:val="21"/>
                    </w:rPr>
                  </w:pPr>
                  <w:r>
                    <w:rPr>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0" w:type="dxa"/>
                  <w:vAlign w:val="center"/>
                </w:tcPr>
                <w:p>
                  <w:pPr>
                    <w:spacing w:line="240" w:lineRule="auto"/>
                    <w:jc w:val="center"/>
                    <w:rPr>
                      <w:sz w:val="21"/>
                      <w:szCs w:val="21"/>
                    </w:rPr>
                  </w:pPr>
                  <w:r>
                    <w:rPr>
                      <w:sz w:val="21"/>
                      <w:szCs w:val="21"/>
                    </w:rPr>
                    <w:t>3</w:t>
                  </w:r>
                </w:p>
              </w:tc>
              <w:tc>
                <w:tcPr>
                  <w:tcW w:w="3357" w:type="dxa"/>
                  <w:vAlign w:val="center"/>
                </w:tcPr>
                <w:p>
                  <w:pPr>
                    <w:spacing w:line="240" w:lineRule="auto"/>
                    <w:jc w:val="center"/>
                    <w:rPr>
                      <w:sz w:val="21"/>
                      <w:szCs w:val="21"/>
                    </w:rPr>
                  </w:pPr>
                  <w:r>
                    <w:rPr>
                      <w:kern w:val="0"/>
                      <w:sz w:val="21"/>
                      <w:szCs w:val="21"/>
                    </w:rPr>
                    <w:t>优先采用干法生产工艺，其次半干法砂石工艺，当不能满足要求时，可采用湿法砂石生产工艺。砂石骨料生产线及产品技术指标应符合GB51186《机制砂石骨料工厂设计规范》等相关标准要求。新建项目不得使用限制和淘汰技术设备，已建项目不得使用淘汰设备。</w:t>
                  </w:r>
                </w:p>
              </w:tc>
              <w:tc>
                <w:tcPr>
                  <w:tcW w:w="2397" w:type="dxa"/>
                  <w:vAlign w:val="center"/>
                </w:tcPr>
                <w:p>
                  <w:pPr>
                    <w:spacing w:line="240" w:lineRule="auto"/>
                    <w:jc w:val="center"/>
                    <w:rPr>
                      <w:sz w:val="21"/>
                      <w:szCs w:val="21"/>
                    </w:rPr>
                  </w:pPr>
                  <w:r>
                    <w:rPr>
                      <w:kern w:val="0"/>
                      <w:sz w:val="21"/>
                      <w:szCs w:val="21"/>
                    </w:rPr>
                    <w:t>项目</w:t>
                  </w:r>
                  <w:r>
                    <w:rPr>
                      <w:rFonts w:hint="eastAsia"/>
                      <w:kern w:val="0"/>
                      <w:sz w:val="21"/>
                      <w:szCs w:val="21"/>
                    </w:rPr>
                    <w:t>采用</w:t>
                  </w:r>
                  <w:r>
                    <w:rPr>
                      <w:kern w:val="0"/>
                      <w:sz w:val="21"/>
                      <w:szCs w:val="21"/>
                    </w:rPr>
                    <w:t>湿法生产工艺，产品技术指标符合《机制砂石骨料工厂设计规范》等相关标准要求，不使用限制和淘汰技术设备。</w:t>
                  </w:r>
                </w:p>
              </w:tc>
              <w:tc>
                <w:tcPr>
                  <w:tcW w:w="840" w:type="dxa"/>
                  <w:vAlign w:val="center"/>
                </w:tcPr>
                <w:p>
                  <w:pPr>
                    <w:spacing w:line="240" w:lineRule="auto"/>
                    <w:jc w:val="center"/>
                    <w:rPr>
                      <w:sz w:val="21"/>
                      <w:szCs w:val="21"/>
                    </w:rPr>
                  </w:pPr>
                  <w:r>
                    <w:rPr>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dxa"/>
                  <w:vAlign w:val="center"/>
                </w:tcPr>
                <w:p>
                  <w:pPr>
                    <w:spacing w:line="240" w:lineRule="auto"/>
                    <w:jc w:val="center"/>
                    <w:rPr>
                      <w:sz w:val="21"/>
                      <w:szCs w:val="21"/>
                    </w:rPr>
                  </w:pPr>
                  <w:r>
                    <w:rPr>
                      <w:sz w:val="21"/>
                      <w:szCs w:val="21"/>
                    </w:rPr>
                    <w:t>4</w:t>
                  </w:r>
                </w:p>
              </w:tc>
              <w:tc>
                <w:tcPr>
                  <w:tcW w:w="3357" w:type="dxa"/>
                  <w:vAlign w:val="center"/>
                </w:tcPr>
                <w:p>
                  <w:pPr>
                    <w:spacing w:line="240" w:lineRule="auto"/>
                    <w:rPr>
                      <w:kern w:val="0"/>
                      <w:sz w:val="21"/>
                      <w:szCs w:val="21"/>
                      <w:u w:val="single"/>
                    </w:rPr>
                  </w:pPr>
                  <w:r>
                    <w:rPr>
                      <w:kern w:val="0"/>
                      <w:sz w:val="21"/>
                      <w:szCs w:val="21"/>
                      <w:u w:val="single"/>
                    </w:rPr>
                    <w:t>机制砂石骨料生产线须配套收尘装置，采用喷雾、洒水、全封闭皮带运输等措施。破碎加工区、中间料库、成品库等区域实现厂房全封闭，污染物排放符合GB16297《大气污染物综合排放标准》要求。</w:t>
                  </w:r>
                </w:p>
              </w:tc>
              <w:tc>
                <w:tcPr>
                  <w:tcW w:w="2397" w:type="dxa"/>
                  <w:vAlign w:val="center"/>
                </w:tcPr>
                <w:p>
                  <w:pPr>
                    <w:spacing w:line="240" w:lineRule="auto"/>
                    <w:jc w:val="center"/>
                    <w:rPr>
                      <w:kern w:val="0"/>
                      <w:sz w:val="21"/>
                      <w:szCs w:val="21"/>
                      <w:u w:val="single"/>
                    </w:rPr>
                  </w:pPr>
                  <w:r>
                    <w:rPr>
                      <w:sz w:val="21"/>
                      <w:szCs w:val="21"/>
                      <w:u w:val="single"/>
                    </w:rPr>
                    <w:t>砂石料生产线</w:t>
                  </w:r>
                  <w:r>
                    <w:rPr>
                      <w:rFonts w:hint="eastAsia"/>
                      <w:sz w:val="21"/>
                      <w:szCs w:val="21"/>
                      <w:u w:val="single"/>
                    </w:rPr>
                    <w:t>全程采用湿法作业</w:t>
                  </w:r>
                  <w:r>
                    <w:rPr>
                      <w:sz w:val="21"/>
                      <w:szCs w:val="21"/>
                      <w:u w:val="single"/>
                    </w:rPr>
                    <w:t>，</w:t>
                  </w:r>
                  <w:r>
                    <w:rPr>
                      <w:rFonts w:hint="eastAsia"/>
                      <w:sz w:val="21"/>
                      <w:szCs w:val="21"/>
                      <w:u w:val="single"/>
                    </w:rPr>
                    <w:t>对</w:t>
                  </w:r>
                  <w:r>
                    <w:rPr>
                      <w:rFonts w:hint="eastAsia"/>
                      <w:sz w:val="21"/>
                      <w:szCs w:val="21"/>
                      <w:u w:val="single"/>
                      <w:lang w:eastAsia="zh-CN"/>
                    </w:rPr>
                    <w:t>破碎工序</w:t>
                  </w:r>
                  <w:r>
                    <w:rPr>
                      <w:rFonts w:hint="eastAsia"/>
                      <w:sz w:val="21"/>
                      <w:szCs w:val="21"/>
                      <w:u w:val="single"/>
                    </w:rPr>
                    <w:t>设置</w:t>
                  </w:r>
                  <w:r>
                    <w:rPr>
                      <w:rFonts w:hint="eastAsia"/>
                      <w:sz w:val="21"/>
                      <w:szCs w:val="21"/>
                      <w:u w:val="single"/>
                      <w:lang w:eastAsia="zh-CN"/>
                    </w:rPr>
                    <w:t>三面</w:t>
                  </w:r>
                  <w:r>
                    <w:rPr>
                      <w:rFonts w:hint="eastAsia"/>
                      <w:sz w:val="21"/>
                      <w:szCs w:val="21"/>
                      <w:u w:val="single"/>
                    </w:rPr>
                    <w:t>围挡</w:t>
                  </w:r>
                  <w:r>
                    <w:rPr>
                      <w:rFonts w:hint="eastAsia"/>
                      <w:sz w:val="21"/>
                      <w:szCs w:val="21"/>
                      <w:u w:val="single"/>
                      <w:lang w:eastAsia="zh-CN"/>
                    </w:rPr>
                    <w:t>，</w:t>
                  </w:r>
                  <w:r>
                    <w:rPr>
                      <w:rFonts w:hint="eastAsia"/>
                      <w:sz w:val="21"/>
                      <w:szCs w:val="21"/>
                      <w:u w:val="single"/>
                    </w:rPr>
                    <w:t>基本无粉尘产生</w:t>
                  </w:r>
                  <w:r>
                    <w:rPr>
                      <w:kern w:val="0"/>
                      <w:sz w:val="21"/>
                      <w:szCs w:val="21"/>
                      <w:u w:val="single"/>
                    </w:rPr>
                    <w:t>，污染物排放符合GB16297《大气污染物综合排放标准》要求。</w:t>
                  </w:r>
                </w:p>
              </w:tc>
              <w:tc>
                <w:tcPr>
                  <w:tcW w:w="840" w:type="dxa"/>
                  <w:vAlign w:val="center"/>
                </w:tcPr>
                <w:p>
                  <w:pPr>
                    <w:spacing w:line="240" w:lineRule="auto"/>
                    <w:jc w:val="center"/>
                    <w:rPr>
                      <w:kern w:val="0"/>
                      <w:sz w:val="21"/>
                      <w:szCs w:val="21"/>
                      <w:u w:val="single"/>
                    </w:rPr>
                  </w:pPr>
                  <w:r>
                    <w:rPr>
                      <w:kern w:val="0"/>
                      <w:sz w:val="21"/>
                      <w:szCs w:val="21"/>
                      <w:u w:val="single"/>
                    </w:rPr>
                    <w:t>符合</w:t>
                  </w:r>
                </w:p>
              </w:tc>
            </w:tr>
          </w:tbl>
          <w:p>
            <w:pPr>
              <w:pStyle w:val="30"/>
              <w:numPr>
                <w:ilvl w:val="1"/>
                <w:numId w:val="0"/>
              </w:numPr>
              <w:ind w:firstLine="481" w:firstLineChars="200"/>
            </w:pPr>
            <w:bookmarkStart w:id="13" w:name="_Toc21218"/>
            <w:r>
              <w:t>1.</w:t>
            </w:r>
            <w:r>
              <w:rPr>
                <w:rFonts w:hint="eastAsia"/>
                <w:lang w:val="en-US" w:eastAsia="zh-CN"/>
              </w:rPr>
              <w:t>5</w:t>
            </w:r>
            <w:r>
              <w:t xml:space="preserve"> 项目与机制砂石骨料工厂设计规范（GB51186-2016）的符合性分析</w:t>
            </w:r>
            <w:bookmarkEnd w:id="13"/>
          </w:p>
          <w:p>
            <w:pPr>
              <w:pStyle w:val="10"/>
              <w:spacing w:after="0"/>
              <w:ind w:firstLine="480" w:firstLineChars="200"/>
            </w:pPr>
            <w:r>
              <w:t>本项目与机制砂石骨料工厂设计规范（GB51186-2016）符合性见下表。</w:t>
            </w:r>
          </w:p>
          <w:p>
            <w:pPr>
              <w:autoSpaceDE w:val="0"/>
              <w:autoSpaceDN w:val="0"/>
              <w:adjustRightInd w:val="0"/>
              <w:snapToGrid w:val="0"/>
              <w:spacing w:line="240" w:lineRule="auto"/>
              <w:jc w:val="center"/>
              <w:rPr>
                <w:b/>
                <w:bCs/>
                <w:kern w:val="0"/>
                <w:sz w:val="21"/>
                <w:szCs w:val="21"/>
              </w:rPr>
            </w:pPr>
            <w:r>
              <w:rPr>
                <w:b/>
                <w:bCs/>
                <w:kern w:val="0"/>
                <w:sz w:val="21"/>
                <w:szCs w:val="21"/>
              </w:rPr>
              <w:t>表1-</w:t>
            </w:r>
            <w:r>
              <w:rPr>
                <w:rFonts w:hint="eastAsia"/>
                <w:b/>
                <w:bCs/>
                <w:kern w:val="0"/>
                <w:sz w:val="21"/>
                <w:szCs w:val="21"/>
              </w:rPr>
              <w:t>3</w:t>
            </w:r>
            <w:r>
              <w:rPr>
                <w:b/>
                <w:bCs/>
                <w:kern w:val="0"/>
                <w:sz w:val="21"/>
                <w:szCs w:val="21"/>
              </w:rPr>
              <w:t xml:space="preserve"> 项目与机制砂石骨料工厂设计规范（GB51186-2016）符合性对照表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4"/>
              <w:gridCol w:w="3890"/>
              <w:gridCol w:w="2281"/>
              <w:gridCol w:w="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444" w:type="dxa"/>
                  <w:vAlign w:val="center"/>
                </w:tcPr>
                <w:p>
                  <w:pPr>
                    <w:pStyle w:val="10"/>
                    <w:spacing w:after="0" w:line="240" w:lineRule="auto"/>
                    <w:jc w:val="center"/>
                    <w:rPr>
                      <w:b/>
                      <w:bCs/>
                      <w:sz w:val="21"/>
                    </w:rPr>
                  </w:pPr>
                  <w:r>
                    <w:rPr>
                      <w:b/>
                      <w:bCs/>
                      <w:sz w:val="21"/>
                    </w:rPr>
                    <w:t>序号</w:t>
                  </w:r>
                </w:p>
              </w:tc>
              <w:tc>
                <w:tcPr>
                  <w:tcW w:w="3896" w:type="dxa"/>
                  <w:vAlign w:val="center"/>
                </w:tcPr>
                <w:p>
                  <w:pPr>
                    <w:pStyle w:val="10"/>
                    <w:spacing w:after="0" w:line="240" w:lineRule="auto"/>
                    <w:jc w:val="center"/>
                    <w:rPr>
                      <w:b/>
                      <w:bCs/>
                      <w:sz w:val="21"/>
                    </w:rPr>
                  </w:pPr>
                  <w:r>
                    <w:rPr>
                      <w:b/>
                      <w:bCs/>
                      <w:sz w:val="21"/>
                    </w:rPr>
                    <w:t>机制砂石骨料工厂设计规范（GB51186-2016）</w:t>
                  </w:r>
                </w:p>
              </w:tc>
              <w:tc>
                <w:tcPr>
                  <w:tcW w:w="2285" w:type="dxa"/>
                  <w:vAlign w:val="center"/>
                </w:tcPr>
                <w:p>
                  <w:pPr>
                    <w:pStyle w:val="10"/>
                    <w:spacing w:after="0" w:line="240" w:lineRule="auto"/>
                    <w:jc w:val="center"/>
                    <w:rPr>
                      <w:b/>
                      <w:bCs/>
                      <w:sz w:val="21"/>
                    </w:rPr>
                  </w:pPr>
                  <w:r>
                    <w:rPr>
                      <w:b/>
                      <w:bCs/>
                      <w:sz w:val="21"/>
                    </w:rPr>
                    <w:t>本项目情况</w:t>
                  </w:r>
                </w:p>
              </w:tc>
              <w:tc>
                <w:tcPr>
                  <w:tcW w:w="479" w:type="dxa"/>
                  <w:vAlign w:val="center"/>
                </w:tcPr>
                <w:p>
                  <w:pPr>
                    <w:pStyle w:val="10"/>
                    <w:spacing w:after="0" w:line="240" w:lineRule="auto"/>
                    <w:jc w:val="center"/>
                    <w:rPr>
                      <w:b/>
                      <w:bCs/>
                      <w:sz w:val="21"/>
                    </w:rPr>
                  </w:pPr>
                  <w:r>
                    <w:rPr>
                      <w:b/>
                      <w:bCs/>
                      <w:sz w:val="21"/>
                    </w:rPr>
                    <w:t>符合情况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4" w:type="dxa"/>
                  <w:vAlign w:val="center"/>
                </w:tcPr>
                <w:p>
                  <w:pPr>
                    <w:pStyle w:val="10"/>
                    <w:spacing w:after="0" w:line="240" w:lineRule="auto"/>
                    <w:jc w:val="center"/>
                    <w:rPr>
                      <w:sz w:val="21"/>
                    </w:rPr>
                  </w:pPr>
                  <w:r>
                    <w:rPr>
                      <w:sz w:val="21"/>
                    </w:rPr>
                    <w:t>1</w:t>
                  </w:r>
                </w:p>
              </w:tc>
              <w:tc>
                <w:tcPr>
                  <w:tcW w:w="3896" w:type="dxa"/>
                  <w:vAlign w:val="center"/>
                </w:tcPr>
                <w:p>
                  <w:pPr>
                    <w:pStyle w:val="10"/>
                    <w:spacing w:after="0" w:line="240" w:lineRule="auto"/>
                    <w:jc w:val="center"/>
                    <w:rPr>
                      <w:sz w:val="21"/>
                    </w:rPr>
                  </w:pPr>
                  <w:r>
                    <w:rPr>
                      <w:sz w:val="21"/>
                    </w:rPr>
                    <w:t>工厂设计应贯彻清洁生产指导思想，并采用国内外防治污染的先进技术与成熟的实践经验</w:t>
                  </w:r>
                </w:p>
              </w:tc>
              <w:tc>
                <w:tcPr>
                  <w:tcW w:w="2285" w:type="dxa"/>
                  <w:vAlign w:val="center"/>
                </w:tcPr>
                <w:p>
                  <w:pPr>
                    <w:pStyle w:val="10"/>
                    <w:spacing w:after="0" w:line="240" w:lineRule="auto"/>
                    <w:jc w:val="center"/>
                    <w:rPr>
                      <w:sz w:val="21"/>
                    </w:rPr>
                  </w:pPr>
                  <w:r>
                    <w:rPr>
                      <w:sz w:val="21"/>
                    </w:rPr>
                    <w:t>项目采用</w:t>
                  </w:r>
                  <w:r>
                    <w:rPr>
                      <w:rFonts w:hint="eastAsia"/>
                      <w:sz w:val="21"/>
                    </w:rPr>
                    <w:t>湿法</w:t>
                  </w:r>
                  <w:r>
                    <w:rPr>
                      <w:sz w:val="21"/>
                    </w:rPr>
                    <w:t>工艺，未使用限制或淘汰类工艺及设备</w:t>
                  </w:r>
                </w:p>
              </w:tc>
              <w:tc>
                <w:tcPr>
                  <w:tcW w:w="479" w:type="dxa"/>
                  <w:vAlign w:val="center"/>
                </w:tcPr>
                <w:p>
                  <w:pPr>
                    <w:pStyle w:val="10"/>
                    <w:spacing w:after="0" w:line="240" w:lineRule="auto"/>
                    <w:jc w:val="center"/>
                    <w:rPr>
                      <w:sz w:val="21"/>
                    </w:rPr>
                  </w:pPr>
                  <w:r>
                    <w:rPr>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4" w:type="dxa"/>
                  <w:vAlign w:val="center"/>
                </w:tcPr>
                <w:p>
                  <w:pPr>
                    <w:pStyle w:val="10"/>
                    <w:spacing w:after="0" w:line="240" w:lineRule="auto"/>
                    <w:jc w:val="center"/>
                    <w:rPr>
                      <w:sz w:val="21"/>
                    </w:rPr>
                  </w:pPr>
                  <w:r>
                    <w:rPr>
                      <w:sz w:val="21"/>
                    </w:rPr>
                    <w:t>2</w:t>
                  </w:r>
                </w:p>
              </w:tc>
              <w:tc>
                <w:tcPr>
                  <w:tcW w:w="3896" w:type="dxa"/>
                  <w:vAlign w:val="center"/>
                </w:tcPr>
                <w:p>
                  <w:pPr>
                    <w:pStyle w:val="10"/>
                    <w:spacing w:after="0" w:line="240" w:lineRule="auto"/>
                    <w:jc w:val="center"/>
                    <w:rPr>
                      <w:sz w:val="21"/>
                    </w:rPr>
                  </w:pPr>
                  <w:r>
                    <w:rPr>
                      <w:sz w:val="21"/>
                    </w:rPr>
                    <w:t>机制砂石骨料生产线必须配有收尘系统</w:t>
                  </w:r>
                </w:p>
              </w:tc>
              <w:tc>
                <w:tcPr>
                  <w:tcW w:w="2285" w:type="dxa"/>
                  <w:vAlign w:val="center"/>
                </w:tcPr>
                <w:p>
                  <w:pPr>
                    <w:pStyle w:val="10"/>
                    <w:spacing w:after="0" w:line="240" w:lineRule="auto"/>
                    <w:jc w:val="center"/>
                    <w:rPr>
                      <w:sz w:val="21"/>
                    </w:rPr>
                  </w:pPr>
                  <w:r>
                    <w:rPr>
                      <w:sz w:val="21"/>
                      <w:szCs w:val="21"/>
                    </w:rPr>
                    <w:t>砂石料生产线</w:t>
                  </w:r>
                  <w:r>
                    <w:rPr>
                      <w:rFonts w:hint="eastAsia"/>
                      <w:sz w:val="21"/>
                      <w:szCs w:val="21"/>
                    </w:rPr>
                    <w:t>全程采用湿法作业</w:t>
                  </w:r>
                  <w:r>
                    <w:rPr>
                      <w:sz w:val="21"/>
                      <w:szCs w:val="21"/>
                    </w:rPr>
                    <w:t>，</w:t>
                  </w:r>
                  <w:r>
                    <w:rPr>
                      <w:rFonts w:hint="eastAsia"/>
                      <w:sz w:val="21"/>
                      <w:szCs w:val="21"/>
                    </w:rPr>
                    <w:t>基本无粉尘产生</w:t>
                  </w:r>
                  <w:r>
                    <w:rPr>
                      <w:kern w:val="0"/>
                      <w:sz w:val="21"/>
                      <w:szCs w:val="21"/>
                    </w:rPr>
                    <w:t>，污染物排放符合GB16297《大气污染物综合排放标准》要求</w:t>
                  </w:r>
                </w:p>
              </w:tc>
              <w:tc>
                <w:tcPr>
                  <w:tcW w:w="479" w:type="dxa"/>
                  <w:vAlign w:val="center"/>
                </w:tcPr>
                <w:p>
                  <w:pPr>
                    <w:pStyle w:val="10"/>
                    <w:spacing w:after="0" w:line="240" w:lineRule="auto"/>
                    <w:jc w:val="center"/>
                    <w:rPr>
                      <w:sz w:val="21"/>
                    </w:rPr>
                  </w:pPr>
                  <w:r>
                    <w:rPr>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444" w:type="dxa"/>
                  <w:vAlign w:val="center"/>
                </w:tcPr>
                <w:p>
                  <w:pPr>
                    <w:pStyle w:val="10"/>
                    <w:spacing w:after="0" w:line="240" w:lineRule="auto"/>
                    <w:jc w:val="center"/>
                    <w:rPr>
                      <w:sz w:val="21"/>
                    </w:rPr>
                  </w:pPr>
                  <w:r>
                    <w:rPr>
                      <w:sz w:val="21"/>
                    </w:rPr>
                    <w:t>3</w:t>
                  </w:r>
                </w:p>
              </w:tc>
              <w:tc>
                <w:tcPr>
                  <w:tcW w:w="3896" w:type="dxa"/>
                  <w:vAlign w:val="center"/>
                </w:tcPr>
                <w:p>
                  <w:pPr>
                    <w:pStyle w:val="10"/>
                    <w:spacing w:after="0" w:line="240" w:lineRule="auto"/>
                    <w:jc w:val="center"/>
                    <w:rPr>
                      <w:sz w:val="21"/>
                      <w:u w:val="single"/>
                    </w:rPr>
                  </w:pPr>
                  <w:r>
                    <w:rPr>
                      <w:sz w:val="21"/>
                      <w:u w:val="single"/>
                    </w:rPr>
                    <w:t>工厂设计应采用先进环保的生产工艺及设备</w:t>
                  </w:r>
                </w:p>
              </w:tc>
              <w:tc>
                <w:tcPr>
                  <w:tcW w:w="2285" w:type="dxa"/>
                  <w:vAlign w:val="center"/>
                </w:tcPr>
                <w:p>
                  <w:pPr>
                    <w:pStyle w:val="10"/>
                    <w:spacing w:after="0" w:line="240" w:lineRule="auto"/>
                    <w:jc w:val="center"/>
                    <w:rPr>
                      <w:sz w:val="21"/>
                      <w:u w:val="single"/>
                    </w:rPr>
                  </w:pPr>
                  <w:r>
                    <w:rPr>
                      <w:kern w:val="0"/>
                      <w:sz w:val="21"/>
                      <w:szCs w:val="21"/>
                      <w:u w:val="single"/>
                    </w:rPr>
                    <w:t>项目在</w:t>
                  </w:r>
                  <w:r>
                    <w:rPr>
                      <w:sz w:val="21"/>
                      <w:szCs w:val="21"/>
                      <w:u w:val="single"/>
                    </w:rPr>
                    <w:t>砂石料生产线设置水淋系统，</w:t>
                  </w:r>
                  <w:r>
                    <w:rPr>
                      <w:rFonts w:hint="eastAsia"/>
                      <w:sz w:val="21"/>
                      <w:szCs w:val="21"/>
                      <w:u w:val="single"/>
                    </w:rPr>
                    <w:t>生产线全程采用湿法作业</w:t>
                  </w:r>
                  <w:r>
                    <w:rPr>
                      <w:sz w:val="21"/>
                      <w:szCs w:val="21"/>
                      <w:u w:val="single"/>
                    </w:rPr>
                    <w:t>；</w:t>
                  </w:r>
                  <w:r>
                    <w:rPr>
                      <w:rFonts w:hint="eastAsia"/>
                      <w:sz w:val="21"/>
                      <w:szCs w:val="21"/>
                      <w:u w:val="single"/>
                    </w:rPr>
                    <w:t>成品</w:t>
                  </w:r>
                  <w:r>
                    <w:rPr>
                      <w:sz w:val="21"/>
                      <w:szCs w:val="21"/>
                      <w:u w:val="single"/>
                    </w:rPr>
                    <w:t>堆场设置</w:t>
                  </w:r>
                  <w:r>
                    <w:rPr>
                      <w:rFonts w:hint="eastAsia"/>
                      <w:sz w:val="21"/>
                      <w:szCs w:val="21"/>
                      <w:u w:val="single"/>
                    </w:rPr>
                    <w:t>喷淋抑尘设施</w:t>
                  </w:r>
                  <w:r>
                    <w:rPr>
                      <w:sz w:val="21"/>
                      <w:szCs w:val="21"/>
                      <w:u w:val="single"/>
                    </w:rPr>
                    <w:t>。</w:t>
                  </w:r>
                </w:p>
              </w:tc>
              <w:tc>
                <w:tcPr>
                  <w:tcW w:w="479" w:type="dxa"/>
                  <w:vAlign w:val="center"/>
                </w:tcPr>
                <w:p>
                  <w:pPr>
                    <w:pStyle w:val="10"/>
                    <w:spacing w:after="0" w:line="240" w:lineRule="auto"/>
                    <w:jc w:val="center"/>
                    <w:rPr>
                      <w:sz w:val="21"/>
                      <w:u w:val="single"/>
                    </w:rPr>
                  </w:pPr>
                  <w:r>
                    <w:rPr>
                      <w:sz w:val="21"/>
                      <w:u w:val="singl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4" w:type="dxa"/>
                  <w:vAlign w:val="center"/>
                </w:tcPr>
                <w:p>
                  <w:pPr>
                    <w:pStyle w:val="10"/>
                    <w:spacing w:after="0" w:line="240" w:lineRule="auto"/>
                    <w:jc w:val="center"/>
                    <w:rPr>
                      <w:color w:val="0000FF"/>
                      <w:sz w:val="21"/>
                    </w:rPr>
                  </w:pPr>
                  <w:r>
                    <w:rPr>
                      <w:sz w:val="21"/>
                    </w:rPr>
                    <w:t>4</w:t>
                  </w:r>
                </w:p>
              </w:tc>
              <w:tc>
                <w:tcPr>
                  <w:tcW w:w="3896" w:type="dxa"/>
                  <w:vAlign w:val="center"/>
                </w:tcPr>
                <w:p>
                  <w:pPr>
                    <w:pStyle w:val="10"/>
                    <w:spacing w:after="0" w:line="240" w:lineRule="auto"/>
                    <w:jc w:val="center"/>
                    <w:rPr>
                      <w:sz w:val="21"/>
                    </w:rPr>
                  </w:pPr>
                  <w:r>
                    <w:rPr>
                      <w:sz w:val="21"/>
                    </w:rPr>
                    <w:t>粉尘污染防治应符合下列规定：1、机制砂石骨料应对破碎、筛分及输送等生产环节采取封闭措施；2、机制砂石骨料工厂应对破碎、筛分及输送转运站等扬尘点设置收尘装置，粉尘排放浓度应符合现行国家标准《大气污染物综合排放标准》GB16297的有关规定，并应满足厂区所在地区的环保要求；3、对于无组织排放的扬尘场所，应采取喷雾、洒水、封闭等防尘措施。</w:t>
                  </w:r>
                </w:p>
              </w:tc>
              <w:tc>
                <w:tcPr>
                  <w:tcW w:w="2285" w:type="dxa"/>
                  <w:vAlign w:val="center"/>
                </w:tcPr>
                <w:p>
                  <w:pPr>
                    <w:pStyle w:val="10"/>
                    <w:spacing w:after="0" w:line="240" w:lineRule="auto"/>
                    <w:jc w:val="center"/>
                    <w:rPr>
                      <w:sz w:val="21"/>
                    </w:rPr>
                  </w:pPr>
                  <w:r>
                    <w:rPr>
                      <w:sz w:val="21"/>
                      <w:u w:val="single"/>
                    </w:rPr>
                    <w:t>项目破碎、筛分等工序采</w:t>
                  </w:r>
                  <w:r>
                    <w:rPr>
                      <w:rFonts w:hint="eastAsia"/>
                      <w:sz w:val="21"/>
                      <w:u w:val="single"/>
                    </w:rPr>
                    <w:t>用湿法作业</w:t>
                  </w:r>
                  <w:r>
                    <w:rPr>
                      <w:sz w:val="21"/>
                      <w:u w:val="single"/>
                    </w:rPr>
                    <w:t>，</w:t>
                  </w:r>
                  <w:r>
                    <w:rPr>
                      <w:rFonts w:hint="eastAsia"/>
                      <w:sz w:val="21"/>
                      <w:szCs w:val="21"/>
                      <w:u w:val="single"/>
                    </w:rPr>
                    <w:t>对</w:t>
                  </w:r>
                  <w:r>
                    <w:rPr>
                      <w:rFonts w:hint="eastAsia"/>
                      <w:sz w:val="21"/>
                      <w:szCs w:val="21"/>
                      <w:u w:val="single"/>
                      <w:lang w:eastAsia="zh-CN"/>
                    </w:rPr>
                    <w:t>破碎工序</w:t>
                  </w:r>
                  <w:r>
                    <w:rPr>
                      <w:rFonts w:hint="eastAsia"/>
                      <w:sz w:val="21"/>
                      <w:szCs w:val="21"/>
                      <w:u w:val="single"/>
                    </w:rPr>
                    <w:t>设置</w:t>
                  </w:r>
                  <w:r>
                    <w:rPr>
                      <w:rFonts w:hint="eastAsia"/>
                      <w:sz w:val="21"/>
                      <w:szCs w:val="21"/>
                      <w:u w:val="single"/>
                      <w:lang w:eastAsia="zh-CN"/>
                    </w:rPr>
                    <w:t>三面</w:t>
                  </w:r>
                  <w:r>
                    <w:rPr>
                      <w:rFonts w:hint="eastAsia"/>
                      <w:sz w:val="21"/>
                      <w:szCs w:val="21"/>
                      <w:u w:val="single"/>
                    </w:rPr>
                    <w:t>围挡</w:t>
                  </w:r>
                  <w:r>
                    <w:rPr>
                      <w:rFonts w:hint="eastAsia"/>
                      <w:sz w:val="21"/>
                      <w:szCs w:val="21"/>
                      <w:u w:val="single"/>
                      <w:lang w:eastAsia="zh-CN"/>
                    </w:rPr>
                    <w:t>，</w:t>
                  </w:r>
                  <w:r>
                    <w:rPr>
                      <w:rFonts w:hint="eastAsia"/>
                      <w:sz w:val="21"/>
                      <w:u w:val="single"/>
                    </w:rPr>
                    <w:t>基本无粉尘产生，</w:t>
                  </w:r>
                  <w:r>
                    <w:rPr>
                      <w:rFonts w:hint="eastAsia"/>
                      <w:sz w:val="21"/>
                      <w:szCs w:val="21"/>
                      <w:u w:val="single"/>
                    </w:rPr>
                    <w:t>成品</w:t>
                  </w:r>
                  <w:r>
                    <w:rPr>
                      <w:sz w:val="21"/>
                      <w:szCs w:val="21"/>
                      <w:u w:val="single"/>
                    </w:rPr>
                    <w:t>堆场设置</w:t>
                  </w:r>
                  <w:r>
                    <w:rPr>
                      <w:rFonts w:hint="eastAsia"/>
                      <w:sz w:val="21"/>
                      <w:szCs w:val="21"/>
                      <w:u w:val="single"/>
                    </w:rPr>
                    <w:t>喷淋抑尘设施</w:t>
                  </w:r>
                  <w:r>
                    <w:rPr>
                      <w:sz w:val="21"/>
                      <w:szCs w:val="21"/>
                      <w:u w:val="single"/>
                    </w:rPr>
                    <w:t>，</w:t>
                  </w:r>
                  <w:r>
                    <w:rPr>
                      <w:rStyle w:val="25"/>
                      <w:kern w:val="0"/>
                      <w:szCs w:val="21"/>
                      <w:u w:val="single"/>
                    </w:rPr>
                    <w:t>在装卸过程中，加强洒水防尘力度、避开大风天气卸车等措施后，无组织排放</w:t>
                  </w:r>
                  <w:r>
                    <w:rPr>
                      <w:rStyle w:val="25"/>
                      <w:rFonts w:hint="eastAsia"/>
                      <w:kern w:val="0"/>
                      <w:szCs w:val="21"/>
                      <w:u w:val="single"/>
                    </w:rPr>
                    <w:t>；</w:t>
                  </w:r>
                  <w:r>
                    <w:rPr>
                      <w:rFonts w:hint="eastAsia"/>
                      <w:sz w:val="21"/>
                      <w:szCs w:val="21"/>
                      <w:u w:val="single"/>
                    </w:rPr>
                    <w:t>运输车辆</w:t>
                  </w:r>
                  <w:r>
                    <w:rPr>
                      <w:rStyle w:val="25"/>
                      <w:rFonts w:hint="eastAsia"/>
                      <w:kern w:val="0"/>
                      <w:szCs w:val="21"/>
                      <w:u w:val="single"/>
                    </w:rPr>
                    <w:t>采取</w:t>
                  </w:r>
                  <w:r>
                    <w:rPr>
                      <w:rStyle w:val="25"/>
                      <w:kern w:val="0"/>
                      <w:szCs w:val="21"/>
                      <w:u w:val="single"/>
                    </w:rPr>
                    <w:t>减速慢行，对厂区道路进行洒水，进出厂区时必须进行加盖篷布</w:t>
                  </w:r>
                  <w:r>
                    <w:rPr>
                      <w:rStyle w:val="25"/>
                      <w:rFonts w:hint="eastAsia"/>
                      <w:kern w:val="0"/>
                      <w:szCs w:val="21"/>
                      <w:u w:val="single"/>
                    </w:rPr>
                    <w:t>等措施后无组织排放。</w:t>
                  </w:r>
                  <w:r>
                    <w:rPr>
                      <w:sz w:val="21"/>
                      <w:u w:val="single"/>
                    </w:rPr>
                    <w:t>粉尘排放浓度符合现行国家标准《大气污染物综合排放标准》GB16297的有关规定，并满足厂区所在地区的环保要求。</w:t>
                  </w:r>
                </w:p>
              </w:tc>
              <w:tc>
                <w:tcPr>
                  <w:tcW w:w="479" w:type="dxa"/>
                  <w:vAlign w:val="center"/>
                </w:tcPr>
                <w:p>
                  <w:pPr>
                    <w:pStyle w:val="10"/>
                    <w:spacing w:after="0" w:line="240" w:lineRule="auto"/>
                    <w:jc w:val="center"/>
                    <w:rPr>
                      <w:sz w:val="21"/>
                    </w:rPr>
                  </w:pPr>
                  <w:r>
                    <w:rPr>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4" w:type="dxa"/>
                  <w:vAlign w:val="center"/>
                </w:tcPr>
                <w:p>
                  <w:pPr>
                    <w:pStyle w:val="10"/>
                    <w:spacing w:after="0" w:line="240" w:lineRule="auto"/>
                    <w:jc w:val="center"/>
                    <w:rPr>
                      <w:sz w:val="21"/>
                    </w:rPr>
                  </w:pPr>
                  <w:r>
                    <w:rPr>
                      <w:sz w:val="21"/>
                    </w:rPr>
                    <w:t>5</w:t>
                  </w:r>
                </w:p>
              </w:tc>
              <w:tc>
                <w:tcPr>
                  <w:tcW w:w="3896" w:type="dxa"/>
                  <w:vAlign w:val="center"/>
                </w:tcPr>
                <w:p>
                  <w:pPr>
                    <w:pStyle w:val="10"/>
                    <w:spacing w:after="0" w:line="240" w:lineRule="auto"/>
                    <w:jc w:val="center"/>
                    <w:rPr>
                      <w:sz w:val="21"/>
                    </w:rPr>
                  </w:pPr>
                  <w:r>
                    <w:rPr>
                      <w:sz w:val="21"/>
                    </w:rPr>
                    <w:t>固体废弃物污染防治应符合下列规定：1、收尘设备收下的粉尘经处理后应运到固定地点堆放，并应采取防止二次污染的措施；2、脱泥和洗矿等排出的各种废渣应集中处置，不得排入自然水体或任意抛弃；3、固体废弃物宜综合利用。</w:t>
                  </w:r>
                </w:p>
              </w:tc>
              <w:tc>
                <w:tcPr>
                  <w:tcW w:w="2285" w:type="dxa"/>
                  <w:vAlign w:val="center"/>
                </w:tcPr>
                <w:p>
                  <w:pPr>
                    <w:pStyle w:val="10"/>
                    <w:spacing w:after="0" w:line="240" w:lineRule="auto"/>
                    <w:jc w:val="center"/>
                    <w:rPr>
                      <w:sz w:val="21"/>
                    </w:rPr>
                  </w:pPr>
                  <w:r>
                    <w:rPr>
                      <w:sz w:val="21"/>
                      <w:szCs w:val="21"/>
                      <w:u w:val="single"/>
                    </w:rPr>
                    <w:t>砂石料生产线</w:t>
                  </w:r>
                  <w:r>
                    <w:rPr>
                      <w:rFonts w:hint="eastAsia"/>
                      <w:sz w:val="21"/>
                      <w:szCs w:val="21"/>
                      <w:u w:val="single"/>
                    </w:rPr>
                    <w:t>采取湿式作业</w:t>
                  </w:r>
                  <w:r>
                    <w:rPr>
                      <w:rFonts w:hint="eastAsia"/>
                      <w:sz w:val="21"/>
                      <w:szCs w:val="21"/>
                      <w:u w:val="single"/>
                      <w:lang w:eastAsia="zh-CN"/>
                    </w:rPr>
                    <w:t>，且对破碎工序设置三面围挡</w:t>
                  </w:r>
                  <w:r>
                    <w:rPr>
                      <w:rFonts w:hint="eastAsia"/>
                      <w:sz w:val="21"/>
                      <w:szCs w:val="21"/>
                      <w:u w:val="single"/>
                    </w:rPr>
                    <w:t>后，无组织排放</w:t>
                  </w:r>
                  <w:r>
                    <w:rPr>
                      <w:sz w:val="21"/>
                      <w:szCs w:val="21"/>
                      <w:u w:val="single"/>
                    </w:rPr>
                    <w:t>；</w:t>
                  </w:r>
                  <w:r>
                    <w:rPr>
                      <w:rFonts w:hint="eastAsia"/>
                      <w:sz w:val="21"/>
                      <w:szCs w:val="21"/>
                      <w:u w:val="single"/>
                    </w:rPr>
                    <w:t>成品堆场</w:t>
                  </w:r>
                  <w:r>
                    <w:rPr>
                      <w:sz w:val="21"/>
                      <w:szCs w:val="21"/>
                      <w:u w:val="single"/>
                    </w:rPr>
                    <w:t>设置半喷雾降尘设备</w:t>
                  </w:r>
                  <w:r>
                    <w:rPr>
                      <w:sz w:val="21"/>
                      <w:szCs w:val="21"/>
                    </w:rPr>
                    <w:t>；</w:t>
                  </w:r>
                  <w:r>
                    <w:rPr>
                      <w:rStyle w:val="25"/>
                      <w:kern w:val="0"/>
                      <w:szCs w:val="21"/>
                    </w:rPr>
                    <w:t>在装卸过程中，加强洒水防尘力度、避开大风天气卸车等措施后，无组织排放</w:t>
                  </w:r>
                  <w:r>
                    <w:rPr>
                      <w:rStyle w:val="25"/>
                      <w:rFonts w:hint="eastAsia"/>
                      <w:kern w:val="0"/>
                      <w:szCs w:val="21"/>
                    </w:rPr>
                    <w:t>；</w:t>
                  </w:r>
                  <w:r>
                    <w:rPr>
                      <w:rFonts w:hint="eastAsia"/>
                      <w:sz w:val="21"/>
                      <w:szCs w:val="21"/>
                      <w:u w:val="single"/>
                    </w:rPr>
                    <w:t>运输车辆</w:t>
                  </w:r>
                  <w:r>
                    <w:rPr>
                      <w:rStyle w:val="25"/>
                      <w:rFonts w:hint="eastAsia"/>
                      <w:kern w:val="0"/>
                      <w:szCs w:val="21"/>
                      <w:u w:val="single"/>
                    </w:rPr>
                    <w:t>采取</w:t>
                  </w:r>
                  <w:r>
                    <w:rPr>
                      <w:rStyle w:val="25"/>
                      <w:kern w:val="0"/>
                      <w:szCs w:val="21"/>
                      <w:u w:val="single"/>
                    </w:rPr>
                    <w:t>减速慢行，对厂区道路进行洒水，进出厂区时必须进行加盖篷布</w:t>
                  </w:r>
                  <w:r>
                    <w:rPr>
                      <w:rStyle w:val="25"/>
                      <w:rFonts w:hint="eastAsia"/>
                      <w:kern w:val="0"/>
                      <w:szCs w:val="21"/>
                      <w:u w:val="single"/>
                    </w:rPr>
                    <w:t>等措施后无组织排放</w:t>
                  </w:r>
                  <w:r>
                    <w:rPr>
                      <w:sz w:val="21"/>
                      <w:u w:val="single"/>
                    </w:rPr>
                    <w:t>；</w:t>
                  </w:r>
                  <w:r>
                    <w:rPr>
                      <w:sz w:val="21"/>
                    </w:rPr>
                    <w:t>洗砂生产工序</w:t>
                  </w:r>
                  <w:r>
                    <w:rPr>
                      <w:bCs/>
                      <w:sz w:val="21"/>
                      <w:szCs w:val="21"/>
                    </w:rPr>
                    <w:t>污泥经压滤机压滤</w:t>
                  </w:r>
                  <w:r>
                    <w:rPr>
                      <w:sz w:val="21"/>
                      <w:szCs w:val="21"/>
                    </w:rPr>
                    <w:t>脱水后外售制砖企业作原料</w:t>
                  </w:r>
                  <w:r>
                    <w:rPr>
                      <w:rFonts w:hint="eastAsia"/>
                      <w:sz w:val="21"/>
                      <w:szCs w:val="21"/>
                      <w:lang w:eastAsia="zh-CN"/>
                    </w:rPr>
                    <w:t>；</w:t>
                  </w:r>
                  <w:r>
                    <w:rPr>
                      <w:rFonts w:hint="default" w:cs="Times New Roman"/>
                      <w:kern w:val="2"/>
                      <w:sz w:val="21"/>
                      <w:szCs w:val="21"/>
                      <w:u w:val="none"/>
                      <w:lang w:val="en-US" w:eastAsia="zh-CN"/>
                    </w:rPr>
                    <w:t>沉淀池沉砂</w:t>
                  </w:r>
                  <w:r>
                    <w:rPr>
                      <w:rFonts w:hint="default" w:eastAsia="宋体"/>
                      <w:kern w:val="2"/>
                      <w:sz w:val="21"/>
                      <w:szCs w:val="21"/>
                      <w:u w:val="none"/>
                      <w:lang w:val="en-US" w:eastAsia="zh-CN"/>
                    </w:rPr>
                    <w:t>定期清捞，与泥饼一同交制砖厂进行综合利用</w:t>
                  </w:r>
                  <w:r>
                    <w:rPr>
                      <w:rFonts w:hint="eastAsia"/>
                      <w:kern w:val="2"/>
                      <w:sz w:val="21"/>
                      <w:szCs w:val="21"/>
                      <w:u w:val="single"/>
                      <w:lang w:val="en-US" w:eastAsia="zh-CN"/>
                    </w:rPr>
                    <w:t>；</w:t>
                  </w:r>
                  <w:r>
                    <w:rPr>
                      <w:rFonts w:hint="eastAsia" w:cs="Times New Roman"/>
                      <w:snapToGrid w:val="0"/>
                      <w:kern w:val="21"/>
                      <w:sz w:val="21"/>
                      <w:szCs w:val="21"/>
                      <w:u w:val="single"/>
                      <w:lang w:val="en-US" w:eastAsia="zh-CN"/>
                    </w:rPr>
                    <w:t>压滤机滤布送至垃圾站处置</w:t>
                  </w:r>
                  <w:r>
                    <w:rPr>
                      <w:rFonts w:hint="eastAsia"/>
                      <w:sz w:val="21"/>
                      <w:szCs w:val="21"/>
                    </w:rPr>
                    <w:t>。</w:t>
                  </w:r>
                </w:p>
              </w:tc>
              <w:tc>
                <w:tcPr>
                  <w:tcW w:w="479" w:type="dxa"/>
                  <w:vAlign w:val="center"/>
                </w:tcPr>
                <w:p>
                  <w:pPr>
                    <w:pStyle w:val="10"/>
                    <w:spacing w:after="0" w:line="240" w:lineRule="auto"/>
                    <w:jc w:val="center"/>
                    <w:rPr>
                      <w:sz w:val="21"/>
                    </w:rPr>
                  </w:pPr>
                  <w:r>
                    <w:rPr>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4" w:type="dxa"/>
                  <w:vAlign w:val="center"/>
                </w:tcPr>
                <w:p>
                  <w:pPr>
                    <w:pStyle w:val="10"/>
                    <w:spacing w:after="0" w:line="240" w:lineRule="auto"/>
                    <w:jc w:val="center"/>
                    <w:rPr>
                      <w:sz w:val="21"/>
                    </w:rPr>
                  </w:pPr>
                  <w:r>
                    <w:rPr>
                      <w:sz w:val="21"/>
                    </w:rPr>
                    <w:t>6</w:t>
                  </w:r>
                </w:p>
              </w:tc>
              <w:tc>
                <w:tcPr>
                  <w:tcW w:w="3896" w:type="dxa"/>
                  <w:vAlign w:val="center"/>
                </w:tcPr>
                <w:p>
                  <w:pPr>
                    <w:pStyle w:val="10"/>
                    <w:spacing w:after="0" w:line="240" w:lineRule="auto"/>
                    <w:jc w:val="center"/>
                    <w:rPr>
                      <w:sz w:val="21"/>
                    </w:rPr>
                  </w:pPr>
                  <w:r>
                    <w:rPr>
                      <w:sz w:val="21"/>
                    </w:rPr>
                    <w:t>废水污染防治应符合下列规定：1、生产排水、雨水和生活污水，应清污分流；2、设备冷却用水应采用循环水冷却系统；3、污水排放标准应符合现行国家标准《污水综合排放标准》GB8978的有关规定；4、检验化验室排出的含酸、碱废水应集中收集，经中和处理后达标排放；5、生产废水应经自然沉淀或机械脱水，固液分离后的清水应回用于生产系统。</w:t>
                  </w:r>
                </w:p>
              </w:tc>
              <w:tc>
                <w:tcPr>
                  <w:tcW w:w="2285" w:type="dxa"/>
                  <w:vAlign w:val="center"/>
                </w:tcPr>
                <w:p>
                  <w:pPr>
                    <w:pStyle w:val="10"/>
                    <w:spacing w:after="0" w:line="240" w:lineRule="auto"/>
                    <w:jc w:val="center"/>
                    <w:rPr>
                      <w:sz w:val="21"/>
                    </w:rPr>
                  </w:pPr>
                  <w:r>
                    <w:rPr>
                      <w:sz w:val="21"/>
                    </w:rPr>
                    <w:t>项目</w:t>
                  </w:r>
                  <w:r>
                    <w:rPr>
                      <w:rFonts w:hint="eastAsia"/>
                      <w:sz w:val="21"/>
                    </w:rPr>
                    <w:t>生产</w:t>
                  </w:r>
                  <w:r>
                    <w:rPr>
                      <w:rFonts w:hint="eastAsia"/>
                      <w:sz w:val="21"/>
                      <w:lang w:eastAsia="zh-CN"/>
                    </w:rPr>
                    <w:t>工艺</w:t>
                  </w:r>
                  <w:r>
                    <w:rPr>
                      <w:sz w:val="21"/>
                    </w:rPr>
                    <w:t>废水经</w:t>
                  </w:r>
                  <w:r>
                    <w:rPr>
                      <w:rFonts w:hint="eastAsia"/>
                      <w:sz w:val="21"/>
                      <w:lang w:eastAsia="zh-CN"/>
                    </w:rPr>
                    <w:t>生产工艺废水</w:t>
                  </w:r>
                  <w:r>
                    <w:rPr>
                      <w:sz w:val="21"/>
                    </w:rPr>
                    <w:t>处理系统处理后回用于生产；</w:t>
                  </w:r>
                  <w:r>
                    <w:rPr>
                      <w:rFonts w:hint="eastAsia"/>
                      <w:sz w:val="21"/>
                      <w:szCs w:val="21"/>
                      <w:lang w:eastAsia="zh-CN"/>
                    </w:rPr>
                    <w:t>洗车废水经洗车平台沉淀池处理后回用于车辆轮胎清洗；</w:t>
                  </w:r>
                  <w:r>
                    <w:rPr>
                      <w:sz w:val="21"/>
                      <w:szCs w:val="21"/>
                    </w:rPr>
                    <w:t>生活污水</w:t>
                  </w:r>
                  <w:r>
                    <w:rPr>
                      <w:kern w:val="0"/>
                      <w:sz w:val="21"/>
                      <w:szCs w:val="21"/>
                    </w:rPr>
                    <w:t>经</w:t>
                  </w:r>
                  <w:r>
                    <w:rPr>
                      <w:rFonts w:hint="eastAsia"/>
                      <w:kern w:val="0"/>
                      <w:sz w:val="21"/>
                      <w:szCs w:val="21"/>
                    </w:rPr>
                    <w:t>隔油</w:t>
                  </w:r>
                  <w:r>
                    <w:rPr>
                      <w:kern w:val="0"/>
                      <w:sz w:val="21"/>
                      <w:szCs w:val="21"/>
                    </w:rPr>
                    <w:t>化粪池处理用于周边林地、</w:t>
                  </w:r>
                  <w:r>
                    <w:rPr>
                      <w:rFonts w:hint="eastAsia"/>
                      <w:kern w:val="0"/>
                      <w:sz w:val="21"/>
                      <w:szCs w:val="21"/>
                    </w:rPr>
                    <w:t>菜地</w:t>
                  </w:r>
                  <w:r>
                    <w:rPr>
                      <w:kern w:val="0"/>
                      <w:sz w:val="21"/>
                      <w:szCs w:val="21"/>
                    </w:rPr>
                    <w:t>浇灌，不外排</w:t>
                  </w:r>
                  <w:r>
                    <w:rPr>
                      <w:rFonts w:hint="eastAsia"/>
                      <w:kern w:val="0"/>
                      <w:sz w:val="21"/>
                      <w:szCs w:val="21"/>
                    </w:rPr>
                    <w:t>；</w:t>
                  </w:r>
                  <w:r>
                    <w:rPr>
                      <w:sz w:val="21"/>
                    </w:rPr>
                    <w:t>初期雨水经沉淀后回用，不外排。</w:t>
                  </w:r>
                </w:p>
              </w:tc>
              <w:tc>
                <w:tcPr>
                  <w:tcW w:w="479" w:type="dxa"/>
                  <w:vAlign w:val="center"/>
                </w:tcPr>
                <w:p>
                  <w:pPr>
                    <w:pStyle w:val="10"/>
                    <w:spacing w:after="0" w:line="240" w:lineRule="auto"/>
                    <w:jc w:val="center"/>
                    <w:rPr>
                      <w:sz w:val="21"/>
                    </w:rPr>
                  </w:pPr>
                  <w:r>
                    <w:rPr>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4" w:type="dxa"/>
                  <w:vAlign w:val="center"/>
                </w:tcPr>
                <w:p>
                  <w:pPr>
                    <w:pStyle w:val="10"/>
                    <w:spacing w:after="0" w:line="240" w:lineRule="auto"/>
                    <w:jc w:val="center"/>
                    <w:rPr>
                      <w:sz w:val="21"/>
                    </w:rPr>
                  </w:pPr>
                  <w:r>
                    <w:rPr>
                      <w:sz w:val="21"/>
                    </w:rPr>
                    <w:t>7</w:t>
                  </w:r>
                </w:p>
              </w:tc>
              <w:tc>
                <w:tcPr>
                  <w:tcW w:w="3896" w:type="dxa"/>
                  <w:vAlign w:val="center"/>
                </w:tcPr>
                <w:p>
                  <w:pPr>
                    <w:pStyle w:val="10"/>
                    <w:spacing w:after="0" w:line="240" w:lineRule="auto"/>
                    <w:jc w:val="center"/>
                    <w:rPr>
                      <w:sz w:val="21"/>
                    </w:rPr>
                  </w:pPr>
                  <w:r>
                    <w:rPr>
                      <w:sz w:val="21"/>
                    </w:rPr>
                    <w:t>噪声污染防治应符合下列规定：1、厂内各类地点噪声限值应符合国家标准《工业企业噪声控制设计规范》GB/T50087的有关规定；2、工厂厂界噪声限值应符合现行国家标准《工业企业厂界环境噪声标准》GB12348的有关规定；3、设备选型时应选用低噪声生产设备，工艺布置应采取控制噪声传播的措施；4、高噪强振的设备，应采取消声、减振措施；5、高强噪声源车间，应采取隔声围护结构等措施。</w:t>
                  </w:r>
                </w:p>
              </w:tc>
              <w:tc>
                <w:tcPr>
                  <w:tcW w:w="2285" w:type="dxa"/>
                  <w:vAlign w:val="center"/>
                </w:tcPr>
                <w:p>
                  <w:pPr>
                    <w:pStyle w:val="10"/>
                    <w:spacing w:after="0" w:line="240" w:lineRule="auto"/>
                    <w:jc w:val="center"/>
                    <w:rPr>
                      <w:sz w:val="21"/>
                    </w:rPr>
                  </w:pPr>
                  <w:r>
                    <w:rPr>
                      <w:sz w:val="21"/>
                    </w:rPr>
                    <w:t>项目主要生产设备均远离居民点，并对设备安装减震垫、消声器等措施。</w:t>
                  </w:r>
                </w:p>
              </w:tc>
              <w:tc>
                <w:tcPr>
                  <w:tcW w:w="479" w:type="dxa"/>
                  <w:vAlign w:val="center"/>
                </w:tcPr>
                <w:p>
                  <w:pPr>
                    <w:pStyle w:val="10"/>
                    <w:spacing w:after="0" w:line="240" w:lineRule="auto"/>
                    <w:jc w:val="center"/>
                    <w:rPr>
                      <w:sz w:val="21"/>
                    </w:rPr>
                  </w:pPr>
                  <w:r>
                    <w:rPr>
                      <w:sz w:val="21"/>
                    </w:rPr>
                    <w:t>符合</w:t>
                  </w:r>
                </w:p>
              </w:tc>
            </w:tr>
          </w:tbl>
          <w:p>
            <w:pPr>
              <w:pStyle w:val="10"/>
              <w:spacing w:after="0"/>
              <w:ind w:firstLine="480" w:firstLineChars="200"/>
            </w:pPr>
            <w:r>
              <w:t>根据</w:t>
            </w:r>
            <w:r>
              <w:rPr>
                <w:rFonts w:hint="eastAsia"/>
              </w:rPr>
              <w:t>上表</w:t>
            </w:r>
            <w:r>
              <w:t>，项目建设满足机制砂石骨料工厂设计规范（GB51186-2016）中的要求。</w:t>
            </w:r>
          </w:p>
          <w:p>
            <w:pPr>
              <w:widowControl/>
              <w:ind w:firstLine="480"/>
              <w:jc w:val="left"/>
              <w:rPr>
                <w:b/>
              </w:rPr>
            </w:pPr>
            <w:r>
              <w:rPr>
                <w:rFonts w:hint="eastAsia"/>
                <w:b/>
                <w:bCs/>
                <w:kern w:val="0"/>
              </w:rPr>
              <w:t>1.</w:t>
            </w:r>
            <w:r>
              <w:rPr>
                <w:rFonts w:hint="eastAsia"/>
                <w:b/>
                <w:bCs/>
                <w:kern w:val="0"/>
                <w:lang w:val="en-US" w:eastAsia="zh-CN"/>
              </w:rPr>
              <w:t>6</w:t>
            </w:r>
            <w:r>
              <w:rPr>
                <w:rFonts w:hint="eastAsia"/>
                <w:b/>
              </w:rPr>
              <w:t>与《湖南省长江经济带发展负面清单实施细则（试行，2022年版）》的符合性分析</w:t>
            </w:r>
          </w:p>
          <w:p>
            <w:pPr>
              <w:widowControl/>
              <w:ind w:firstLine="480" w:firstLineChars="200"/>
              <w:rPr>
                <w:color w:val="0000FF"/>
                <w:kern w:val="0"/>
                <w:lang w:bidi="ar"/>
              </w:rPr>
            </w:pPr>
            <w:r>
              <w:rPr>
                <w:rFonts w:hint="eastAsia"/>
                <w:bCs/>
              </w:rPr>
              <w:t>本项目为</w:t>
            </w:r>
            <w:r>
              <w:t>其他建筑材料制造</w:t>
            </w:r>
            <w:r>
              <w:rPr>
                <w:rFonts w:hint="eastAsia"/>
                <w:bCs/>
              </w:rPr>
              <w:t>项目，建设性质为新建，不属于</w:t>
            </w:r>
            <w:r>
              <w:rPr>
                <w:rFonts w:hint="default" w:ascii="Times New Roman" w:hAnsi="Times New Roman" w:eastAsia="宋体" w:cs="Times New Roman"/>
                <w:color w:val="auto"/>
                <w:sz w:val="24"/>
                <w:u w:val="none" w:color="auto"/>
              </w:rPr>
              <w:t>《产业结构调整指导目录（20</w:t>
            </w:r>
            <w:r>
              <w:rPr>
                <w:rFonts w:hint="eastAsia" w:ascii="Times New Roman" w:hAnsi="Times New Roman" w:eastAsia="宋体" w:cs="Times New Roman"/>
                <w:color w:val="auto"/>
                <w:sz w:val="24"/>
                <w:u w:val="none" w:color="auto"/>
                <w:lang w:val="en-US" w:eastAsia="zh-CN"/>
              </w:rPr>
              <w:t>24</w:t>
            </w:r>
            <w:r>
              <w:rPr>
                <w:rFonts w:hint="default" w:ascii="Times New Roman" w:hAnsi="Times New Roman" w:eastAsia="宋体" w:cs="Times New Roman"/>
                <w:color w:val="auto"/>
                <w:sz w:val="24"/>
                <w:u w:val="none" w:color="auto"/>
              </w:rPr>
              <w:t>年本）》</w:t>
            </w:r>
            <w:r>
              <w:rPr>
                <w:rFonts w:hint="eastAsia"/>
                <w:bCs/>
              </w:rPr>
              <w:t>中淘汰类和限制类，符合国家产业政策；本项目</w:t>
            </w:r>
            <w:r>
              <w:rPr>
                <w:rFonts w:hint="eastAsia"/>
              </w:rPr>
              <w:t>位于怀化市辰溪县火马冲镇沙堆村</w:t>
            </w:r>
            <w:r>
              <w:rPr>
                <w:rFonts w:hint="eastAsia"/>
                <w:bCs/>
              </w:rPr>
              <w:t>，</w:t>
            </w:r>
            <w:r>
              <w:rPr>
                <w:rFonts w:hint="eastAsia"/>
                <w:kern w:val="0"/>
                <w:lang w:bidi="ar"/>
              </w:rPr>
              <w:t>距离沅江最近距离约1m。本项目营运期产生的生产</w:t>
            </w:r>
            <w:r>
              <w:rPr>
                <w:rFonts w:hint="eastAsia"/>
                <w:kern w:val="0"/>
                <w:lang w:eastAsia="zh-CN" w:bidi="ar"/>
              </w:rPr>
              <w:t>工艺</w:t>
            </w:r>
            <w:r>
              <w:rPr>
                <w:rFonts w:hint="eastAsia"/>
                <w:kern w:val="0"/>
                <w:lang w:bidi="ar"/>
              </w:rPr>
              <w:t>废水经</w:t>
            </w:r>
            <w:r>
              <w:rPr>
                <w:kern w:val="0"/>
                <w:lang w:bidi="ar"/>
              </w:rPr>
              <w:t>废水处理系统</w:t>
            </w:r>
            <w:r>
              <w:rPr>
                <w:rFonts w:hint="eastAsia"/>
                <w:kern w:val="0"/>
                <w:lang w:bidi="ar"/>
              </w:rPr>
              <w:t>处理后回用于生产</w:t>
            </w:r>
            <w:r>
              <w:rPr>
                <w:kern w:val="0"/>
                <w:lang w:bidi="ar"/>
              </w:rPr>
              <w:t>；</w:t>
            </w:r>
            <w:r>
              <w:rPr>
                <w:rFonts w:hint="eastAsia" w:ascii="Times New Roman" w:hAnsi="Times New Roman" w:eastAsia="宋体" w:cs="Times New Roman"/>
                <w:kern w:val="0"/>
                <w:sz w:val="24"/>
                <w:szCs w:val="24"/>
                <w:lang w:eastAsia="zh-CN" w:bidi="ar"/>
              </w:rPr>
              <w:t>洗车废水经洗车平台沉淀池处理后回用于</w:t>
            </w:r>
            <w:r>
              <w:rPr>
                <w:rFonts w:hint="eastAsia" w:cs="Times New Roman"/>
                <w:kern w:val="0"/>
                <w:sz w:val="24"/>
                <w:szCs w:val="24"/>
                <w:lang w:eastAsia="zh-CN" w:bidi="ar"/>
              </w:rPr>
              <w:t>车辆轮胎清洗</w:t>
            </w:r>
            <w:r>
              <w:rPr>
                <w:rFonts w:hint="eastAsia" w:ascii="Times New Roman" w:hAnsi="Times New Roman" w:eastAsia="宋体" w:cs="Times New Roman"/>
                <w:kern w:val="0"/>
                <w:sz w:val="24"/>
                <w:szCs w:val="24"/>
                <w:lang w:eastAsia="zh-CN" w:bidi="ar"/>
              </w:rPr>
              <w:t>；</w:t>
            </w:r>
            <w:r>
              <w:rPr>
                <w:kern w:val="0"/>
                <w:lang w:bidi="ar"/>
              </w:rPr>
              <w:t>生活污水经</w:t>
            </w:r>
            <w:r>
              <w:rPr>
                <w:rFonts w:hint="eastAsia"/>
                <w:kern w:val="0"/>
                <w:lang w:bidi="ar"/>
              </w:rPr>
              <w:t>隔油</w:t>
            </w:r>
            <w:r>
              <w:rPr>
                <w:kern w:val="0"/>
                <w:lang w:bidi="ar"/>
              </w:rPr>
              <w:t>化粪池处理用于周边林地、</w:t>
            </w:r>
            <w:r>
              <w:rPr>
                <w:rFonts w:hint="eastAsia"/>
                <w:kern w:val="0"/>
                <w:lang w:bidi="ar"/>
              </w:rPr>
              <w:t>菜地</w:t>
            </w:r>
            <w:r>
              <w:rPr>
                <w:kern w:val="0"/>
                <w:lang w:bidi="ar"/>
              </w:rPr>
              <w:t>浇灌，不外排</w:t>
            </w:r>
            <w:r>
              <w:rPr>
                <w:rFonts w:hint="eastAsia"/>
                <w:kern w:val="0"/>
                <w:lang w:bidi="ar"/>
              </w:rPr>
              <w:t>；</w:t>
            </w:r>
            <w:r>
              <w:rPr>
                <w:rFonts w:hint="eastAsia"/>
                <w:kern w:val="0"/>
                <w:u w:val="single"/>
                <w:lang w:bidi="ar"/>
              </w:rPr>
              <w:t>初期</w:t>
            </w:r>
            <w:r>
              <w:rPr>
                <w:kern w:val="0"/>
                <w:u w:val="single"/>
                <w:lang w:bidi="ar"/>
              </w:rPr>
              <w:t>雨水</w:t>
            </w:r>
            <w:r>
              <w:rPr>
                <w:color w:val="auto"/>
                <w:sz w:val="24"/>
                <w:szCs w:val="22"/>
                <w:u w:val="single"/>
                <w:lang w:bidi="zh-CN"/>
              </w:rPr>
              <w:t>通过截排水沟将</w:t>
            </w:r>
            <w:r>
              <w:rPr>
                <w:rFonts w:hint="eastAsia"/>
                <w:color w:val="auto"/>
                <w:sz w:val="24"/>
                <w:szCs w:val="22"/>
                <w:u w:val="single"/>
                <w:lang w:bidi="zh-CN"/>
              </w:rPr>
              <w:t>厂区</w:t>
            </w:r>
            <w:r>
              <w:rPr>
                <w:color w:val="auto"/>
                <w:sz w:val="24"/>
                <w:szCs w:val="22"/>
                <w:u w:val="single"/>
                <w:lang w:bidi="zh-CN"/>
              </w:rPr>
              <w:t>汇集的地表径流收集至</w:t>
            </w:r>
            <w:r>
              <w:rPr>
                <w:rFonts w:hint="eastAsia"/>
                <w:kern w:val="0"/>
                <w:u w:val="single"/>
                <w:lang w:bidi="ar"/>
              </w:rPr>
              <w:t>初期雨水收集池</w:t>
            </w:r>
            <w:r>
              <w:rPr>
                <w:kern w:val="0"/>
                <w:u w:val="single"/>
                <w:lang w:bidi="ar"/>
              </w:rPr>
              <w:t>沉淀后回用于厂区降尘洒水</w:t>
            </w:r>
            <w:r>
              <w:rPr>
                <w:rFonts w:hint="eastAsia"/>
                <w:kern w:val="0"/>
                <w:u w:val="single"/>
                <w:lang w:bidi="ar"/>
              </w:rPr>
              <w:t>。</w:t>
            </w:r>
            <w:r>
              <w:rPr>
                <w:rFonts w:hint="eastAsia"/>
                <w:kern w:val="0"/>
                <w:lang w:bidi="ar"/>
              </w:rPr>
              <w:t>同时，本项目不在城市规划区范围内，不涉及自然遗产地、国有林场、重要湿地、森林公园、湿地公园、地质公园、风景名胜区、国家级公益林等敏感区域。即本项目所在区域不涉及自然保护区、风景名胜区、饮用水水源保护区、国家湿地公园，不在长江干流岸线三公里及长江重要支流湘江的一公里范围内。因此，对照《长江经济带发展负面清单指南（试行，2022 年版）》，本项目不属于该“负面清单”范围内。</w:t>
            </w:r>
          </w:p>
          <w:p>
            <w:pPr>
              <w:numPr>
                <w:ilvl w:val="-1"/>
                <w:numId w:val="0"/>
              </w:numPr>
              <w:wordWrap/>
              <w:ind w:left="0" w:firstLine="481" w:firstLineChars="200"/>
              <w:rPr>
                <w:rFonts w:hint="eastAsia"/>
              </w:rPr>
            </w:pPr>
            <w:r>
              <w:rPr>
                <w:rFonts w:hint="eastAsia" w:ascii="Times New Roman" w:hAnsi="Times New Roman" w:eastAsia="宋体" w:cs="Times New Roman"/>
                <w:b/>
              </w:rPr>
              <w:t>1.</w:t>
            </w:r>
            <w:r>
              <w:rPr>
                <w:rFonts w:hint="eastAsia" w:ascii="Times New Roman" w:hAnsi="Times New Roman" w:eastAsia="宋体" w:cs="Times New Roman"/>
                <w:b/>
                <w:lang w:val="en-US" w:eastAsia="zh-CN"/>
              </w:rPr>
              <w:t>7</w:t>
            </w:r>
            <w:r>
              <w:rPr>
                <w:rFonts w:hint="eastAsia" w:ascii="Times New Roman" w:hAnsi="Times New Roman" w:eastAsia="宋体" w:cs="Times New Roman"/>
                <w:b/>
              </w:rPr>
              <w:t>、与</w:t>
            </w:r>
            <w:r>
              <w:rPr>
                <w:rFonts w:hint="eastAsia" w:ascii="Times New Roman" w:hAnsi="Times New Roman" w:eastAsia="宋体" w:cs="Times New Roman"/>
                <w:b/>
                <w:sz w:val="24"/>
              </w:rPr>
              <w:t>《水产种质资源保护区管理办法》</w:t>
            </w:r>
            <w:r>
              <w:rPr>
                <w:rFonts w:hint="eastAsia" w:ascii="Times New Roman" w:hAnsi="Times New Roman" w:eastAsia="宋体" w:cs="Times New Roman"/>
                <w:b/>
                <w:kern w:val="2"/>
                <w:sz w:val="24"/>
              </w:rPr>
              <w:t>（2016年5月30日施行）的符合性分析</w:t>
            </w:r>
          </w:p>
          <w:p>
            <w:pPr>
              <w:pStyle w:val="58"/>
              <w:rPr>
                <w:rFonts w:hint="eastAsia" w:ascii="Times New Roman" w:hAnsi="Times New Roman" w:eastAsia="宋体" w:cs="Times New Roman"/>
                <w:b w:val="0"/>
                <w:bCs w:val="0"/>
                <w:kern w:val="0"/>
                <w:lang w:bidi="ar"/>
              </w:rPr>
            </w:pPr>
            <w:r>
              <w:rPr>
                <w:rFonts w:hint="eastAsia" w:ascii="Times New Roman" w:hAnsi="Times New Roman" w:eastAsia="宋体" w:cs="Times New Roman"/>
                <w:b w:val="0"/>
                <w:bCs w:val="0"/>
                <w:kern w:val="0"/>
                <w:lang w:bidi="ar"/>
              </w:rPr>
              <w:t>根据《水产种质资源保护区管理办法》（2016年5月30日施行）中：“第三章 水产种质资源保护区的管理：第十七条 禁止在水产种质资源保护区内从事围湖造田、围海造地或围填海工程。第十八条 禁止在水产种质资源保护区内新建排污口。在水产种质资源保护区附近新建、改建、扩建排污口，应当保证保护区水体不受污染。第十九条 在水产种质资源保护区内从事修建水利工程、疏浚航道、建闸筑坝、勘探和开采矿产资源、港口建设等工程建设的，或者在水产种质资源保护区外从事可能损害保护区功能的工程建设活动的，应当按照国家有关规定编制建设项目对水产种质资源保护区的影响专题论证报告，并将其纳入环境影响评价报告书。</w:t>
            </w:r>
          </w:p>
          <w:p>
            <w:pPr>
              <w:pStyle w:val="30"/>
              <w:numPr>
                <w:ilvl w:val="1"/>
                <w:numId w:val="0"/>
              </w:numPr>
              <w:ind w:left="0" w:firstLine="480" w:firstLineChars="200"/>
              <w:jc w:val="both"/>
              <w:rPr>
                <w:rFonts w:hint="eastAsia" w:eastAsia="宋体"/>
                <w:lang w:eastAsia="zh-CN"/>
              </w:rPr>
            </w:pPr>
            <w:r>
              <w:rPr>
                <w:rFonts w:hint="eastAsia" w:ascii="Times New Roman" w:hAnsi="Times New Roman" w:eastAsia="宋体" w:cs="Times New Roman"/>
                <w:b w:val="0"/>
                <w:bCs w:val="0"/>
                <w:kern w:val="0"/>
                <w:lang w:bidi="ar"/>
              </w:rPr>
              <w:t>本项目为</w:t>
            </w:r>
            <w:r>
              <w:rPr>
                <w:rFonts w:hint="eastAsia" w:ascii="Times New Roman" w:hAnsi="Times New Roman" w:eastAsia="宋体" w:cs="Times New Roman"/>
                <w:b w:val="0"/>
                <w:kern w:val="0"/>
                <w:lang w:bidi="ar"/>
              </w:rPr>
              <w:t>其他</w:t>
            </w:r>
            <w:r>
              <w:rPr>
                <w:rFonts w:hint="eastAsia" w:ascii="Times New Roman" w:hAnsi="Times New Roman" w:eastAsia="宋体" w:cs="Times New Roman"/>
                <w:b w:val="0"/>
                <w:kern w:val="0"/>
                <w:lang w:eastAsia="zh-CN" w:bidi="ar"/>
              </w:rPr>
              <w:t>非金属矿物制品</w:t>
            </w:r>
            <w:r>
              <w:rPr>
                <w:rFonts w:hint="eastAsia" w:ascii="Times New Roman" w:hAnsi="Times New Roman" w:eastAsia="宋体" w:cs="Times New Roman"/>
                <w:b w:val="0"/>
                <w:kern w:val="0"/>
                <w:lang w:bidi="ar"/>
              </w:rPr>
              <w:t>制造</w:t>
            </w:r>
            <w:r>
              <w:rPr>
                <w:rFonts w:hint="eastAsia" w:ascii="Times New Roman" w:hAnsi="Times New Roman" w:eastAsia="宋体" w:cs="Times New Roman"/>
                <w:b w:val="0"/>
                <w:bCs w:val="0"/>
                <w:kern w:val="0"/>
                <w:lang w:bidi="ar"/>
              </w:rPr>
              <w:t>，</w:t>
            </w:r>
            <w:r>
              <w:rPr>
                <w:rFonts w:hint="eastAsia" w:ascii="Times New Roman" w:hAnsi="Times New Roman" w:eastAsia="宋体" w:cs="Times New Roman"/>
                <w:b w:val="0"/>
                <w:kern w:val="0"/>
                <w:lang w:bidi="ar"/>
              </w:rPr>
              <w:t>目前已建设完成一条年产120万吨砂石生产线</w:t>
            </w:r>
            <w:r>
              <w:rPr>
                <w:rFonts w:hint="eastAsia" w:ascii="Times New Roman" w:hAnsi="Times New Roman" w:eastAsia="宋体" w:cs="Times New Roman"/>
                <w:b w:val="0"/>
                <w:bCs w:val="0"/>
                <w:kern w:val="0"/>
                <w:lang w:bidi="ar"/>
              </w:rPr>
              <w:t>。</w:t>
            </w:r>
            <w:r>
              <w:rPr>
                <w:rFonts w:hint="eastAsia" w:ascii="Times New Roman" w:hAnsi="Times New Roman" w:eastAsia="宋体" w:cs="Times New Roman"/>
                <w:b w:val="0"/>
                <w:kern w:val="0"/>
                <w:sz w:val="24"/>
                <w:szCs w:val="24"/>
                <w:lang w:bidi="ar"/>
              </w:rPr>
              <w:t>沅水辰溪段鲌类黄颡鱼国家级水产种质资源保护区</w:t>
            </w:r>
            <w:r>
              <w:rPr>
                <w:rFonts w:hint="eastAsia" w:ascii="Times New Roman" w:hAnsi="Times New Roman" w:eastAsia="宋体" w:cs="Times New Roman"/>
                <w:b w:val="0"/>
                <w:kern w:val="0"/>
                <w:sz w:val="24"/>
                <w:szCs w:val="24"/>
                <w:lang w:eastAsia="zh-CN" w:bidi="ar"/>
              </w:rPr>
              <w:t>核心区及</w:t>
            </w:r>
            <w:r>
              <w:rPr>
                <w:rFonts w:hint="eastAsia" w:ascii="Times New Roman" w:hAnsi="Times New Roman" w:eastAsia="宋体" w:cs="Times New Roman"/>
                <w:b w:val="0"/>
                <w:kern w:val="0"/>
                <w:sz w:val="24"/>
                <w:szCs w:val="24"/>
                <w:u w:val="none"/>
                <w:lang w:val="en-US" w:eastAsia="zh-CN" w:bidi="ar"/>
              </w:rPr>
              <w:t>沅水特有鱼类国家级水产种质资源保护区实验区</w:t>
            </w:r>
            <w:r>
              <w:rPr>
                <w:rFonts w:hint="eastAsia" w:ascii="Times New Roman" w:hAnsi="Times New Roman" w:eastAsia="宋体" w:cs="Times New Roman"/>
                <w:b w:val="0"/>
                <w:kern w:val="0"/>
                <w:sz w:val="24"/>
                <w:szCs w:val="24"/>
                <w:lang w:eastAsia="zh-CN" w:bidi="ar"/>
              </w:rPr>
              <w:t>距项目地北面</w:t>
            </w:r>
            <w:r>
              <w:rPr>
                <w:rFonts w:hint="eastAsia" w:ascii="Times New Roman" w:hAnsi="Times New Roman" w:eastAsia="宋体" w:cs="Times New Roman"/>
                <w:b w:val="0"/>
                <w:kern w:val="0"/>
                <w:sz w:val="24"/>
                <w:szCs w:val="24"/>
                <w:lang w:val="en-US" w:eastAsia="zh-CN" w:bidi="ar"/>
              </w:rPr>
              <w:t>1m</w:t>
            </w:r>
            <w:r>
              <w:rPr>
                <w:rFonts w:hint="eastAsia" w:ascii="Times New Roman" w:hAnsi="Times New Roman" w:eastAsia="宋体" w:cs="Times New Roman"/>
                <w:b w:val="0"/>
                <w:kern w:val="0"/>
                <w:lang w:bidi="ar"/>
              </w:rPr>
              <w:t>，本项目生产过程中产生的废水均不外排</w:t>
            </w:r>
            <w:r>
              <w:rPr>
                <w:rFonts w:hint="eastAsia" w:cs="Times New Roman"/>
                <w:b w:val="0"/>
                <w:kern w:val="0"/>
                <w:lang w:eastAsia="zh-CN" w:bidi="ar"/>
              </w:rPr>
              <w:t>，</w:t>
            </w:r>
            <w:r>
              <w:rPr>
                <w:rFonts w:hint="eastAsia" w:ascii="Times New Roman" w:hAnsi="Times New Roman" w:eastAsia="宋体" w:cs="Times New Roman"/>
                <w:b w:val="0"/>
                <w:kern w:val="0"/>
                <w:lang w:eastAsia="zh-CN" w:bidi="ar"/>
              </w:rPr>
              <w:t>且项目用地虽在沅水河道管理范围内，但不占用沅水水域，不在</w:t>
            </w:r>
            <w:r>
              <w:rPr>
                <w:rFonts w:hint="eastAsia" w:ascii="Times New Roman" w:hAnsi="Times New Roman" w:eastAsia="宋体" w:cs="Times New Roman"/>
                <w:b w:val="0"/>
                <w:kern w:val="0"/>
                <w:sz w:val="24"/>
                <w:szCs w:val="24"/>
                <w:lang w:bidi="ar"/>
              </w:rPr>
              <w:t>沅水辰溪段鲌类黄颡鱼国家级水产种质资源保护区</w:t>
            </w:r>
            <w:r>
              <w:rPr>
                <w:rFonts w:hint="eastAsia" w:ascii="Times New Roman" w:hAnsi="Times New Roman" w:eastAsia="宋体" w:cs="Times New Roman"/>
                <w:b w:val="0"/>
                <w:kern w:val="0"/>
                <w:sz w:val="24"/>
                <w:szCs w:val="24"/>
                <w:lang w:eastAsia="zh-CN" w:bidi="ar"/>
              </w:rPr>
              <w:t>核心区及</w:t>
            </w:r>
            <w:r>
              <w:rPr>
                <w:rFonts w:hint="eastAsia" w:ascii="Times New Roman" w:hAnsi="Times New Roman" w:eastAsia="宋体" w:cs="Times New Roman"/>
                <w:b w:val="0"/>
                <w:kern w:val="0"/>
                <w:sz w:val="24"/>
                <w:szCs w:val="24"/>
                <w:u w:val="none"/>
                <w:lang w:val="en-US" w:eastAsia="zh-CN" w:bidi="ar"/>
              </w:rPr>
              <w:t>沅水特有鱼类国家级水产种质资源保护区实验区内，不会损害</w:t>
            </w:r>
            <w:r>
              <w:rPr>
                <w:rFonts w:hint="eastAsia" w:ascii="Times New Roman" w:hAnsi="Times New Roman" w:eastAsia="宋体" w:cs="Times New Roman"/>
                <w:b w:val="0"/>
                <w:kern w:val="0"/>
                <w:sz w:val="24"/>
                <w:szCs w:val="24"/>
                <w:lang w:bidi="ar"/>
              </w:rPr>
              <w:t>沅水辰溪段鲌类黄颡鱼国家级水产种质资源保护区</w:t>
            </w:r>
            <w:r>
              <w:rPr>
                <w:rFonts w:hint="eastAsia" w:ascii="Times New Roman" w:hAnsi="Times New Roman" w:eastAsia="宋体" w:cs="Times New Roman"/>
                <w:b w:val="0"/>
                <w:kern w:val="0"/>
                <w:sz w:val="24"/>
                <w:szCs w:val="24"/>
                <w:lang w:eastAsia="zh-CN" w:bidi="ar"/>
              </w:rPr>
              <w:t>及</w:t>
            </w:r>
            <w:r>
              <w:rPr>
                <w:rFonts w:hint="eastAsia" w:ascii="Times New Roman" w:hAnsi="Times New Roman" w:eastAsia="宋体" w:cs="Times New Roman"/>
                <w:b w:val="0"/>
                <w:kern w:val="0"/>
                <w:sz w:val="24"/>
                <w:szCs w:val="24"/>
                <w:u w:val="none"/>
                <w:lang w:val="en-US" w:eastAsia="zh-CN" w:bidi="ar"/>
              </w:rPr>
              <w:t>沅水特有鱼类国家级水产种质资源保护区功能。</w:t>
            </w:r>
          </w:p>
          <w:p>
            <w:pPr>
              <w:pStyle w:val="30"/>
              <w:numPr>
                <w:ilvl w:val="1"/>
                <w:numId w:val="0"/>
              </w:numPr>
              <w:ind w:left="0" w:firstLine="480" w:firstLineChars="200"/>
              <w:jc w:val="both"/>
              <w:rPr>
                <w:rFonts w:hint="eastAsia"/>
              </w:rPr>
            </w:pPr>
            <w:r>
              <w:rPr>
                <w:rFonts w:hint="eastAsia" w:ascii="Times New Roman" w:hAnsi="Times New Roman" w:eastAsia="宋体" w:cs="Times New Roman"/>
                <w:b w:val="0"/>
                <w:bCs w:val="0"/>
                <w:kern w:val="0"/>
                <w:lang w:bidi="ar"/>
              </w:rPr>
              <w:t>综上，本项目符合《水产种质资源保护区管理办法》。</w:t>
            </w:r>
          </w:p>
          <w:p>
            <w:pPr>
              <w:pStyle w:val="30"/>
              <w:numPr>
                <w:ilvl w:val="1"/>
                <w:numId w:val="0"/>
              </w:numPr>
              <w:ind w:left="284"/>
            </w:pPr>
            <w:r>
              <w:rPr>
                <w:rFonts w:hint="eastAsia"/>
              </w:rPr>
              <w:t>1.8</w:t>
            </w:r>
            <w:r>
              <w:t>、与《</w:t>
            </w:r>
            <w:r>
              <w:rPr>
                <w:rFonts w:hint="eastAsia"/>
                <w:kern w:val="0"/>
              </w:rPr>
              <w:t>怀化市</w:t>
            </w:r>
            <w:r>
              <w:t>“十四五”生态环境保护规划》的符合性分析</w:t>
            </w:r>
          </w:p>
          <w:p>
            <w:pPr>
              <w:widowControl/>
              <w:ind w:firstLine="480"/>
              <w:jc w:val="left"/>
            </w:pPr>
            <w:r>
              <w:rPr>
                <w:kern w:val="0"/>
                <w:lang w:bidi="ar"/>
              </w:rPr>
              <w:t>根据《怀化市“十四五”生态环境保护规划》可知：</w:t>
            </w:r>
          </w:p>
          <w:p>
            <w:pPr>
              <w:widowControl/>
              <w:ind w:firstLine="480"/>
              <w:jc w:val="left"/>
            </w:pPr>
            <w:r>
              <w:t>第三章 加快高质量低碳发展 推动经济社会绿色转型 第四节 严格生态环境准入管控的要求：</w:t>
            </w:r>
          </w:p>
          <w:p>
            <w:pPr>
              <w:widowControl/>
              <w:ind w:firstLine="480"/>
              <w:jc w:val="left"/>
            </w:pPr>
            <w:r>
              <w:rPr>
                <w:kern w:val="0"/>
                <w:lang w:bidi="ar"/>
              </w:rPr>
              <w:t>加强源头把控，严格建设项目环境影响评价审批，严格环境准入。新建、改建、扩建项目必须符合国家和省、市产业政策、生态保护、总量控制和达标排放要求，综合考虑经济发展和环境承载能力，对不符合相关规划、产业政策、环境功能区划、总量控制和达标排放要求的建设项目坚决不予审批。</w:t>
            </w:r>
          </w:p>
          <w:p>
            <w:pPr>
              <w:widowControl/>
              <w:ind w:firstLine="480"/>
              <w:jc w:val="left"/>
            </w:pPr>
            <w:r>
              <w:rPr>
                <w:rFonts w:hint="eastAsia"/>
                <w:kern w:val="0"/>
              </w:rPr>
              <w:t>本项目用</w:t>
            </w:r>
            <w:r>
              <w:rPr>
                <w:rFonts w:hint="eastAsia"/>
                <w:kern w:val="0"/>
                <w:lang w:bidi="ar"/>
              </w:rPr>
              <w:t>鹅卵石生产砂石骨料，</w:t>
            </w:r>
            <w:r>
              <w:rPr>
                <w:rFonts w:hint="eastAsia"/>
              </w:rPr>
              <w:t>为新建项目，</w:t>
            </w:r>
            <w:r>
              <w:t>不属于“两高”企业。企业采用能源主要为电</w:t>
            </w:r>
            <w:r>
              <w:rPr>
                <w:rFonts w:hint="eastAsia"/>
              </w:rPr>
              <w:t>能</w:t>
            </w:r>
            <w:r>
              <w:t>，不使用煤等高污染燃料。项目选址符合“三线一单”管控要求，因此本项目符合《</w:t>
            </w:r>
            <w:r>
              <w:rPr>
                <w:lang w:bidi="ar"/>
              </w:rPr>
              <w:t>怀化市“十四五”生态环境保护规划</w:t>
            </w:r>
            <w:r>
              <w:t>》的相关要求。</w:t>
            </w:r>
          </w:p>
          <w:p>
            <w:pPr>
              <w:ind w:firstLine="480" w:firstLineChars="200"/>
              <w:jc w:val="left"/>
              <w:rPr>
                <w:color w:val="0000FF"/>
                <w:kern w:val="0"/>
              </w:rPr>
            </w:pPr>
          </w:p>
          <w:p>
            <w:pPr>
              <w:rPr>
                <w:color w:val="0000FF"/>
              </w:rPr>
            </w:pPr>
          </w:p>
        </w:tc>
      </w:tr>
    </w:tbl>
    <w:p>
      <w:pPr>
        <w:outlineLvl w:val="0"/>
        <w:rPr>
          <w:color w:val="0000FF"/>
          <w:sz w:val="30"/>
        </w:rPr>
        <w:sectPr>
          <w:footerReference r:id="rId7" w:type="default"/>
          <w:pgSz w:w="11906" w:h="16838"/>
          <w:pgMar w:top="1701" w:right="1531" w:bottom="1701" w:left="1531" w:header="851" w:footer="1077" w:gutter="0"/>
          <w:pgNumType w:start="1"/>
          <w:cols w:space="720" w:num="1"/>
          <w:docGrid w:linePitch="312" w:charSpace="0"/>
        </w:sectPr>
      </w:pPr>
    </w:p>
    <w:p>
      <w:pPr>
        <w:pStyle w:val="19"/>
        <w:jc w:val="center"/>
        <w:outlineLvl w:val="0"/>
        <w:rPr>
          <w:rFonts w:ascii="Times New Roman" w:hAnsi="Times New Roman" w:cs="Times New Roman"/>
          <w:snapToGrid w:val="0"/>
          <w:sz w:val="30"/>
          <w:szCs w:val="30"/>
        </w:rPr>
      </w:pPr>
      <w:bookmarkStart w:id="14" w:name="_Toc26197"/>
      <w:bookmarkStart w:id="15" w:name="_Toc68160349"/>
      <w:r>
        <w:rPr>
          <w:rFonts w:ascii="Times New Roman" w:hAnsi="Times New Roman" w:cs="Times New Roman"/>
          <w:snapToGrid w:val="0"/>
          <w:sz w:val="30"/>
          <w:szCs w:val="30"/>
        </w:rPr>
        <w:t>二、建设项目工程分析</w:t>
      </w:r>
      <w:bookmarkEnd w:id="14"/>
      <w:bookmarkEnd w:id="15"/>
    </w:p>
    <w:tbl>
      <w:tblPr>
        <w:tblStyle w:val="22"/>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860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77" w:hRule="atLeast"/>
          <w:jc w:val="center"/>
        </w:trPr>
        <w:tc>
          <w:tcPr>
            <w:tcW w:w="414" w:type="dxa"/>
            <w:vAlign w:val="center"/>
          </w:tcPr>
          <w:p>
            <w:pPr>
              <w:widowControl/>
              <w:adjustRightInd w:val="0"/>
              <w:snapToGrid w:val="0"/>
              <w:spacing w:line="240" w:lineRule="auto"/>
              <w:jc w:val="center"/>
              <w:rPr>
                <w:color w:val="0000FF"/>
                <w:kern w:val="0"/>
                <w:szCs w:val="21"/>
              </w:rPr>
            </w:pPr>
            <w:r>
              <w:rPr>
                <w:kern w:val="0"/>
                <w:szCs w:val="21"/>
              </w:rPr>
              <w:t>建设内容</w:t>
            </w:r>
          </w:p>
        </w:tc>
        <w:tc>
          <w:tcPr>
            <w:tcW w:w="8646" w:type="dxa"/>
          </w:tcPr>
          <w:p>
            <w:pPr>
              <w:pStyle w:val="30"/>
              <w:numPr>
                <w:ilvl w:val="0"/>
                <w:numId w:val="3"/>
              </w:numPr>
              <w:ind w:left="284"/>
            </w:pPr>
            <w:bookmarkStart w:id="16" w:name="_Toc9201"/>
            <w:bookmarkStart w:id="17" w:name="_Toc68160350"/>
            <w:r>
              <w:t>项目由来</w:t>
            </w:r>
          </w:p>
          <w:p>
            <w:pPr>
              <w:ind w:firstLine="480" w:firstLineChars="200"/>
            </w:pPr>
            <w:r>
              <w:rPr>
                <w:rFonts w:hint="eastAsia"/>
                <w:u w:val="single"/>
              </w:rPr>
              <w:t>辰溪县广润砂石有限责任公司</w:t>
            </w:r>
            <w:r>
              <w:rPr>
                <w:u w:val="single"/>
              </w:rPr>
              <w:t>成立于20</w:t>
            </w:r>
            <w:r>
              <w:rPr>
                <w:rFonts w:hint="eastAsia"/>
                <w:u w:val="single"/>
              </w:rPr>
              <w:t>22</w:t>
            </w:r>
            <w:r>
              <w:rPr>
                <w:u w:val="single"/>
              </w:rPr>
              <w:t>年0</w:t>
            </w:r>
            <w:r>
              <w:rPr>
                <w:rFonts w:hint="eastAsia"/>
                <w:u w:val="single"/>
              </w:rPr>
              <w:t>8</w:t>
            </w:r>
            <w:r>
              <w:rPr>
                <w:u w:val="single"/>
              </w:rPr>
              <w:t>月</w:t>
            </w:r>
            <w:r>
              <w:rPr>
                <w:rFonts w:hint="eastAsia"/>
                <w:u w:val="single"/>
              </w:rPr>
              <w:t>11</w:t>
            </w:r>
            <w:r>
              <w:rPr>
                <w:u w:val="single"/>
              </w:rPr>
              <w:t>日，注册地位于</w:t>
            </w:r>
            <w:r>
              <w:rPr>
                <w:rFonts w:hint="eastAsia"/>
                <w:u w:val="single"/>
              </w:rPr>
              <w:t>湖南省怀化市辰溪县</w:t>
            </w:r>
            <w:r>
              <w:rPr>
                <w:rFonts w:hint="eastAsia"/>
                <w:u w:val="single"/>
                <w:lang w:eastAsia="zh-CN"/>
              </w:rPr>
              <w:t>火马冲镇沙堆村（原三石鑫砂场）</w:t>
            </w:r>
            <w:r>
              <w:rPr>
                <w:u w:val="single"/>
              </w:rPr>
              <w:t>，法定代表人为</w:t>
            </w:r>
            <w:r>
              <w:rPr>
                <w:rFonts w:hint="eastAsia"/>
                <w:u w:val="single"/>
              </w:rPr>
              <w:t>段虹</w:t>
            </w:r>
            <w:r>
              <w:rPr>
                <w:u w:val="single"/>
              </w:rPr>
              <w:t>。经营范围包括</w:t>
            </w:r>
            <w:r>
              <w:rPr>
                <w:rFonts w:hint="eastAsia"/>
                <w:u w:val="single"/>
              </w:rPr>
              <w:t>一般项目：建筑用石加工；建筑材料销售</w:t>
            </w:r>
            <w:r>
              <w:rPr>
                <w:u w:val="single"/>
              </w:rPr>
              <w:t>（</w:t>
            </w:r>
            <w:r>
              <w:rPr>
                <w:rFonts w:hint="eastAsia"/>
                <w:u w:val="single"/>
              </w:rPr>
              <w:t>除</w:t>
            </w:r>
            <w:r>
              <w:rPr>
                <w:u w:val="single"/>
              </w:rPr>
              <w:t>依法须经批准的项目</w:t>
            </w:r>
            <w:r>
              <w:rPr>
                <w:rFonts w:hint="eastAsia"/>
                <w:u w:val="single"/>
              </w:rPr>
              <w:t>外</w:t>
            </w:r>
            <w:r>
              <w:rPr>
                <w:u w:val="single"/>
              </w:rPr>
              <w:t>，</w:t>
            </w:r>
            <w:r>
              <w:rPr>
                <w:rFonts w:hint="eastAsia"/>
                <w:u w:val="single"/>
              </w:rPr>
              <w:t>凭营业执照依法自主</w:t>
            </w:r>
            <w:r>
              <w:rPr>
                <w:u w:val="single"/>
              </w:rPr>
              <w:t>开展经营活动）。</w:t>
            </w:r>
            <w:r>
              <w:rPr>
                <w:rFonts w:hint="eastAsia"/>
                <w:u w:val="single"/>
                <w:lang w:eastAsia="zh-CN"/>
              </w:rPr>
              <w:t>其中</w:t>
            </w:r>
            <w:r>
              <w:rPr>
                <w:rFonts w:hint="eastAsia"/>
                <w:u w:val="single"/>
              </w:rPr>
              <w:t>辰溪县广润砂石有限责任公司为辰溪县沅水河道清理有限公司的分公司，故建设单位以总公司辰溪县沅水河道清理有限公司的名义于2022年12月5日取得了临时用地审批单（见附件4）。</w:t>
            </w:r>
          </w:p>
          <w:p>
            <w:pPr>
              <w:ind w:firstLine="480" w:firstLineChars="200"/>
              <w:rPr>
                <w:rFonts w:hint="default" w:eastAsia="宋体"/>
                <w:lang w:val="en-US" w:eastAsia="zh-CN"/>
              </w:rPr>
            </w:pPr>
            <w:r>
              <w:rPr>
                <w:rFonts w:hint="eastAsia"/>
                <w:lang w:eastAsia="zh-CN"/>
              </w:rPr>
              <w:t>项目位于辰溪沅江左岸，</w:t>
            </w:r>
            <w:r>
              <w:rPr>
                <w:rFonts w:hint="eastAsia" w:ascii="Times New Roman" w:hAnsi="Times New Roman" w:eastAsia="宋体" w:cs="Times New Roman"/>
                <w:kern w:val="2"/>
                <w:sz w:val="24"/>
                <w:szCs w:val="24"/>
              </w:rPr>
              <w:t xml:space="preserve"> 本项目为涉河砂石</w:t>
            </w:r>
            <w:r>
              <w:rPr>
                <w:rFonts w:hint="eastAsia" w:cs="Times New Roman"/>
                <w:kern w:val="2"/>
                <w:sz w:val="24"/>
                <w:szCs w:val="24"/>
                <w:lang w:eastAsia="zh-CN"/>
              </w:rPr>
              <w:t>项目</w:t>
            </w:r>
            <w:r>
              <w:rPr>
                <w:rFonts w:hint="eastAsia" w:ascii="Times New Roman" w:hAnsi="Times New Roman" w:eastAsia="宋体" w:cs="Times New Roman"/>
                <w:kern w:val="2"/>
                <w:sz w:val="24"/>
                <w:szCs w:val="24"/>
              </w:rPr>
              <w:t>，属于临河建筑物。砂石加工项目部分用地范围、设施设备及建筑物位于沅水河道管理范围内。</w:t>
            </w:r>
            <w:r>
              <w:rPr>
                <w:rFonts w:hint="eastAsia"/>
              </w:rPr>
              <w:t>辰溪县广润砂石有限责任公司</w:t>
            </w:r>
            <w:r>
              <w:rPr>
                <w:rFonts w:hint="eastAsia"/>
                <w:lang w:eastAsia="zh-CN"/>
              </w:rPr>
              <w:t>已按照要求委托湖南省三九环境工程咨询有限公司</w:t>
            </w:r>
            <w:r>
              <w:rPr>
                <w:rFonts w:hint="eastAsia" w:cs="Times New Roman"/>
                <w:kern w:val="2"/>
                <w:sz w:val="24"/>
                <w:szCs w:val="24"/>
                <w:lang w:eastAsia="zh-CN"/>
              </w:rPr>
              <w:t>进行本项目的</w:t>
            </w:r>
            <w:r>
              <w:rPr>
                <w:rFonts w:hint="eastAsia" w:ascii="Times New Roman" w:hAnsi="Times New Roman" w:eastAsia="宋体" w:cs="Times New Roman"/>
                <w:kern w:val="2"/>
                <w:sz w:val="24"/>
                <w:szCs w:val="24"/>
              </w:rPr>
              <w:t>防洪评价</w:t>
            </w:r>
            <w:r>
              <w:rPr>
                <w:rFonts w:hint="eastAsia" w:ascii="Times New Roman" w:hAnsi="Times New Roman" w:eastAsia="宋体" w:cs="Times New Roman"/>
                <w:sz w:val="24"/>
                <w:szCs w:val="24"/>
              </w:rPr>
              <w:t>工作</w:t>
            </w:r>
            <w:r>
              <w:rPr>
                <w:rFonts w:hint="eastAsia" w:cs="Times New Roman"/>
                <w:sz w:val="24"/>
                <w:szCs w:val="24"/>
                <w:lang w:eastAsia="zh-CN"/>
              </w:rPr>
              <w:t>，已于</w:t>
            </w:r>
            <w:r>
              <w:rPr>
                <w:rFonts w:hint="eastAsia" w:cs="Times New Roman"/>
                <w:sz w:val="24"/>
                <w:szCs w:val="24"/>
                <w:lang w:val="en-US" w:eastAsia="zh-CN"/>
              </w:rPr>
              <w:t>2023年12月1日取得怀化市水利局关于</w:t>
            </w:r>
            <w:r>
              <w:rPr>
                <w:rFonts w:hint="eastAsia"/>
                <w:lang w:val="en-US" w:eastAsia="zh-CN"/>
              </w:rPr>
              <w:t>辰溪广润砂石集散中心项目涉河管理事项的批复（怀水河管【2023】24号）</w:t>
            </w:r>
            <w:r>
              <w:rPr>
                <w:rFonts w:hint="eastAsia" w:cs="Times New Roman"/>
                <w:sz w:val="24"/>
                <w:szCs w:val="24"/>
                <w:lang w:eastAsia="zh-CN"/>
              </w:rPr>
              <w:t>（见附件</w:t>
            </w:r>
            <w:r>
              <w:rPr>
                <w:rFonts w:hint="eastAsia" w:cs="Times New Roman"/>
                <w:sz w:val="24"/>
                <w:szCs w:val="24"/>
                <w:lang w:val="en-US" w:eastAsia="zh-CN"/>
              </w:rPr>
              <w:t>9</w:t>
            </w:r>
            <w:r>
              <w:rPr>
                <w:rFonts w:hint="eastAsia" w:cs="Times New Roman"/>
                <w:sz w:val="24"/>
                <w:szCs w:val="24"/>
                <w:lang w:eastAsia="zh-CN"/>
              </w:rPr>
              <w:t>），本次环评不评价该批复中提到的沿河码头，仅评价砂石堆场，沿河码头另行评价。</w:t>
            </w:r>
          </w:p>
          <w:p>
            <w:pPr>
              <w:ind w:firstLine="480" w:firstLineChars="200"/>
              <w:rPr>
                <w:rFonts w:hint="eastAsia"/>
              </w:rPr>
            </w:pPr>
            <w:r>
              <w:t>本建设项目</w:t>
            </w:r>
            <w:r>
              <w:rPr>
                <w:rFonts w:hint="eastAsia"/>
              </w:rPr>
              <w:t>目前已建设完成</w:t>
            </w:r>
            <w:r>
              <w:t>一条年产</w:t>
            </w:r>
            <w:r>
              <w:rPr>
                <w:rFonts w:hint="eastAsia"/>
              </w:rPr>
              <w:t>120</w:t>
            </w:r>
            <w:r>
              <w:t>万吨砂石生产线</w:t>
            </w:r>
            <w:r>
              <w:rPr>
                <w:rFonts w:hint="eastAsia"/>
              </w:rPr>
              <w:t>，</w:t>
            </w:r>
            <w:r>
              <w:t>因未经批准，擅自开工建设，属于未批先建，</w:t>
            </w:r>
            <w:r>
              <w:rPr>
                <w:color w:val="auto"/>
              </w:rPr>
              <w:t>202</w:t>
            </w:r>
            <w:r>
              <w:rPr>
                <w:rFonts w:hint="eastAsia"/>
                <w:color w:val="auto"/>
                <w:lang w:val="en-US" w:eastAsia="zh-CN"/>
              </w:rPr>
              <w:t>3</w:t>
            </w:r>
            <w:r>
              <w:rPr>
                <w:color w:val="auto"/>
              </w:rPr>
              <w:t>年</w:t>
            </w:r>
            <w:r>
              <w:rPr>
                <w:rFonts w:hint="eastAsia"/>
                <w:color w:val="auto"/>
                <w:lang w:val="en-US" w:eastAsia="zh-CN"/>
              </w:rPr>
              <w:t>5</w:t>
            </w:r>
            <w:r>
              <w:rPr>
                <w:color w:val="auto"/>
              </w:rPr>
              <w:t>月</w:t>
            </w:r>
            <w:r>
              <w:rPr>
                <w:rFonts w:hint="eastAsia"/>
                <w:color w:val="auto"/>
                <w:lang w:val="en-US" w:eastAsia="zh-CN"/>
              </w:rPr>
              <w:t>16</w:t>
            </w:r>
            <w:r>
              <w:rPr>
                <w:color w:val="auto"/>
              </w:rPr>
              <w:t>日，怀化市</w:t>
            </w:r>
            <w:r>
              <w:rPr>
                <w:rFonts w:hint="eastAsia"/>
                <w:color w:val="auto"/>
                <w:lang w:eastAsia="zh-CN"/>
              </w:rPr>
              <w:t>生态环境</w:t>
            </w:r>
            <w:r>
              <w:rPr>
                <w:color w:val="auto"/>
              </w:rPr>
              <w:t>局</w:t>
            </w:r>
            <w:r>
              <w:rPr>
                <w:rFonts w:hint="eastAsia"/>
                <w:color w:val="auto"/>
                <w:lang w:eastAsia="zh-CN"/>
              </w:rPr>
              <w:t>执法人员</w:t>
            </w:r>
            <w:r>
              <w:rPr>
                <w:color w:val="auto"/>
              </w:rPr>
              <w:t>对</w:t>
            </w:r>
            <w:r>
              <w:rPr>
                <w:rFonts w:hint="eastAsia"/>
                <w:color w:val="auto"/>
              </w:rPr>
              <w:t>辰溪县广润砂石有限责任公司</w:t>
            </w:r>
            <w:r>
              <w:rPr>
                <w:color w:val="auto"/>
              </w:rPr>
              <w:t>的砂石生产线进行了现场检查，发现砂石生产线项目未</w:t>
            </w:r>
            <w:r>
              <w:rPr>
                <w:rFonts w:hint="eastAsia"/>
                <w:color w:val="auto"/>
              </w:rPr>
              <w:t>依法报批</w:t>
            </w:r>
            <w:r>
              <w:rPr>
                <w:color w:val="auto"/>
              </w:rPr>
              <w:t>环境影响评价文件，已开工建设并投入生产，怀化市</w:t>
            </w:r>
            <w:r>
              <w:rPr>
                <w:rFonts w:hint="eastAsia"/>
                <w:color w:val="auto"/>
                <w:lang w:eastAsia="zh-CN"/>
              </w:rPr>
              <w:t>生态环境</w:t>
            </w:r>
            <w:r>
              <w:rPr>
                <w:color w:val="auto"/>
              </w:rPr>
              <w:t>局于202</w:t>
            </w:r>
            <w:r>
              <w:rPr>
                <w:rFonts w:hint="eastAsia"/>
                <w:color w:val="auto"/>
                <w:lang w:val="en-US" w:eastAsia="zh-CN"/>
              </w:rPr>
              <w:t>3</w:t>
            </w:r>
            <w:r>
              <w:rPr>
                <w:color w:val="auto"/>
              </w:rPr>
              <w:t>年</w:t>
            </w:r>
            <w:r>
              <w:rPr>
                <w:rFonts w:hint="eastAsia"/>
                <w:color w:val="auto"/>
                <w:lang w:val="en-US" w:eastAsia="zh-CN"/>
              </w:rPr>
              <w:t>6</w:t>
            </w:r>
            <w:r>
              <w:rPr>
                <w:color w:val="auto"/>
              </w:rPr>
              <w:t>月1</w:t>
            </w:r>
            <w:r>
              <w:rPr>
                <w:rFonts w:hint="eastAsia"/>
                <w:color w:val="auto"/>
                <w:lang w:val="en-US" w:eastAsia="zh-CN"/>
              </w:rPr>
              <w:t>3</w:t>
            </w:r>
            <w:r>
              <w:rPr>
                <w:color w:val="auto"/>
              </w:rPr>
              <w:t>日出具了</w:t>
            </w:r>
            <w:r>
              <w:rPr>
                <w:rFonts w:hint="eastAsia"/>
                <w:color w:val="auto"/>
                <w:lang w:eastAsia="zh-CN"/>
              </w:rPr>
              <w:t>行政处罚决定书</w:t>
            </w:r>
            <w:r>
              <w:rPr>
                <w:color w:val="auto"/>
              </w:rPr>
              <w:t>（怀</w:t>
            </w:r>
            <w:r>
              <w:rPr>
                <w:rFonts w:hint="eastAsia"/>
                <w:color w:val="auto"/>
                <w:lang w:eastAsia="zh-CN"/>
              </w:rPr>
              <w:t>环辰罚</w:t>
            </w:r>
            <w:r>
              <w:rPr>
                <w:rFonts w:hint="eastAsia"/>
                <w:color w:val="auto"/>
                <w:lang w:val="en-US" w:eastAsia="zh-CN"/>
              </w:rPr>
              <w:t>[</w:t>
            </w:r>
            <w:r>
              <w:rPr>
                <w:color w:val="auto"/>
              </w:rPr>
              <w:t>202</w:t>
            </w:r>
            <w:r>
              <w:rPr>
                <w:rFonts w:hint="eastAsia"/>
                <w:color w:val="auto"/>
                <w:lang w:val="en-US" w:eastAsia="zh-CN"/>
              </w:rPr>
              <w:t>3]6</w:t>
            </w:r>
            <w:r>
              <w:rPr>
                <w:color w:val="auto"/>
              </w:rPr>
              <w:t>号），</w:t>
            </w:r>
            <w:r>
              <w:rPr>
                <w:rFonts w:hint="eastAsia"/>
                <w:color w:val="auto"/>
                <w:lang w:eastAsia="zh-CN"/>
              </w:rPr>
              <w:t>建设单位已</w:t>
            </w:r>
            <w:r>
              <w:rPr>
                <w:color w:val="auto"/>
              </w:rPr>
              <w:t>于202</w:t>
            </w:r>
            <w:r>
              <w:rPr>
                <w:rFonts w:hint="eastAsia"/>
                <w:color w:val="auto"/>
                <w:lang w:val="en-US" w:eastAsia="zh-CN"/>
              </w:rPr>
              <w:t>3</w:t>
            </w:r>
            <w:r>
              <w:rPr>
                <w:color w:val="auto"/>
              </w:rPr>
              <w:t>年</w:t>
            </w:r>
            <w:r>
              <w:rPr>
                <w:rFonts w:hint="eastAsia"/>
                <w:color w:val="auto"/>
                <w:lang w:val="en-US" w:eastAsia="zh-CN"/>
              </w:rPr>
              <w:t>7</w:t>
            </w:r>
            <w:r>
              <w:rPr>
                <w:color w:val="auto"/>
              </w:rPr>
              <w:t>月</w:t>
            </w:r>
            <w:r>
              <w:rPr>
                <w:rFonts w:hint="eastAsia"/>
                <w:color w:val="auto"/>
                <w:lang w:val="en-US" w:eastAsia="zh-CN"/>
              </w:rPr>
              <w:t>1</w:t>
            </w:r>
            <w:r>
              <w:rPr>
                <w:color w:val="auto"/>
              </w:rPr>
              <w:t>0日缴纳了相应的罚款。</w:t>
            </w:r>
            <w:r>
              <w:rPr>
                <w:rFonts w:hint="eastAsia"/>
              </w:rPr>
              <w:t>公司于2023年4月3日在湖南省投资项目在线审批平台备案，项目代码为2303-431223-04-01-215901。</w:t>
            </w:r>
          </w:p>
          <w:p>
            <w:pPr>
              <w:ind w:firstLine="480" w:firstLineChars="200"/>
              <w:rPr>
                <w:rFonts w:hint="eastAsia" w:eastAsia="宋体"/>
                <w:u w:val="single"/>
                <w:lang w:eastAsia="zh-CN"/>
              </w:rPr>
            </w:pPr>
            <w:r>
              <w:rPr>
                <w:rFonts w:hint="eastAsia"/>
                <w:u w:val="single"/>
              </w:rPr>
              <w:t>本项目原料主要是鹅卵石，目前原料来源于辰溪博雅中学沅水尾堆清理</w:t>
            </w:r>
            <w:r>
              <w:rPr>
                <w:rFonts w:hint="eastAsia"/>
                <w:sz w:val="24"/>
                <w:szCs w:val="32"/>
                <w:lang w:val="en-US" w:eastAsia="zh-CN"/>
              </w:rPr>
              <w:t>弃渣点</w:t>
            </w:r>
            <w:r>
              <w:rPr>
                <w:rFonts w:hint="eastAsia"/>
                <w:u w:val="single"/>
                <w:lang w:eastAsia="zh-CN"/>
              </w:rPr>
              <w:t>、沅水洪江至辰溪航道建设工程</w:t>
            </w:r>
            <w:r>
              <w:rPr>
                <w:rFonts w:hint="eastAsia"/>
                <w:u w:val="single"/>
              </w:rPr>
              <w:t>产生的鹅卵石</w:t>
            </w:r>
            <w:r>
              <w:rPr>
                <w:rFonts w:hint="eastAsia"/>
                <w:u w:val="single"/>
                <w:lang w:eastAsia="zh-CN"/>
              </w:rPr>
              <w:t>。其中沅水洪江至辰溪航道建设工程已取得怀化市生态环境局</w:t>
            </w:r>
            <w:r>
              <w:rPr>
                <w:rFonts w:hint="eastAsia"/>
                <w:highlight w:val="none"/>
                <w:lang w:val="en-US" w:eastAsia="zh-CN"/>
              </w:rPr>
              <w:t>关于</w:t>
            </w:r>
            <w:r>
              <w:rPr>
                <w:rFonts w:hint="default" w:ascii="Times New Roman" w:hAnsi="Times New Roman" w:eastAsia="宋体" w:cs="Times New Roman"/>
                <w:spacing w:val="-6"/>
                <w:u w:val="none"/>
                <w:lang w:eastAsia="zh-CN"/>
              </w:rPr>
              <w:t>沅水洪江至辰溪航道建设工程</w:t>
            </w:r>
            <w:r>
              <w:rPr>
                <w:rFonts w:hint="eastAsia" w:ascii="Times New Roman" w:hAnsi="Times New Roman" w:eastAsia="宋体" w:cs="Times New Roman"/>
                <w:spacing w:val="-6"/>
                <w:u w:val="none"/>
                <w:lang w:eastAsia="zh-CN"/>
              </w:rPr>
              <w:t>环境影响报告书的批复（</w:t>
            </w:r>
            <w:r>
              <w:rPr>
                <w:rFonts w:hint="eastAsia"/>
                <w:u w:val="single"/>
                <w:lang w:eastAsia="zh-CN"/>
              </w:rPr>
              <w:t>怀</w:t>
            </w:r>
            <w:r>
              <w:rPr>
                <w:rFonts w:hint="eastAsia" w:ascii="Times New Roman" w:hAnsi="Times New Roman" w:eastAsia="宋体" w:cs="Times New Roman"/>
                <w:spacing w:val="-6"/>
                <w:u w:val="none"/>
                <w:lang w:eastAsia="zh-CN"/>
              </w:rPr>
              <w:t>环评</w:t>
            </w:r>
            <w:r>
              <w:rPr>
                <w:rFonts w:hint="eastAsia" w:ascii="Times New Roman" w:hAnsi="Times New Roman" w:eastAsia="宋体" w:cs="Times New Roman"/>
                <w:spacing w:val="-6"/>
                <w:u w:val="none"/>
                <w:lang w:val="en-US" w:eastAsia="zh-CN"/>
              </w:rPr>
              <w:t>[2021]121号，见附件10</w:t>
            </w:r>
            <w:r>
              <w:rPr>
                <w:rFonts w:hint="eastAsia" w:ascii="Times New Roman" w:hAnsi="Times New Roman" w:eastAsia="宋体" w:cs="Times New Roman"/>
                <w:spacing w:val="-6"/>
                <w:u w:val="none"/>
                <w:lang w:eastAsia="zh-CN"/>
              </w:rPr>
              <w:t>）</w:t>
            </w:r>
            <w:r>
              <w:rPr>
                <w:rFonts w:hint="eastAsia" w:cs="Times New Roman"/>
                <w:spacing w:val="-6"/>
                <w:u w:val="none"/>
                <w:lang w:eastAsia="zh-CN"/>
              </w:rPr>
              <w:t>，</w:t>
            </w:r>
            <w:r>
              <w:rPr>
                <w:rFonts w:hint="eastAsia"/>
                <w:u w:val="single"/>
                <w:lang w:val="en-US" w:eastAsia="zh-CN"/>
              </w:rPr>
              <w:t>本项目仅利用</w:t>
            </w:r>
            <w:r>
              <w:rPr>
                <w:rFonts w:hint="eastAsia"/>
                <w:u w:val="single"/>
                <w:lang w:eastAsia="zh-CN"/>
              </w:rPr>
              <w:t>沅水洪江至辰溪航道建设工程中</w:t>
            </w:r>
            <w:r>
              <w:rPr>
                <w:rFonts w:hint="eastAsia"/>
                <w:u w:val="single"/>
                <w:lang w:val="en-US" w:eastAsia="zh-CN"/>
              </w:rPr>
              <w:t>辰州滩-大洑潭段产生的弃渣</w:t>
            </w:r>
            <w:r>
              <w:rPr>
                <w:rFonts w:hint="eastAsia" w:cs="Times New Roman"/>
                <w:spacing w:val="-6"/>
                <w:u w:val="none"/>
                <w:lang w:eastAsia="zh-CN"/>
              </w:rPr>
              <w:t>；</w:t>
            </w:r>
            <w:r>
              <w:rPr>
                <w:rFonts w:hint="eastAsia"/>
                <w:sz w:val="24"/>
                <w:szCs w:val="32"/>
                <w:lang w:val="en-US" w:eastAsia="zh-CN"/>
              </w:rPr>
              <w:t>辰溪博雅中学沅水尾堆清理弃渣点为建设单位沅水尾堆清理项目的一个弃渣点,清理工期为2022年8月4日-2022年12月31日，该弃渣点产生的鹅卵石可作为建设单位辰溪县广润砂石加工项目原料使用（原料来源说明见附件14）。</w:t>
            </w:r>
          </w:p>
          <w:p>
            <w:pPr>
              <w:ind w:firstLine="480" w:firstLineChars="200"/>
            </w:pPr>
            <w:r>
              <w:rPr>
                <w:rFonts w:hint="eastAsia"/>
                <w:u w:val="single"/>
                <w:lang w:eastAsia="zh-CN"/>
              </w:rPr>
              <w:t>根据业主提供资料，</w:t>
            </w:r>
            <w:r>
              <w:rPr>
                <w:rFonts w:hint="eastAsia"/>
                <w:sz w:val="24"/>
                <w:szCs w:val="32"/>
                <w:lang w:val="en-US" w:eastAsia="zh-CN"/>
              </w:rPr>
              <w:t>辰溪博雅中学沅水尾堆清理弃渣点目前已堆存约336万吨鹅卵石</w:t>
            </w:r>
            <w:r>
              <w:rPr>
                <w:rFonts w:hint="eastAsia"/>
                <w:u w:val="single"/>
                <w:lang w:eastAsia="zh-CN"/>
              </w:rPr>
              <w:t>；根据《沅水洪江至辰溪航道建设工程环境影响报告书》及现场调查，</w:t>
            </w:r>
            <w:r>
              <w:rPr>
                <w:rFonts w:hint="eastAsia"/>
                <w:u w:val="single"/>
                <w:lang w:val="en-US" w:eastAsia="zh-CN"/>
              </w:rPr>
              <w:t>辰州滩-大洑潭段</w:t>
            </w:r>
            <w:r>
              <w:rPr>
                <w:rFonts w:hint="eastAsia"/>
                <w:u w:val="single"/>
                <w:lang w:eastAsia="zh-CN"/>
              </w:rPr>
              <w:t>施工期产生弃渣中鹅卵石的量约为</w:t>
            </w:r>
            <w:r>
              <w:rPr>
                <w:rFonts w:hint="eastAsia"/>
                <w:highlight w:val="none"/>
                <w:u w:val="single"/>
                <w:lang w:val="en-US" w:eastAsia="zh-CN"/>
              </w:rPr>
              <w:t>9.1</w:t>
            </w:r>
            <w:r>
              <w:rPr>
                <w:rFonts w:hint="eastAsia"/>
                <w:u w:val="single"/>
                <w:lang w:val="en-US" w:eastAsia="zh-CN"/>
              </w:rPr>
              <w:t>万吨。因此，</w:t>
            </w:r>
            <w:r>
              <w:rPr>
                <w:rFonts w:hint="eastAsia"/>
                <w:u w:val="single"/>
              </w:rPr>
              <w:t>辰溪博雅中学沅水尾堆清理</w:t>
            </w:r>
            <w:r>
              <w:rPr>
                <w:rFonts w:hint="eastAsia"/>
                <w:sz w:val="24"/>
                <w:szCs w:val="32"/>
                <w:lang w:val="en-US" w:eastAsia="zh-CN"/>
              </w:rPr>
              <w:t>弃渣点</w:t>
            </w:r>
            <w:r>
              <w:rPr>
                <w:rFonts w:hint="eastAsia"/>
                <w:u w:val="single"/>
                <w:lang w:eastAsia="zh-CN"/>
              </w:rPr>
              <w:t>及沅水洪江至辰溪航道建设工程</w:t>
            </w:r>
            <w:r>
              <w:rPr>
                <w:rFonts w:hint="eastAsia"/>
                <w:u w:val="single"/>
              </w:rPr>
              <w:t>能够满足本项目</w:t>
            </w:r>
            <w:r>
              <w:rPr>
                <w:rFonts w:hint="eastAsia"/>
                <w:highlight w:val="none"/>
                <w:u w:val="single"/>
                <w:lang w:val="en-US" w:eastAsia="zh-CN"/>
              </w:rPr>
              <w:t>2</w:t>
            </w:r>
            <w:r>
              <w:rPr>
                <w:rFonts w:hint="eastAsia"/>
                <w:u w:val="single"/>
              </w:rPr>
              <w:t>年</w:t>
            </w:r>
            <w:r>
              <w:rPr>
                <w:rFonts w:hint="eastAsia"/>
                <w:u w:val="single"/>
                <w:lang w:eastAsia="zh-CN"/>
              </w:rPr>
              <w:t>半的</w:t>
            </w:r>
            <w:r>
              <w:rPr>
                <w:rFonts w:hint="eastAsia"/>
                <w:u w:val="single"/>
              </w:rPr>
              <w:t>生产需要，一旦辰溪博雅中学沅水尾堆清理</w:t>
            </w:r>
            <w:r>
              <w:rPr>
                <w:rFonts w:hint="eastAsia"/>
                <w:sz w:val="24"/>
                <w:szCs w:val="32"/>
                <w:lang w:val="en-US" w:eastAsia="zh-CN"/>
              </w:rPr>
              <w:t>弃渣点</w:t>
            </w:r>
            <w:r>
              <w:rPr>
                <w:rFonts w:hint="eastAsia"/>
                <w:u w:val="single"/>
                <w:lang w:eastAsia="zh-CN"/>
              </w:rPr>
              <w:t>及沅水洪江至辰溪航道建设工程</w:t>
            </w:r>
            <w:r>
              <w:rPr>
                <w:rFonts w:hint="eastAsia"/>
                <w:u w:val="single"/>
              </w:rPr>
              <w:t>施工完成后，本项目如需继续生产，将寻找合法的废石来源签订相关协议，原材料需符合《关于促进砂石行业健康有序发展的指导意见》（发改价格〔2020〕473号）要求。</w:t>
            </w:r>
          </w:p>
          <w:p>
            <w:pPr>
              <w:widowControl/>
              <w:ind w:firstLine="480" w:firstLineChars="200"/>
              <w:jc w:val="left"/>
            </w:pPr>
            <w:r>
              <w:t>根据《中华人民共和国环境影响评价法》、国务院令第 682 号《建设项目环境保护管理条例》和中华人民共和国生态环境部令第 16 号《建设项目环境影响评价分类管理名录（2021 年版）》，该项目属于“二十七、非金属矿物制品业30，</w:t>
            </w:r>
            <w:r>
              <w:rPr>
                <w:rFonts w:hint="default" w:ascii="Times New Roman" w:hAnsi="Times New Roman" w:eastAsia="宋体" w:cs="Times New Roman"/>
                <w:kern w:val="2"/>
                <w:sz w:val="24"/>
                <w:szCs w:val="24"/>
                <w:lang w:val="en-US" w:eastAsia="zh-CN" w:bidi="ar"/>
              </w:rPr>
              <w:t>石墨及其他非金属矿物制品制造 309</w:t>
            </w:r>
            <w:r>
              <w:t>”中的“</w:t>
            </w:r>
            <w:r>
              <w:rPr>
                <w:rFonts w:hint="eastAsia"/>
                <w:lang w:eastAsia="zh-CN"/>
              </w:rPr>
              <w:t>其他</w:t>
            </w:r>
            <w:r>
              <w:t>”应编制环境影响报告表。受</w:t>
            </w:r>
            <w:r>
              <w:rPr>
                <w:rFonts w:hint="eastAsia"/>
              </w:rPr>
              <w:t>辰溪县广润砂石有限责任公司</w:t>
            </w:r>
            <w:r>
              <w:t>委托，</w:t>
            </w:r>
            <w:r>
              <w:rPr>
                <w:rFonts w:hint="eastAsia"/>
              </w:rPr>
              <w:t>湖南新瑞智环境科技有限责任公司（以下简称</w:t>
            </w:r>
            <w:r>
              <w:t>我公司</w:t>
            </w:r>
            <w:r>
              <w:rPr>
                <w:rFonts w:hint="eastAsia"/>
              </w:rPr>
              <w:t>）</w:t>
            </w:r>
            <w:r>
              <w:t>承担该项目的环境影响评价工作。接受委托后，我公司及时组织技术人员对现场进行踏勘，并对有关资料进行分析研究后，按照建设项目环境影响评价导则的技术要求，完成该项目环境影响报告表的编制工作。</w:t>
            </w:r>
          </w:p>
          <w:p>
            <w:pPr>
              <w:pStyle w:val="30"/>
              <w:numPr>
                <w:ilvl w:val="0"/>
                <w:numId w:val="3"/>
              </w:numPr>
              <w:ind w:left="284"/>
            </w:pPr>
            <w:r>
              <w:t>工程概况</w:t>
            </w:r>
          </w:p>
          <w:p>
            <w:pPr>
              <w:pStyle w:val="30"/>
              <w:numPr>
                <w:ilvl w:val="1"/>
                <w:numId w:val="0"/>
              </w:numPr>
              <w:ind w:left="284"/>
            </w:pPr>
            <w:r>
              <w:t>2.1项目概况</w:t>
            </w:r>
            <w:bookmarkEnd w:id="16"/>
            <w:bookmarkEnd w:id="17"/>
          </w:p>
          <w:p>
            <w:pPr>
              <w:ind w:firstLine="480" w:firstLineChars="200"/>
            </w:pPr>
            <w:r>
              <w:t>项目名称：</w:t>
            </w:r>
            <w:r>
              <w:rPr>
                <w:rFonts w:hint="eastAsia"/>
              </w:rPr>
              <w:t>辰溪县广润砂石加工项目</w:t>
            </w:r>
          </w:p>
          <w:p>
            <w:pPr>
              <w:ind w:firstLine="480" w:firstLineChars="200"/>
            </w:pPr>
            <w:r>
              <w:t>建设单位：</w:t>
            </w:r>
            <w:r>
              <w:rPr>
                <w:rFonts w:hint="eastAsia"/>
              </w:rPr>
              <w:t>辰溪县广润砂石有限责任公司</w:t>
            </w:r>
          </w:p>
          <w:p>
            <w:pPr>
              <w:ind w:firstLine="480" w:firstLineChars="200"/>
            </w:pPr>
            <w:r>
              <w:t>建设地点：湖南省</w:t>
            </w:r>
            <w:r>
              <w:rPr>
                <w:rFonts w:hint="eastAsia"/>
              </w:rPr>
              <w:t>辰溪县火马冲镇沙堆村</w:t>
            </w:r>
            <w:r>
              <w:t>，地理坐标：E110°</w:t>
            </w:r>
            <w:r>
              <w:rPr>
                <w:rFonts w:hint="eastAsia"/>
              </w:rPr>
              <w:t>15</w:t>
            </w:r>
            <w:r>
              <w:t>'</w:t>
            </w:r>
            <w:r>
              <w:rPr>
                <w:rFonts w:hint="eastAsia"/>
              </w:rPr>
              <w:t>38.818</w:t>
            </w:r>
            <w:r>
              <w:t>"，N27°</w:t>
            </w:r>
            <w:r>
              <w:rPr>
                <w:rFonts w:hint="eastAsia"/>
              </w:rPr>
              <w:t>54</w:t>
            </w:r>
            <w:r>
              <w:t>'</w:t>
            </w:r>
            <w:r>
              <w:rPr>
                <w:rFonts w:hint="eastAsia"/>
              </w:rPr>
              <w:t>45.145</w:t>
            </w:r>
            <w:r>
              <w:t>"</w:t>
            </w:r>
          </w:p>
          <w:p>
            <w:pPr>
              <w:ind w:firstLine="480" w:firstLineChars="200"/>
              <w:rPr>
                <w:rFonts w:hint="default" w:eastAsia="宋体"/>
                <w:lang w:val="en-US" w:eastAsia="zh-CN"/>
              </w:rPr>
            </w:pPr>
            <w:r>
              <w:rPr>
                <w:rFonts w:hint="eastAsia"/>
                <w:lang w:eastAsia="zh-CN"/>
              </w:rPr>
              <w:t>建筑面积：</w:t>
            </w:r>
            <w:r>
              <w:rPr>
                <w:rFonts w:hint="eastAsia"/>
                <w:lang w:val="en-US" w:eastAsia="zh-CN"/>
              </w:rPr>
              <w:t>10760平方米</w:t>
            </w:r>
          </w:p>
          <w:p>
            <w:pPr>
              <w:ind w:firstLine="480" w:firstLineChars="200"/>
            </w:pPr>
            <w:r>
              <w:t>项目性质：新建（补办环评）</w:t>
            </w:r>
          </w:p>
          <w:p>
            <w:pPr>
              <w:widowControl/>
              <w:adjustRightInd w:val="0"/>
              <w:snapToGrid w:val="0"/>
              <w:ind w:firstLine="480" w:firstLineChars="200"/>
            </w:pPr>
            <w:r>
              <w:t>总投资：</w:t>
            </w:r>
            <w:r>
              <w:rPr>
                <w:rFonts w:hint="eastAsia"/>
              </w:rPr>
              <w:t>2000</w:t>
            </w:r>
            <w:r>
              <w:t>万元。</w:t>
            </w:r>
          </w:p>
          <w:p>
            <w:pPr>
              <w:pStyle w:val="30"/>
              <w:numPr>
                <w:ilvl w:val="1"/>
                <w:numId w:val="0"/>
              </w:numPr>
              <w:ind w:left="284"/>
            </w:pPr>
            <w:bookmarkStart w:id="18" w:name="_Toc68160351"/>
            <w:bookmarkStart w:id="19" w:name="_Toc7441"/>
            <w:r>
              <w:t>2.2 建设内容及规模</w:t>
            </w:r>
            <w:bookmarkEnd w:id="18"/>
            <w:bookmarkEnd w:id="19"/>
          </w:p>
          <w:p>
            <w:pPr>
              <w:adjustRightInd w:val="0"/>
              <w:snapToGrid w:val="0"/>
              <w:ind w:firstLine="480" w:firstLineChars="200"/>
              <w:rPr>
                <w:color w:val="0000FF"/>
              </w:rPr>
            </w:pPr>
            <w:r>
              <w:rPr>
                <w:u w:val="single"/>
              </w:rPr>
              <w:t>项目位于湖南省</w:t>
            </w:r>
            <w:r>
              <w:rPr>
                <w:rFonts w:hint="eastAsia"/>
                <w:u w:val="single"/>
              </w:rPr>
              <w:t>辰溪县火马冲镇沙堆村</w:t>
            </w:r>
            <w:r>
              <w:rPr>
                <w:u w:val="single"/>
              </w:rPr>
              <w:t>，项目总用地面积</w:t>
            </w:r>
            <w:r>
              <w:rPr>
                <w:rFonts w:hint="eastAsia"/>
                <w:u w:val="single"/>
              </w:rPr>
              <w:t>17032</w:t>
            </w:r>
            <w:r>
              <w:rPr>
                <w:u w:val="single"/>
              </w:rPr>
              <w:t>m</w:t>
            </w:r>
            <w:r>
              <w:rPr>
                <w:u w:val="single"/>
                <w:vertAlign w:val="superscript"/>
              </w:rPr>
              <w:t>2</w:t>
            </w:r>
            <w:r>
              <w:rPr>
                <w:u w:val="single"/>
              </w:rPr>
              <w:t>，建设一条年产</w:t>
            </w:r>
            <w:r>
              <w:rPr>
                <w:rFonts w:hint="eastAsia"/>
                <w:u w:val="single"/>
              </w:rPr>
              <w:t>120</w:t>
            </w:r>
            <w:r>
              <w:rPr>
                <w:u w:val="single"/>
              </w:rPr>
              <w:t>万吨砂石生产线，包括破碎</w:t>
            </w:r>
            <w:r>
              <w:rPr>
                <w:rFonts w:hint="eastAsia"/>
                <w:u w:val="single"/>
              </w:rPr>
              <w:t>、制砂</w:t>
            </w:r>
            <w:r>
              <w:rPr>
                <w:u w:val="single"/>
              </w:rPr>
              <w:t>及洗砂，原材料为</w:t>
            </w:r>
            <w:r>
              <w:rPr>
                <w:rFonts w:hint="eastAsia"/>
                <w:u w:val="single"/>
              </w:rPr>
              <w:t>鹅卵石，目前原料来源于辰溪博雅中学沅水尾堆清理</w:t>
            </w:r>
            <w:r>
              <w:rPr>
                <w:rFonts w:hint="eastAsia"/>
                <w:sz w:val="24"/>
                <w:szCs w:val="32"/>
                <w:lang w:val="en-US" w:eastAsia="zh-CN"/>
              </w:rPr>
              <w:t>弃渣点</w:t>
            </w:r>
            <w:r>
              <w:rPr>
                <w:rFonts w:hint="eastAsia"/>
                <w:u w:val="single"/>
                <w:lang w:eastAsia="zh-CN"/>
              </w:rPr>
              <w:t>、沅水洪江至辰溪航道建设工程</w:t>
            </w:r>
            <w:r>
              <w:rPr>
                <w:rFonts w:hint="eastAsia"/>
                <w:u w:val="single"/>
              </w:rPr>
              <w:t>产生的鹅卵石</w:t>
            </w:r>
            <w:r>
              <w:rPr>
                <w:u w:val="single"/>
              </w:rPr>
              <w:t>。</w:t>
            </w:r>
            <w:r>
              <w:rPr>
                <w:rFonts w:hint="eastAsia"/>
                <w:u w:val="single"/>
              </w:rPr>
              <w:t>目前</w:t>
            </w:r>
            <w:r>
              <w:rPr>
                <w:u w:val="single"/>
              </w:rPr>
              <w:t>主要</w:t>
            </w:r>
            <w:r>
              <w:rPr>
                <w:rFonts w:hint="eastAsia"/>
                <w:u w:val="single"/>
              </w:rPr>
              <w:t>已</w:t>
            </w:r>
            <w:r>
              <w:rPr>
                <w:u w:val="single"/>
              </w:rPr>
              <w:t>建设内容包括</w:t>
            </w:r>
            <w:r>
              <w:rPr>
                <w:rFonts w:hint="eastAsia"/>
                <w:u w:val="single"/>
              </w:rPr>
              <w:t>砂石</w:t>
            </w:r>
            <w:r>
              <w:rPr>
                <w:u w:val="single"/>
              </w:rPr>
              <w:t>加工生产区、砂石料</w:t>
            </w:r>
            <w:r>
              <w:rPr>
                <w:rFonts w:hint="eastAsia"/>
                <w:u w:val="single"/>
              </w:rPr>
              <w:t>成品</w:t>
            </w:r>
            <w:r>
              <w:rPr>
                <w:u w:val="single"/>
              </w:rPr>
              <w:t>堆场、</w:t>
            </w:r>
            <w:r>
              <w:rPr>
                <w:rFonts w:hint="eastAsia"/>
                <w:u w:val="single"/>
              </w:rPr>
              <w:t>原料堆场、综合办公楼等，拟新增初期雨水池</w:t>
            </w:r>
            <w:r>
              <w:rPr>
                <w:u w:val="single"/>
              </w:rPr>
              <w:t>、</w:t>
            </w:r>
            <w:r>
              <w:rPr>
                <w:rFonts w:hint="eastAsia"/>
                <w:u w:val="single"/>
                <w:lang w:eastAsia="zh-CN"/>
              </w:rPr>
              <w:t>洗车平台沉淀池、</w:t>
            </w:r>
            <w:r>
              <w:rPr>
                <w:rFonts w:hint="eastAsia"/>
                <w:u w:val="single"/>
              </w:rPr>
              <w:t>危废间</w:t>
            </w:r>
            <w:r>
              <w:rPr>
                <w:rFonts w:hint="eastAsia" w:ascii="Times New Roman" w:hAnsi="Times New Roman" w:eastAsia="宋体" w:cs="Times New Roman"/>
                <w:u w:val="single"/>
                <w:lang w:eastAsia="zh-CN"/>
              </w:rPr>
              <w:t>、喷淋抑尘设施</w:t>
            </w:r>
            <w:r>
              <w:rPr>
                <w:rFonts w:hint="eastAsia"/>
                <w:u w:val="single"/>
              </w:rPr>
              <w:t>等</w:t>
            </w:r>
            <w:r>
              <w:rPr>
                <w:u w:val="single"/>
              </w:rPr>
              <w:t>，</w:t>
            </w:r>
            <w:r>
              <w:rPr>
                <w:rFonts w:hint="eastAsia"/>
                <w:u w:val="single"/>
              </w:rPr>
              <w:t>同时对厂区现有环保措施进行改造，以达到相关环保要求，项目建设内容</w:t>
            </w:r>
            <w:r>
              <w:rPr>
                <w:u w:val="single"/>
              </w:rPr>
              <w:t>详见</w:t>
            </w:r>
            <w:r>
              <w:rPr>
                <w:rFonts w:hint="eastAsia"/>
                <w:u w:val="single"/>
              </w:rPr>
              <w:t>下表</w:t>
            </w:r>
            <w:r>
              <w:rPr>
                <w:u w:val="single"/>
              </w:rPr>
              <w:t>。</w:t>
            </w:r>
          </w:p>
          <w:p>
            <w:pPr>
              <w:adjustRightInd w:val="0"/>
              <w:snapToGrid w:val="0"/>
              <w:spacing w:line="240" w:lineRule="auto"/>
              <w:jc w:val="center"/>
              <w:rPr>
                <w:u w:val="single"/>
              </w:rPr>
            </w:pPr>
            <w:r>
              <w:rPr>
                <w:b/>
                <w:bCs/>
                <w:sz w:val="21"/>
                <w:szCs w:val="21"/>
                <w:u w:val="single"/>
              </w:rPr>
              <w:t>表2-1  建设项目工程内容及规模</w:t>
            </w:r>
          </w:p>
          <w:tbl>
            <w:tblPr>
              <w:tblStyle w:val="22"/>
              <w:tblW w:w="4949"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27"/>
              <w:gridCol w:w="743"/>
              <w:gridCol w:w="1072"/>
              <w:gridCol w:w="4168"/>
              <w:gridCol w:w="188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1" w:hRule="atLeast"/>
                <w:jc w:val="center"/>
              </w:trPr>
              <w:tc>
                <w:tcPr>
                  <w:tcW w:w="257" w:type="pct"/>
                  <w:shd w:val="clear" w:color="auto" w:fill="auto"/>
                  <w:vAlign w:val="center"/>
                </w:tcPr>
                <w:p>
                  <w:pPr>
                    <w:spacing w:line="240" w:lineRule="auto"/>
                    <w:jc w:val="center"/>
                    <w:rPr>
                      <w:b/>
                      <w:bCs/>
                      <w:sz w:val="21"/>
                      <w:szCs w:val="21"/>
                      <w:u w:val="single"/>
                    </w:rPr>
                  </w:pPr>
                  <w:r>
                    <w:rPr>
                      <w:b/>
                      <w:bCs/>
                      <w:sz w:val="21"/>
                      <w:szCs w:val="21"/>
                      <w:u w:val="single"/>
                    </w:rPr>
                    <w:t>序号</w:t>
                  </w:r>
                </w:p>
              </w:tc>
              <w:tc>
                <w:tcPr>
                  <w:tcW w:w="448" w:type="pct"/>
                  <w:shd w:val="clear" w:color="auto" w:fill="auto"/>
                  <w:vAlign w:val="center"/>
                </w:tcPr>
                <w:p>
                  <w:pPr>
                    <w:spacing w:line="240" w:lineRule="auto"/>
                    <w:jc w:val="center"/>
                    <w:rPr>
                      <w:b/>
                      <w:bCs/>
                      <w:sz w:val="21"/>
                      <w:szCs w:val="21"/>
                      <w:u w:val="single"/>
                    </w:rPr>
                  </w:pPr>
                  <w:r>
                    <w:rPr>
                      <w:b/>
                      <w:bCs/>
                      <w:sz w:val="21"/>
                      <w:szCs w:val="21"/>
                      <w:u w:val="single"/>
                    </w:rPr>
                    <w:t>工程组成</w:t>
                  </w:r>
                </w:p>
              </w:tc>
              <w:tc>
                <w:tcPr>
                  <w:tcW w:w="3158" w:type="pct"/>
                  <w:gridSpan w:val="2"/>
                  <w:shd w:val="clear" w:color="auto" w:fill="auto"/>
                  <w:vAlign w:val="center"/>
                </w:tcPr>
                <w:p>
                  <w:pPr>
                    <w:spacing w:line="240" w:lineRule="auto"/>
                    <w:jc w:val="center"/>
                    <w:rPr>
                      <w:b/>
                      <w:bCs/>
                      <w:sz w:val="21"/>
                      <w:szCs w:val="21"/>
                      <w:u w:val="single"/>
                    </w:rPr>
                  </w:pPr>
                  <w:r>
                    <w:rPr>
                      <w:b/>
                      <w:bCs/>
                      <w:sz w:val="21"/>
                      <w:szCs w:val="21"/>
                      <w:u w:val="single"/>
                    </w:rPr>
                    <w:t>工程内容</w:t>
                  </w:r>
                </w:p>
              </w:tc>
              <w:tc>
                <w:tcPr>
                  <w:tcW w:w="1135" w:type="pct"/>
                  <w:shd w:val="clear" w:color="auto" w:fill="auto"/>
                  <w:vAlign w:val="center"/>
                </w:tcPr>
                <w:p>
                  <w:pPr>
                    <w:spacing w:line="240" w:lineRule="auto"/>
                    <w:jc w:val="center"/>
                    <w:rPr>
                      <w:b/>
                      <w:bCs/>
                      <w:sz w:val="21"/>
                      <w:szCs w:val="21"/>
                      <w:u w:val="single"/>
                    </w:rPr>
                  </w:pPr>
                  <w:r>
                    <w:rPr>
                      <w:b/>
                      <w:bCs/>
                      <w:sz w:val="21"/>
                      <w:szCs w:val="21"/>
                      <w:u w:val="singl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6" w:hRule="atLeast"/>
                <w:jc w:val="center"/>
              </w:trPr>
              <w:tc>
                <w:tcPr>
                  <w:tcW w:w="257" w:type="pct"/>
                  <w:vMerge w:val="restart"/>
                  <w:shd w:val="clear" w:color="auto" w:fill="auto"/>
                  <w:vAlign w:val="center"/>
                </w:tcPr>
                <w:p>
                  <w:pPr>
                    <w:spacing w:line="240" w:lineRule="auto"/>
                    <w:jc w:val="center"/>
                    <w:rPr>
                      <w:sz w:val="21"/>
                      <w:szCs w:val="21"/>
                      <w:u w:val="single"/>
                    </w:rPr>
                  </w:pPr>
                  <w:r>
                    <w:rPr>
                      <w:sz w:val="21"/>
                      <w:szCs w:val="21"/>
                      <w:u w:val="single"/>
                    </w:rPr>
                    <w:t>1</w:t>
                  </w:r>
                </w:p>
              </w:tc>
              <w:tc>
                <w:tcPr>
                  <w:tcW w:w="448" w:type="pct"/>
                  <w:vMerge w:val="restart"/>
                  <w:shd w:val="clear" w:color="auto" w:fill="auto"/>
                  <w:vAlign w:val="center"/>
                </w:tcPr>
                <w:p>
                  <w:pPr>
                    <w:spacing w:line="240" w:lineRule="auto"/>
                    <w:jc w:val="center"/>
                    <w:rPr>
                      <w:sz w:val="21"/>
                      <w:szCs w:val="21"/>
                      <w:u w:val="single"/>
                    </w:rPr>
                  </w:pPr>
                  <w:r>
                    <w:rPr>
                      <w:sz w:val="21"/>
                      <w:szCs w:val="21"/>
                      <w:u w:val="single"/>
                    </w:rPr>
                    <w:t>主体工程</w:t>
                  </w:r>
                </w:p>
              </w:tc>
              <w:tc>
                <w:tcPr>
                  <w:tcW w:w="646" w:type="pct"/>
                  <w:shd w:val="clear" w:color="auto" w:fill="auto"/>
                  <w:vAlign w:val="center"/>
                </w:tcPr>
                <w:p>
                  <w:pPr>
                    <w:spacing w:line="240" w:lineRule="auto"/>
                    <w:jc w:val="center"/>
                    <w:rPr>
                      <w:color w:val="0000FF"/>
                      <w:sz w:val="21"/>
                      <w:szCs w:val="21"/>
                      <w:u w:val="single"/>
                    </w:rPr>
                  </w:pPr>
                  <w:r>
                    <w:rPr>
                      <w:rFonts w:hint="eastAsia"/>
                      <w:sz w:val="21"/>
                      <w:szCs w:val="21"/>
                      <w:u w:val="single"/>
                    </w:rPr>
                    <w:t>砂石</w:t>
                  </w:r>
                  <w:r>
                    <w:rPr>
                      <w:sz w:val="21"/>
                      <w:szCs w:val="21"/>
                      <w:u w:val="single"/>
                    </w:rPr>
                    <w:t>加工生产区</w:t>
                  </w:r>
                </w:p>
              </w:tc>
              <w:tc>
                <w:tcPr>
                  <w:tcW w:w="2512" w:type="pct"/>
                  <w:shd w:val="clear" w:color="auto" w:fill="auto"/>
                  <w:vAlign w:val="center"/>
                </w:tcPr>
                <w:p>
                  <w:pPr>
                    <w:spacing w:line="240" w:lineRule="auto"/>
                    <w:jc w:val="center"/>
                    <w:rPr>
                      <w:color w:val="0000FF"/>
                      <w:sz w:val="21"/>
                      <w:szCs w:val="21"/>
                      <w:u w:val="single"/>
                    </w:rPr>
                  </w:pPr>
                  <w:r>
                    <w:rPr>
                      <w:sz w:val="21"/>
                      <w:szCs w:val="21"/>
                      <w:u w:val="single"/>
                    </w:rPr>
                    <w:t>破碎系统主要由破碎机、振动筛及运输皮带组成，</w:t>
                  </w:r>
                  <w:r>
                    <w:rPr>
                      <w:rFonts w:hint="eastAsia"/>
                      <w:sz w:val="21"/>
                      <w:szCs w:val="21"/>
                      <w:u w:val="single"/>
                    </w:rPr>
                    <w:t>洗砂系统主要由</w:t>
                  </w:r>
                  <w:r>
                    <w:rPr>
                      <w:sz w:val="21"/>
                      <w:szCs w:val="21"/>
                      <w:u w:val="single"/>
                    </w:rPr>
                    <w:t>洗砂机、浓缩罐、压滤机、</w:t>
                  </w:r>
                  <w:r>
                    <w:rPr>
                      <w:rFonts w:hint="eastAsia"/>
                      <w:sz w:val="21"/>
                      <w:szCs w:val="21"/>
                      <w:u w:val="single"/>
                    </w:rPr>
                    <w:t>沉淀池</w:t>
                  </w:r>
                  <w:r>
                    <w:rPr>
                      <w:sz w:val="21"/>
                      <w:szCs w:val="21"/>
                      <w:u w:val="single"/>
                    </w:rPr>
                    <w:t>、清水池等组成</w:t>
                  </w:r>
                  <w:r>
                    <w:rPr>
                      <w:rFonts w:hint="eastAsia"/>
                      <w:sz w:val="21"/>
                      <w:szCs w:val="21"/>
                      <w:u w:val="single"/>
                    </w:rPr>
                    <w:t>，</w:t>
                  </w:r>
                  <w:r>
                    <w:rPr>
                      <w:sz w:val="21"/>
                      <w:szCs w:val="21"/>
                      <w:u w:val="single"/>
                    </w:rPr>
                    <w:t>占地面积</w:t>
                  </w:r>
                  <w:r>
                    <w:rPr>
                      <w:rFonts w:hint="eastAsia"/>
                      <w:sz w:val="21"/>
                      <w:szCs w:val="21"/>
                      <w:u w:val="single"/>
                    </w:rPr>
                    <w:t>7000</w:t>
                  </w:r>
                  <w:r>
                    <w:rPr>
                      <w:sz w:val="21"/>
                      <w:szCs w:val="21"/>
                      <w:u w:val="single"/>
                    </w:rPr>
                    <w:t>m</w:t>
                  </w:r>
                  <w:r>
                    <w:rPr>
                      <w:sz w:val="21"/>
                      <w:szCs w:val="21"/>
                      <w:u w:val="single"/>
                      <w:vertAlign w:val="superscript"/>
                    </w:rPr>
                    <w:t>2</w:t>
                  </w:r>
                  <w:r>
                    <w:rPr>
                      <w:sz w:val="21"/>
                      <w:szCs w:val="21"/>
                      <w:u w:val="single"/>
                    </w:rPr>
                    <w:t>。</w:t>
                  </w:r>
                </w:p>
              </w:tc>
              <w:tc>
                <w:tcPr>
                  <w:tcW w:w="1135" w:type="pct"/>
                  <w:shd w:val="clear" w:color="auto" w:fill="auto"/>
                  <w:vAlign w:val="center"/>
                </w:tcPr>
                <w:p>
                  <w:pPr>
                    <w:spacing w:line="240" w:lineRule="auto"/>
                    <w:jc w:val="center"/>
                    <w:rPr>
                      <w:color w:val="0000FF"/>
                      <w:sz w:val="21"/>
                      <w:szCs w:val="21"/>
                      <w:u w:val="single"/>
                    </w:rPr>
                  </w:pPr>
                  <w:r>
                    <w:rPr>
                      <w:sz w:val="21"/>
                      <w:szCs w:val="21"/>
                      <w:u w:val="single"/>
                    </w:rPr>
                    <w:t>已建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69" w:hRule="atLeast"/>
                <w:jc w:val="center"/>
              </w:trPr>
              <w:tc>
                <w:tcPr>
                  <w:tcW w:w="257" w:type="pct"/>
                  <w:vMerge w:val="continue"/>
                  <w:shd w:val="clear" w:color="auto" w:fill="auto"/>
                  <w:vAlign w:val="center"/>
                </w:tcPr>
                <w:p>
                  <w:pPr>
                    <w:spacing w:line="240" w:lineRule="auto"/>
                    <w:jc w:val="center"/>
                    <w:rPr>
                      <w:color w:val="0000FF"/>
                      <w:sz w:val="21"/>
                      <w:szCs w:val="21"/>
                      <w:u w:val="single"/>
                    </w:rPr>
                  </w:pPr>
                </w:p>
              </w:tc>
              <w:tc>
                <w:tcPr>
                  <w:tcW w:w="448" w:type="pct"/>
                  <w:vMerge w:val="continue"/>
                  <w:shd w:val="clear" w:color="auto" w:fill="auto"/>
                  <w:vAlign w:val="center"/>
                </w:tcPr>
                <w:p>
                  <w:pPr>
                    <w:spacing w:line="240" w:lineRule="auto"/>
                    <w:jc w:val="center"/>
                    <w:rPr>
                      <w:color w:val="0000FF"/>
                      <w:sz w:val="21"/>
                      <w:szCs w:val="21"/>
                      <w:u w:val="single"/>
                    </w:rPr>
                  </w:pPr>
                </w:p>
              </w:tc>
              <w:tc>
                <w:tcPr>
                  <w:tcW w:w="646" w:type="pct"/>
                  <w:shd w:val="clear" w:color="auto" w:fill="auto"/>
                  <w:vAlign w:val="center"/>
                </w:tcPr>
                <w:p>
                  <w:pPr>
                    <w:spacing w:line="240" w:lineRule="auto"/>
                    <w:jc w:val="center"/>
                    <w:rPr>
                      <w:color w:val="0000FF"/>
                      <w:sz w:val="21"/>
                      <w:szCs w:val="21"/>
                      <w:u w:val="single"/>
                    </w:rPr>
                  </w:pPr>
                  <w:r>
                    <w:rPr>
                      <w:rFonts w:hint="eastAsia"/>
                      <w:sz w:val="21"/>
                      <w:szCs w:val="21"/>
                      <w:u w:val="single"/>
                    </w:rPr>
                    <w:t>成品</w:t>
                  </w:r>
                  <w:r>
                    <w:rPr>
                      <w:sz w:val="21"/>
                      <w:szCs w:val="21"/>
                      <w:u w:val="single"/>
                    </w:rPr>
                    <w:t>堆场</w:t>
                  </w:r>
                </w:p>
              </w:tc>
              <w:tc>
                <w:tcPr>
                  <w:tcW w:w="2512" w:type="pct"/>
                  <w:shd w:val="clear" w:color="auto" w:fill="auto"/>
                  <w:vAlign w:val="center"/>
                </w:tcPr>
                <w:p>
                  <w:pPr>
                    <w:spacing w:line="240" w:lineRule="auto"/>
                    <w:jc w:val="center"/>
                    <w:rPr>
                      <w:color w:val="0000FF"/>
                      <w:sz w:val="21"/>
                      <w:szCs w:val="21"/>
                      <w:u w:val="single"/>
                    </w:rPr>
                  </w:pPr>
                  <w:r>
                    <w:rPr>
                      <w:sz w:val="21"/>
                      <w:szCs w:val="21"/>
                      <w:u w:val="single"/>
                    </w:rPr>
                    <w:t>集中堆存砂石料产品，占地面积</w:t>
                  </w:r>
                  <w:r>
                    <w:rPr>
                      <w:rFonts w:hint="eastAsia"/>
                      <w:sz w:val="21"/>
                      <w:szCs w:val="21"/>
                      <w:u w:val="single"/>
                    </w:rPr>
                    <w:t>20</w:t>
                  </w:r>
                  <w:r>
                    <w:rPr>
                      <w:sz w:val="21"/>
                      <w:szCs w:val="21"/>
                      <w:u w:val="single"/>
                    </w:rPr>
                    <w:t>00m</w:t>
                  </w:r>
                  <w:r>
                    <w:rPr>
                      <w:sz w:val="21"/>
                      <w:szCs w:val="21"/>
                      <w:u w:val="single"/>
                      <w:vertAlign w:val="superscript"/>
                    </w:rPr>
                    <w:t>2</w:t>
                  </w:r>
                  <w:r>
                    <w:rPr>
                      <w:sz w:val="21"/>
                      <w:szCs w:val="21"/>
                      <w:u w:val="single"/>
                    </w:rPr>
                    <w:t>。</w:t>
                  </w:r>
                </w:p>
              </w:tc>
              <w:tc>
                <w:tcPr>
                  <w:tcW w:w="1135" w:type="pct"/>
                  <w:shd w:val="clear" w:color="auto" w:fill="auto"/>
                  <w:vAlign w:val="center"/>
                </w:tcPr>
                <w:p>
                  <w:pPr>
                    <w:spacing w:line="240" w:lineRule="auto"/>
                    <w:jc w:val="center"/>
                    <w:rPr>
                      <w:color w:val="0000FF"/>
                      <w:sz w:val="21"/>
                      <w:szCs w:val="21"/>
                      <w:u w:val="single"/>
                    </w:rPr>
                  </w:pPr>
                  <w:r>
                    <w:rPr>
                      <w:sz w:val="21"/>
                      <w:szCs w:val="21"/>
                      <w:u w:val="single"/>
                    </w:rPr>
                    <w:t>已建，进行改造，</w:t>
                  </w:r>
                  <w:r>
                    <w:rPr>
                      <w:rFonts w:hint="eastAsia"/>
                      <w:sz w:val="21"/>
                      <w:szCs w:val="21"/>
                      <w:u w:val="single"/>
                    </w:rPr>
                    <w:t>完善喷淋</w:t>
                  </w:r>
                  <w:r>
                    <w:rPr>
                      <w:sz w:val="21"/>
                      <w:szCs w:val="21"/>
                      <w:u w:val="single"/>
                    </w:rPr>
                    <w:t>抑尘措施。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57" w:type="pct"/>
                  <w:vMerge w:val="continue"/>
                  <w:shd w:val="clear" w:color="auto" w:fill="auto"/>
                  <w:vAlign w:val="center"/>
                </w:tcPr>
                <w:p>
                  <w:pPr>
                    <w:spacing w:line="240" w:lineRule="auto"/>
                    <w:jc w:val="center"/>
                    <w:rPr>
                      <w:color w:val="0000FF"/>
                      <w:sz w:val="21"/>
                      <w:szCs w:val="21"/>
                      <w:u w:val="single"/>
                    </w:rPr>
                  </w:pPr>
                </w:p>
              </w:tc>
              <w:tc>
                <w:tcPr>
                  <w:tcW w:w="448" w:type="pct"/>
                  <w:vMerge w:val="continue"/>
                  <w:shd w:val="clear" w:color="auto" w:fill="auto"/>
                  <w:vAlign w:val="center"/>
                </w:tcPr>
                <w:p>
                  <w:pPr>
                    <w:spacing w:line="240" w:lineRule="auto"/>
                    <w:jc w:val="center"/>
                    <w:rPr>
                      <w:color w:val="0000FF"/>
                      <w:sz w:val="21"/>
                      <w:szCs w:val="21"/>
                      <w:u w:val="single"/>
                    </w:rPr>
                  </w:pPr>
                </w:p>
              </w:tc>
              <w:tc>
                <w:tcPr>
                  <w:tcW w:w="646" w:type="pct"/>
                  <w:shd w:val="clear" w:color="auto" w:fill="auto"/>
                  <w:vAlign w:val="center"/>
                </w:tcPr>
                <w:p>
                  <w:pPr>
                    <w:spacing w:line="240" w:lineRule="auto"/>
                    <w:jc w:val="center"/>
                    <w:rPr>
                      <w:color w:val="0000FF"/>
                      <w:sz w:val="21"/>
                      <w:szCs w:val="21"/>
                      <w:u w:val="single"/>
                    </w:rPr>
                  </w:pPr>
                  <w:r>
                    <w:rPr>
                      <w:sz w:val="21"/>
                      <w:szCs w:val="21"/>
                      <w:u w:val="single"/>
                    </w:rPr>
                    <w:t>原料堆场</w:t>
                  </w:r>
                </w:p>
              </w:tc>
              <w:tc>
                <w:tcPr>
                  <w:tcW w:w="2512" w:type="pct"/>
                  <w:shd w:val="clear" w:color="auto" w:fill="auto"/>
                  <w:vAlign w:val="center"/>
                </w:tcPr>
                <w:p>
                  <w:pPr>
                    <w:spacing w:line="240" w:lineRule="auto"/>
                    <w:jc w:val="center"/>
                    <w:rPr>
                      <w:color w:val="0000FF"/>
                      <w:sz w:val="21"/>
                      <w:szCs w:val="21"/>
                      <w:u w:val="single"/>
                    </w:rPr>
                  </w:pPr>
                  <w:r>
                    <w:rPr>
                      <w:sz w:val="21"/>
                      <w:szCs w:val="21"/>
                      <w:u w:val="single"/>
                    </w:rPr>
                    <w:t>用于临时堆存原料，占地面积</w:t>
                  </w:r>
                  <w:r>
                    <w:rPr>
                      <w:rFonts w:hint="eastAsia"/>
                      <w:sz w:val="21"/>
                      <w:szCs w:val="21"/>
                      <w:u w:val="single"/>
                    </w:rPr>
                    <w:t>1100</w:t>
                  </w:r>
                  <w:r>
                    <w:rPr>
                      <w:sz w:val="21"/>
                      <w:szCs w:val="21"/>
                      <w:u w:val="single"/>
                    </w:rPr>
                    <w:t>m</w:t>
                  </w:r>
                  <w:r>
                    <w:rPr>
                      <w:sz w:val="21"/>
                      <w:szCs w:val="21"/>
                      <w:u w:val="single"/>
                      <w:vertAlign w:val="superscript"/>
                    </w:rPr>
                    <w:t>2</w:t>
                  </w:r>
                  <w:r>
                    <w:rPr>
                      <w:sz w:val="21"/>
                      <w:szCs w:val="21"/>
                      <w:u w:val="single"/>
                    </w:rPr>
                    <w:t>。</w:t>
                  </w:r>
                </w:p>
              </w:tc>
              <w:tc>
                <w:tcPr>
                  <w:tcW w:w="1135" w:type="pct"/>
                  <w:shd w:val="clear" w:color="auto" w:fill="auto"/>
                  <w:vAlign w:val="center"/>
                </w:tcPr>
                <w:p>
                  <w:pPr>
                    <w:spacing w:line="240" w:lineRule="auto"/>
                    <w:jc w:val="center"/>
                    <w:rPr>
                      <w:color w:val="0000FF"/>
                      <w:sz w:val="21"/>
                      <w:szCs w:val="21"/>
                      <w:u w:val="single"/>
                    </w:rPr>
                  </w:pPr>
                  <w:r>
                    <w:rPr>
                      <w:rFonts w:hint="eastAsia"/>
                      <w:sz w:val="21"/>
                      <w:szCs w:val="21"/>
                      <w:u w:val="single"/>
                    </w:rPr>
                    <w:t>已</w:t>
                  </w:r>
                  <w:r>
                    <w:rPr>
                      <w:sz w:val="21"/>
                      <w:szCs w:val="21"/>
                      <w:u w:val="single"/>
                    </w:rPr>
                    <w:t>建，</w:t>
                  </w:r>
                  <w:r>
                    <w:rPr>
                      <w:rFonts w:hint="eastAsia"/>
                      <w:sz w:val="21"/>
                      <w:szCs w:val="21"/>
                      <w:u w:val="single"/>
                    </w:rPr>
                    <w:t>进行改造，完善喷淋</w:t>
                  </w:r>
                  <w:r>
                    <w:rPr>
                      <w:sz w:val="21"/>
                      <w:szCs w:val="21"/>
                      <w:u w:val="single"/>
                    </w:rPr>
                    <w:t>抑尘措施</w:t>
                  </w:r>
                  <w:r>
                    <w:rPr>
                      <w:rFonts w:hint="eastAsia"/>
                      <w:sz w:val="21"/>
                      <w:szCs w:val="21"/>
                      <w:u w:val="single"/>
                    </w:rPr>
                    <w:t>，正常</w:t>
                  </w:r>
                  <w:r>
                    <w:rPr>
                      <w:sz w:val="21"/>
                      <w:szCs w:val="21"/>
                      <w:u w:val="single"/>
                    </w:rPr>
                    <w:t>情况原料直接投入破碎机，不在场区暂存</w:t>
                  </w:r>
                  <w:r>
                    <w:rPr>
                      <w:rFonts w:hint="eastAsia"/>
                      <w:sz w:val="21"/>
                      <w:szCs w:val="21"/>
                      <w:u w:val="singl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257" w:type="pct"/>
                  <w:vMerge w:val="restart"/>
                  <w:shd w:val="clear" w:color="auto" w:fill="auto"/>
                  <w:vAlign w:val="center"/>
                </w:tcPr>
                <w:p>
                  <w:pPr>
                    <w:spacing w:line="240" w:lineRule="auto"/>
                    <w:jc w:val="center"/>
                    <w:rPr>
                      <w:sz w:val="21"/>
                      <w:szCs w:val="21"/>
                      <w:u w:val="single"/>
                    </w:rPr>
                  </w:pPr>
                  <w:r>
                    <w:rPr>
                      <w:sz w:val="21"/>
                      <w:szCs w:val="21"/>
                      <w:u w:val="single"/>
                    </w:rPr>
                    <w:t>2</w:t>
                  </w:r>
                </w:p>
              </w:tc>
              <w:tc>
                <w:tcPr>
                  <w:tcW w:w="448" w:type="pct"/>
                  <w:vMerge w:val="restart"/>
                  <w:shd w:val="clear" w:color="auto" w:fill="auto"/>
                  <w:vAlign w:val="center"/>
                </w:tcPr>
                <w:p>
                  <w:pPr>
                    <w:spacing w:line="240" w:lineRule="auto"/>
                    <w:jc w:val="center"/>
                    <w:rPr>
                      <w:sz w:val="21"/>
                      <w:szCs w:val="21"/>
                      <w:u w:val="single"/>
                    </w:rPr>
                  </w:pPr>
                  <w:r>
                    <w:rPr>
                      <w:sz w:val="21"/>
                      <w:szCs w:val="21"/>
                      <w:u w:val="single"/>
                    </w:rPr>
                    <w:t>辅助工程</w:t>
                  </w:r>
                </w:p>
              </w:tc>
              <w:tc>
                <w:tcPr>
                  <w:tcW w:w="646" w:type="pct"/>
                  <w:shd w:val="clear" w:color="auto" w:fill="auto"/>
                  <w:vAlign w:val="center"/>
                </w:tcPr>
                <w:p>
                  <w:pPr>
                    <w:spacing w:line="240" w:lineRule="auto"/>
                    <w:jc w:val="center"/>
                    <w:rPr>
                      <w:sz w:val="21"/>
                      <w:szCs w:val="21"/>
                      <w:u w:val="single"/>
                    </w:rPr>
                  </w:pPr>
                  <w:r>
                    <w:rPr>
                      <w:rFonts w:hint="eastAsia"/>
                      <w:sz w:val="21"/>
                      <w:szCs w:val="21"/>
                      <w:u w:val="single"/>
                    </w:rPr>
                    <w:t>综合办公楼</w:t>
                  </w:r>
                </w:p>
              </w:tc>
              <w:tc>
                <w:tcPr>
                  <w:tcW w:w="2512" w:type="pct"/>
                  <w:shd w:val="clear" w:color="auto" w:fill="auto"/>
                  <w:vAlign w:val="center"/>
                </w:tcPr>
                <w:p>
                  <w:pPr>
                    <w:spacing w:line="240" w:lineRule="auto"/>
                    <w:jc w:val="center"/>
                    <w:rPr>
                      <w:color w:val="0000FF"/>
                      <w:sz w:val="21"/>
                      <w:szCs w:val="21"/>
                      <w:u w:val="single"/>
                    </w:rPr>
                  </w:pPr>
                  <w:r>
                    <w:rPr>
                      <w:sz w:val="21"/>
                      <w:szCs w:val="21"/>
                      <w:u w:val="single"/>
                    </w:rPr>
                    <w:t>一栋</w:t>
                  </w:r>
                  <w:r>
                    <w:rPr>
                      <w:rFonts w:hint="eastAsia"/>
                      <w:sz w:val="21"/>
                      <w:szCs w:val="21"/>
                      <w:u w:val="single"/>
                    </w:rPr>
                    <w:t>2</w:t>
                  </w:r>
                  <w:r>
                    <w:rPr>
                      <w:sz w:val="21"/>
                      <w:szCs w:val="21"/>
                      <w:u w:val="single"/>
                    </w:rPr>
                    <w:t>F</w:t>
                  </w:r>
                  <w:r>
                    <w:rPr>
                      <w:rFonts w:hint="eastAsia"/>
                      <w:sz w:val="21"/>
                      <w:szCs w:val="21"/>
                      <w:u w:val="single"/>
                    </w:rPr>
                    <w:t>综合办公楼</w:t>
                  </w:r>
                  <w:r>
                    <w:rPr>
                      <w:sz w:val="21"/>
                      <w:szCs w:val="21"/>
                      <w:u w:val="single"/>
                    </w:rPr>
                    <w:t>，设置值班室、食堂、工具房</w:t>
                  </w:r>
                  <w:r>
                    <w:rPr>
                      <w:rFonts w:hint="eastAsia"/>
                      <w:sz w:val="21"/>
                      <w:szCs w:val="21"/>
                      <w:u w:val="single"/>
                    </w:rPr>
                    <w:t>等</w:t>
                  </w:r>
                  <w:r>
                    <w:rPr>
                      <w:sz w:val="21"/>
                      <w:szCs w:val="21"/>
                      <w:u w:val="single"/>
                    </w:rPr>
                    <w:t>，占地面积约</w:t>
                  </w:r>
                  <w:r>
                    <w:rPr>
                      <w:rFonts w:hint="eastAsia"/>
                      <w:sz w:val="21"/>
                      <w:szCs w:val="21"/>
                      <w:u w:val="single"/>
                    </w:rPr>
                    <w:t>2</w:t>
                  </w:r>
                  <w:r>
                    <w:rPr>
                      <w:sz w:val="21"/>
                      <w:szCs w:val="21"/>
                      <w:u w:val="single"/>
                    </w:rPr>
                    <w:t>00m</w:t>
                  </w:r>
                  <w:r>
                    <w:rPr>
                      <w:sz w:val="21"/>
                      <w:szCs w:val="21"/>
                      <w:u w:val="single"/>
                      <w:vertAlign w:val="superscript"/>
                    </w:rPr>
                    <w:t>2</w:t>
                  </w:r>
                  <w:r>
                    <w:rPr>
                      <w:sz w:val="21"/>
                      <w:szCs w:val="21"/>
                      <w:u w:val="single"/>
                    </w:rPr>
                    <w:t>。</w:t>
                  </w:r>
                </w:p>
              </w:tc>
              <w:tc>
                <w:tcPr>
                  <w:tcW w:w="1135" w:type="pct"/>
                  <w:shd w:val="clear" w:color="auto" w:fill="auto"/>
                  <w:vAlign w:val="center"/>
                </w:tcPr>
                <w:p>
                  <w:pPr>
                    <w:spacing w:line="240" w:lineRule="auto"/>
                    <w:jc w:val="center"/>
                    <w:rPr>
                      <w:color w:val="0000FF"/>
                      <w:sz w:val="21"/>
                      <w:szCs w:val="21"/>
                      <w:u w:val="single"/>
                    </w:rPr>
                  </w:pPr>
                  <w:r>
                    <w:rPr>
                      <w:sz w:val="21"/>
                      <w:szCs w:val="21"/>
                      <w:u w:val="single"/>
                    </w:rPr>
                    <w:t>已建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257" w:type="pct"/>
                  <w:vMerge w:val="continue"/>
                  <w:shd w:val="clear" w:color="auto" w:fill="auto"/>
                  <w:vAlign w:val="center"/>
                </w:tcPr>
                <w:p>
                  <w:pPr>
                    <w:spacing w:line="240" w:lineRule="auto"/>
                    <w:jc w:val="center"/>
                    <w:rPr>
                      <w:sz w:val="21"/>
                      <w:szCs w:val="21"/>
                      <w:u w:val="single"/>
                    </w:rPr>
                  </w:pPr>
                </w:p>
              </w:tc>
              <w:tc>
                <w:tcPr>
                  <w:tcW w:w="448" w:type="pct"/>
                  <w:vMerge w:val="continue"/>
                  <w:shd w:val="clear" w:color="auto" w:fill="auto"/>
                  <w:vAlign w:val="center"/>
                </w:tcPr>
                <w:p>
                  <w:pPr>
                    <w:spacing w:line="240" w:lineRule="auto"/>
                    <w:jc w:val="center"/>
                    <w:rPr>
                      <w:sz w:val="21"/>
                      <w:szCs w:val="21"/>
                      <w:u w:val="single"/>
                    </w:rPr>
                  </w:pPr>
                </w:p>
              </w:tc>
              <w:tc>
                <w:tcPr>
                  <w:tcW w:w="646" w:type="pct"/>
                  <w:shd w:val="clear" w:color="auto" w:fill="auto"/>
                  <w:vAlign w:val="center"/>
                </w:tcPr>
                <w:p>
                  <w:pPr>
                    <w:spacing w:line="240" w:lineRule="auto"/>
                    <w:jc w:val="center"/>
                    <w:rPr>
                      <w:sz w:val="21"/>
                      <w:szCs w:val="21"/>
                      <w:u w:val="single"/>
                    </w:rPr>
                  </w:pPr>
                  <w:r>
                    <w:rPr>
                      <w:rFonts w:hint="eastAsia"/>
                      <w:sz w:val="21"/>
                      <w:szCs w:val="21"/>
                      <w:u w:val="single"/>
                    </w:rPr>
                    <w:t>仓库</w:t>
                  </w:r>
                </w:p>
              </w:tc>
              <w:tc>
                <w:tcPr>
                  <w:tcW w:w="2512" w:type="pct"/>
                  <w:shd w:val="clear" w:color="auto" w:fill="auto"/>
                  <w:vAlign w:val="center"/>
                </w:tcPr>
                <w:p>
                  <w:pPr>
                    <w:spacing w:line="240" w:lineRule="auto"/>
                    <w:jc w:val="center"/>
                    <w:rPr>
                      <w:sz w:val="21"/>
                      <w:szCs w:val="21"/>
                      <w:u w:val="single"/>
                    </w:rPr>
                  </w:pPr>
                  <w:r>
                    <w:rPr>
                      <w:rFonts w:hint="eastAsia"/>
                      <w:sz w:val="21"/>
                      <w:szCs w:val="21"/>
                      <w:u w:val="single"/>
                    </w:rPr>
                    <w:t>1栋1F仓库，仓库中含有一般固废间，占地面积约50</w:t>
                  </w:r>
                  <w:r>
                    <w:rPr>
                      <w:sz w:val="21"/>
                      <w:szCs w:val="21"/>
                      <w:u w:val="single"/>
                    </w:rPr>
                    <w:t>m</w:t>
                  </w:r>
                  <w:r>
                    <w:rPr>
                      <w:sz w:val="21"/>
                      <w:szCs w:val="21"/>
                      <w:u w:val="single"/>
                      <w:vertAlign w:val="superscript"/>
                    </w:rPr>
                    <w:t>2</w:t>
                  </w:r>
                  <w:r>
                    <w:rPr>
                      <w:sz w:val="21"/>
                      <w:szCs w:val="21"/>
                      <w:u w:val="single"/>
                    </w:rPr>
                    <w:t>。</w:t>
                  </w:r>
                </w:p>
              </w:tc>
              <w:tc>
                <w:tcPr>
                  <w:tcW w:w="1135" w:type="pct"/>
                  <w:shd w:val="clear" w:color="auto" w:fill="auto"/>
                  <w:vAlign w:val="center"/>
                </w:tcPr>
                <w:p>
                  <w:pPr>
                    <w:spacing w:line="240" w:lineRule="auto"/>
                    <w:jc w:val="center"/>
                    <w:rPr>
                      <w:sz w:val="21"/>
                      <w:szCs w:val="21"/>
                      <w:u w:val="single"/>
                    </w:rPr>
                  </w:pPr>
                  <w:r>
                    <w:rPr>
                      <w:rFonts w:hint="eastAsia"/>
                      <w:sz w:val="21"/>
                      <w:szCs w:val="21"/>
                      <w:u w:val="single"/>
                    </w:rPr>
                    <w:t>已建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546" w:hRule="atLeast"/>
                <w:jc w:val="center"/>
              </w:trPr>
              <w:tc>
                <w:tcPr>
                  <w:tcW w:w="257" w:type="pct"/>
                  <w:vMerge w:val="continue"/>
                  <w:shd w:val="clear" w:color="auto" w:fill="auto"/>
                  <w:vAlign w:val="center"/>
                </w:tcPr>
                <w:p>
                  <w:pPr>
                    <w:spacing w:line="240" w:lineRule="auto"/>
                    <w:jc w:val="center"/>
                    <w:rPr>
                      <w:sz w:val="21"/>
                      <w:szCs w:val="21"/>
                      <w:u w:val="single"/>
                    </w:rPr>
                  </w:pPr>
                </w:p>
              </w:tc>
              <w:tc>
                <w:tcPr>
                  <w:tcW w:w="448" w:type="pct"/>
                  <w:vMerge w:val="continue"/>
                  <w:shd w:val="clear" w:color="auto" w:fill="auto"/>
                  <w:vAlign w:val="center"/>
                </w:tcPr>
                <w:p>
                  <w:pPr>
                    <w:spacing w:line="240" w:lineRule="auto"/>
                    <w:jc w:val="center"/>
                    <w:rPr>
                      <w:sz w:val="21"/>
                      <w:szCs w:val="21"/>
                      <w:u w:val="single"/>
                    </w:rPr>
                  </w:pPr>
                </w:p>
              </w:tc>
              <w:tc>
                <w:tcPr>
                  <w:tcW w:w="646" w:type="pct"/>
                  <w:shd w:val="clear" w:color="auto" w:fill="auto"/>
                  <w:vAlign w:val="center"/>
                </w:tcPr>
                <w:p>
                  <w:pPr>
                    <w:spacing w:line="240" w:lineRule="auto"/>
                    <w:jc w:val="center"/>
                    <w:rPr>
                      <w:sz w:val="21"/>
                      <w:szCs w:val="21"/>
                      <w:u w:val="single"/>
                    </w:rPr>
                  </w:pPr>
                  <w:r>
                    <w:rPr>
                      <w:rFonts w:hint="eastAsia"/>
                      <w:sz w:val="21"/>
                      <w:szCs w:val="21"/>
                      <w:u w:val="single"/>
                    </w:rPr>
                    <w:t>公厕</w:t>
                  </w:r>
                </w:p>
              </w:tc>
              <w:tc>
                <w:tcPr>
                  <w:tcW w:w="2512" w:type="pct"/>
                  <w:shd w:val="clear" w:color="auto" w:fill="auto"/>
                  <w:vAlign w:val="center"/>
                </w:tcPr>
                <w:p>
                  <w:pPr>
                    <w:spacing w:line="240" w:lineRule="auto"/>
                    <w:jc w:val="center"/>
                    <w:rPr>
                      <w:sz w:val="21"/>
                      <w:szCs w:val="21"/>
                      <w:u w:val="single"/>
                    </w:rPr>
                  </w:pPr>
                  <w:r>
                    <w:rPr>
                      <w:rFonts w:hint="eastAsia"/>
                      <w:sz w:val="21"/>
                      <w:szCs w:val="21"/>
                      <w:u w:val="single"/>
                    </w:rPr>
                    <w:t>1F，三间，占地面积约210</w:t>
                  </w:r>
                  <w:r>
                    <w:rPr>
                      <w:sz w:val="21"/>
                      <w:szCs w:val="21"/>
                      <w:u w:val="single"/>
                    </w:rPr>
                    <w:t>m</w:t>
                  </w:r>
                  <w:r>
                    <w:rPr>
                      <w:sz w:val="21"/>
                      <w:szCs w:val="21"/>
                      <w:u w:val="single"/>
                      <w:vertAlign w:val="superscript"/>
                    </w:rPr>
                    <w:t>2</w:t>
                  </w:r>
                  <w:r>
                    <w:rPr>
                      <w:sz w:val="21"/>
                      <w:szCs w:val="21"/>
                      <w:u w:val="single"/>
                    </w:rPr>
                    <w:t>。</w:t>
                  </w:r>
                </w:p>
              </w:tc>
              <w:tc>
                <w:tcPr>
                  <w:tcW w:w="1135" w:type="pct"/>
                  <w:shd w:val="clear" w:color="auto" w:fill="auto"/>
                  <w:vAlign w:val="center"/>
                </w:tcPr>
                <w:p>
                  <w:pPr>
                    <w:spacing w:line="240" w:lineRule="auto"/>
                    <w:jc w:val="center"/>
                    <w:rPr>
                      <w:sz w:val="21"/>
                      <w:szCs w:val="21"/>
                      <w:u w:val="single"/>
                    </w:rPr>
                  </w:pPr>
                  <w:r>
                    <w:rPr>
                      <w:rFonts w:hint="eastAsia"/>
                      <w:sz w:val="21"/>
                      <w:szCs w:val="21"/>
                      <w:u w:val="single"/>
                    </w:rPr>
                    <w:t>已建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257" w:type="pct"/>
                  <w:vMerge w:val="restart"/>
                  <w:shd w:val="clear" w:color="auto" w:fill="auto"/>
                  <w:vAlign w:val="center"/>
                </w:tcPr>
                <w:p>
                  <w:pPr>
                    <w:spacing w:line="240" w:lineRule="auto"/>
                    <w:jc w:val="center"/>
                    <w:rPr>
                      <w:sz w:val="21"/>
                      <w:szCs w:val="21"/>
                      <w:u w:val="single"/>
                    </w:rPr>
                  </w:pPr>
                  <w:r>
                    <w:rPr>
                      <w:sz w:val="21"/>
                      <w:szCs w:val="21"/>
                      <w:u w:val="single"/>
                    </w:rPr>
                    <w:t>3</w:t>
                  </w:r>
                </w:p>
              </w:tc>
              <w:tc>
                <w:tcPr>
                  <w:tcW w:w="448" w:type="pct"/>
                  <w:vMerge w:val="restart"/>
                  <w:shd w:val="clear" w:color="auto" w:fill="auto"/>
                  <w:vAlign w:val="center"/>
                </w:tcPr>
                <w:p>
                  <w:pPr>
                    <w:spacing w:line="240" w:lineRule="auto"/>
                    <w:jc w:val="center"/>
                    <w:rPr>
                      <w:sz w:val="21"/>
                      <w:szCs w:val="21"/>
                      <w:u w:val="single"/>
                    </w:rPr>
                  </w:pPr>
                  <w:r>
                    <w:rPr>
                      <w:sz w:val="21"/>
                      <w:szCs w:val="21"/>
                      <w:u w:val="single"/>
                    </w:rPr>
                    <w:t>公用工程</w:t>
                  </w:r>
                </w:p>
              </w:tc>
              <w:tc>
                <w:tcPr>
                  <w:tcW w:w="646" w:type="pct"/>
                  <w:shd w:val="clear" w:color="auto" w:fill="auto"/>
                  <w:vAlign w:val="center"/>
                </w:tcPr>
                <w:p>
                  <w:pPr>
                    <w:spacing w:line="240" w:lineRule="auto"/>
                    <w:jc w:val="center"/>
                    <w:rPr>
                      <w:sz w:val="21"/>
                      <w:szCs w:val="21"/>
                      <w:u w:val="single"/>
                    </w:rPr>
                  </w:pPr>
                  <w:r>
                    <w:rPr>
                      <w:sz w:val="21"/>
                      <w:szCs w:val="21"/>
                      <w:u w:val="single"/>
                    </w:rPr>
                    <w:t>供水</w:t>
                  </w:r>
                </w:p>
              </w:tc>
              <w:tc>
                <w:tcPr>
                  <w:tcW w:w="2512" w:type="pct"/>
                  <w:shd w:val="clear" w:color="auto" w:fill="auto"/>
                  <w:vAlign w:val="center"/>
                </w:tcPr>
                <w:p>
                  <w:pPr>
                    <w:pStyle w:val="9"/>
                    <w:numPr>
                      <w:ilvl w:val="3"/>
                      <w:numId w:val="0"/>
                    </w:numPr>
                    <w:jc w:val="center"/>
                    <w:rPr>
                      <w:rFonts w:ascii="Times New Roman" w:hAnsi="Times New Roman" w:eastAsia="宋体" w:cs="Times New Roman"/>
                      <w:szCs w:val="21"/>
                      <w:u w:val="single"/>
                    </w:rPr>
                  </w:pPr>
                  <w:r>
                    <w:rPr>
                      <w:rFonts w:hint="eastAsia" w:ascii="Times New Roman" w:hAnsi="Times New Roman" w:eastAsia="宋体" w:cs="Times New Roman"/>
                      <w:szCs w:val="21"/>
                      <w:u w:val="single"/>
                    </w:rPr>
                    <w:t>生产用水及</w:t>
                  </w:r>
                  <w:r>
                    <w:rPr>
                      <w:rFonts w:ascii="Times New Roman" w:hAnsi="Times New Roman" w:eastAsia="宋体" w:cs="Times New Roman"/>
                      <w:szCs w:val="21"/>
                      <w:u w:val="single"/>
                    </w:rPr>
                    <w:t>生活用水等用水</w:t>
                  </w:r>
                  <w:r>
                    <w:rPr>
                      <w:rFonts w:hint="eastAsia" w:ascii="Times New Roman" w:hAnsi="Times New Roman" w:eastAsia="宋体" w:cs="Times New Roman"/>
                      <w:szCs w:val="21"/>
                      <w:u w:val="single"/>
                    </w:rPr>
                    <w:t>直接从沅江中抽取</w:t>
                  </w:r>
                  <w:r>
                    <w:rPr>
                      <w:rFonts w:ascii="Times New Roman" w:hAnsi="Times New Roman" w:eastAsia="宋体" w:cs="Times New Roman"/>
                      <w:szCs w:val="21"/>
                      <w:u w:val="single"/>
                    </w:rPr>
                    <w:t>。</w:t>
                  </w:r>
                </w:p>
              </w:tc>
              <w:tc>
                <w:tcPr>
                  <w:tcW w:w="1135" w:type="pct"/>
                  <w:shd w:val="clear" w:color="auto" w:fill="auto"/>
                  <w:vAlign w:val="center"/>
                </w:tcPr>
                <w:p>
                  <w:pPr>
                    <w:numPr>
                      <w:ilvl w:val="3"/>
                      <w:numId w:val="0"/>
                    </w:numPr>
                    <w:jc w:val="center"/>
                    <w:rPr>
                      <w:sz w:val="21"/>
                      <w:szCs w:val="21"/>
                      <w:u w:val="single"/>
                    </w:rPr>
                  </w:pPr>
                  <w:r>
                    <w:rPr>
                      <w:sz w:val="21"/>
                      <w:szCs w:val="21"/>
                      <w:u w:val="single"/>
                    </w:rPr>
                    <w:t>已建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4" w:hRule="atLeast"/>
                <w:jc w:val="center"/>
              </w:trPr>
              <w:tc>
                <w:tcPr>
                  <w:tcW w:w="257" w:type="pct"/>
                  <w:vMerge w:val="continue"/>
                  <w:shd w:val="clear" w:color="auto" w:fill="auto"/>
                  <w:vAlign w:val="center"/>
                </w:tcPr>
                <w:p>
                  <w:pPr>
                    <w:spacing w:line="240" w:lineRule="auto"/>
                    <w:jc w:val="center"/>
                    <w:rPr>
                      <w:color w:val="0000FF"/>
                      <w:sz w:val="21"/>
                      <w:szCs w:val="21"/>
                      <w:u w:val="single"/>
                    </w:rPr>
                  </w:pPr>
                </w:p>
              </w:tc>
              <w:tc>
                <w:tcPr>
                  <w:tcW w:w="448" w:type="pct"/>
                  <w:vMerge w:val="continue"/>
                  <w:shd w:val="clear" w:color="auto" w:fill="auto"/>
                  <w:vAlign w:val="center"/>
                </w:tcPr>
                <w:p>
                  <w:pPr>
                    <w:spacing w:line="240" w:lineRule="auto"/>
                    <w:jc w:val="center"/>
                    <w:rPr>
                      <w:color w:val="0000FF"/>
                      <w:sz w:val="21"/>
                      <w:szCs w:val="21"/>
                      <w:u w:val="single"/>
                    </w:rPr>
                  </w:pPr>
                </w:p>
              </w:tc>
              <w:tc>
                <w:tcPr>
                  <w:tcW w:w="646" w:type="pct"/>
                  <w:shd w:val="clear" w:color="auto" w:fill="auto"/>
                  <w:vAlign w:val="center"/>
                </w:tcPr>
                <w:p>
                  <w:pPr>
                    <w:spacing w:line="240" w:lineRule="auto"/>
                    <w:jc w:val="center"/>
                    <w:rPr>
                      <w:sz w:val="21"/>
                      <w:szCs w:val="21"/>
                      <w:u w:val="single"/>
                    </w:rPr>
                  </w:pPr>
                  <w:r>
                    <w:rPr>
                      <w:sz w:val="21"/>
                      <w:szCs w:val="21"/>
                      <w:u w:val="single"/>
                    </w:rPr>
                    <w:t>供电</w:t>
                  </w:r>
                </w:p>
              </w:tc>
              <w:tc>
                <w:tcPr>
                  <w:tcW w:w="2512" w:type="pct"/>
                  <w:shd w:val="clear" w:color="auto" w:fill="auto"/>
                  <w:vAlign w:val="center"/>
                </w:tcPr>
                <w:p>
                  <w:pPr>
                    <w:spacing w:line="240" w:lineRule="auto"/>
                    <w:jc w:val="center"/>
                    <w:rPr>
                      <w:sz w:val="21"/>
                      <w:szCs w:val="21"/>
                      <w:u w:val="single"/>
                    </w:rPr>
                  </w:pPr>
                  <w:r>
                    <w:rPr>
                      <w:sz w:val="21"/>
                      <w:szCs w:val="21"/>
                      <w:u w:val="single"/>
                    </w:rPr>
                    <w:t>生产、生活电源来自附近变电站，架设一条输变线路引至配电室。</w:t>
                  </w:r>
                </w:p>
              </w:tc>
              <w:tc>
                <w:tcPr>
                  <w:tcW w:w="1135" w:type="pct"/>
                  <w:shd w:val="clear" w:color="auto" w:fill="auto"/>
                  <w:vAlign w:val="center"/>
                </w:tcPr>
                <w:p>
                  <w:pPr>
                    <w:spacing w:line="240" w:lineRule="auto"/>
                    <w:jc w:val="center"/>
                    <w:rPr>
                      <w:sz w:val="21"/>
                      <w:szCs w:val="21"/>
                      <w:u w:val="single"/>
                    </w:rPr>
                  </w:pPr>
                  <w:r>
                    <w:rPr>
                      <w:sz w:val="21"/>
                      <w:szCs w:val="21"/>
                      <w:u w:val="single"/>
                    </w:rPr>
                    <w:t>已建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2" w:hRule="atLeast"/>
                <w:jc w:val="center"/>
              </w:trPr>
              <w:tc>
                <w:tcPr>
                  <w:tcW w:w="257" w:type="pct"/>
                  <w:vMerge w:val="restart"/>
                  <w:shd w:val="clear" w:color="auto" w:fill="auto"/>
                  <w:vAlign w:val="center"/>
                </w:tcPr>
                <w:p>
                  <w:pPr>
                    <w:spacing w:line="240" w:lineRule="auto"/>
                    <w:jc w:val="center"/>
                    <w:rPr>
                      <w:sz w:val="21"/>
                      <w:szCs w:val="21"/>
                      <w:u w:val="single"/>
                    </w:rPr>
                  </w:pPr>
                  <w:r>
                    <w:rPr>
                      <w:sz w:val="21"/>
                      <w:szCs w:val="21"/>
                      <w:u w:val="single"/>
                    </w:rPr>
                    <w:t>4</w:t>
                  </w:r>
                </w:p>
              </w:tc>
              <w:tc>
                <w:tcPr>
                  <w:tcW w:w="448" w:type="pct"/>
                  <w:vMerge w:val="restart"/>
                  <w:shd w:val="clear" w:color="auto" w:fill="auto"/>
                  <w:vAlign w:val="center"/>
                </w:tcPr>
                <w:p>
                  <w:pPr>
                    <w:spacing w:line="240" w:lineRule="auto"/>
                    <w:jc w:val="center"/>
                    <w:rPr>
                      <w:sz w:val="21"/>
                      <w:szCs w:val="21"/>
                      <w:u w:val="single"/>
                    </w:rPr>
                  </w:pPr>
                  <w:r>
                    <w:rPr>
                      <w:sz w:val="21"/>
                      <w:szCs w:val="21"/>
                      <w:u w:val="single"/>
                    </w:rPr>
                    <w:t>环保工程</w:t>
                  </w:r>
                </w:p>
              </w:tc>
              <w:tc>
                <w:tcPr>
                  <w:tcW w:w="646" w:type="pct"/>
                  <w:shd w:val="clear" w:color="auto" w:fill="auto"/>
                  <w:vAlign w:val="center"/>
                </w:tcPr>
                <w:p>
                  <w:pPr>
                    <w:spacing w:line="240" w:lineRule="auto"/>
                    <w:jc w:val="center"/>
                    <w:rPr>
                      <w:sz w:val="21"/>
                      <w:szCs w:val="21"/>
                      <w:u w:val="single"/>
                    </w:rPr>
                  </w:pPr>
                  <w:r>
                    <w:rPr>
                      <w:sz w:val="21"/>
                      <w:szCs w:val="21"/>
                      <w:u w:val="single"/>
                    </w:rPr>
                    <w:t>废气处理</w:t>
                  </w:r>
                </w:p>
              </w:tc>
              <w:tc>
                <w:tcPr>
                  <w:tcW w:w="2512" w:type="pct"/>
                  <w:shd w:val="clear" w:color="auto" w:fill="auto"/>
                  <w:vAlign w:val="center"/>
                </w:tcPr>
                <w:p>
                  <w:pPr>
                    <w:spacing w:line="240" w:lineRule="auto"/>
                    <w:jc w:val="center"/>
                    <w:rPr>
                      <w:sz w:val="21"/>
                      <w:szCs w:val="21"/>
                      <w:u w:val="single"/>
                    </w:rPr>
                  </w:pPr>
                  <w:r>
                    <w:rPr>
                      <w:sz w:val="21"/>
                      <w:szCs w:val="21"/>
                      <w:u w:val="single"/>
                    </w:rPr>
                    <w:t>砂石料生产线</w:t>
                  </w:r>
                  <w:r>
                    <w:rPr>
                      <w:rFonts w:hint="eastAsia"/>
                      <w:sz w:val="21"/>
                      <w:szCs w:val="21"/>
                      <w:u w:val="single"/>
                    </w:rPr>
                    <w:t>采取湿式作业</w:t>
                  </w:r>
                  <w:r>
                    <w:rPr>
                      <w:rFonts w:hint="eastAsia"/>
                      <w:sz w:val="21"/>
                      <w:szCs w:val="21"/>
                      <w:u w:val="single"/>
                      <w:lang w:eastAsia="zh-CN"/>
                    </w:rPr>
                    <w:t>，且对破碎工序设置三面围挡</w:t>
                  </w:r>
                  <w:r>
                    <w:rPr>
                      <w:rFonts w:hint="eastAsia"/>
                      <w:sz w:val="21"/>
                      <w:szCs w:val="21"/>
                      <w:u w:val="single"/>
                    </w:rPr>
                    <w:t>后，无组织排放</w:t>
                  </w:r>
                  <w:r>
                    <w:rPr>
                      <w:sz w:val="21"/>
                      <w:szCs w:val="21"/>
                      <w:u w:val="single"/>
                    </w:rPr>
                    <w:t>；</w:t>
                  </w:r>
                  <w:r>
                    <w:rPr>
                      <w:rFonts w:hint="eastAsia"/>
                      <w:sz w:val="21"/>
                      <w:szCs w:val="21"/>
                      <w:u w:val="single"/>
                    </w:rPr>
                    <w:t>成品堆场</w:t>
                  </w:r>
                  <w:r>
                    <w:rPr>
                      <w:sz w:val="21"/>
                      <w:szCs w:val="21"/>
                      <w:u w:val="single"/>
                    </w:rPr>
                    <w:t>设置喷雾降尘设备；</w:t>
                  </w:r>
                  <w:r>
                    <w:rPr>
                      <w:rStyle w:val="25"/>
                      <w:kern w:val="0"/>
                      <w:szCs w:val="21"/>
                      <w:u w:val="single"/>
                    </w:rPr>
                    <w:t>在装卸过程中，加强洒水防尘力度、避开大风天气卸车等措施后，无组织排放</w:t>
                  </w:r>
                  <w:r>
                    <w:rPr>
                      <w:rStyle w:val="25"/>
                      <w:rFonts w:hint="eastAsia"/>
                      <w:kern w:val="0"/>
                      <w:szCs w:val="21"/>
                      <w:u w:val="single"/>
                    </w:rPr>
                    <w:t>；</w:t>
                  </w:r>
                  <w:r>
                    <w:rPr>
                      <w:rFonts w:hint="eastAsia"/>
                      <w:sz w:val="21"/>
                      <w:szCs w:val="21"/>
                      <w:u w:val="single"/>
                    </w:rPr>
                    <w:t>运输车辆</w:t>
                  </w:r>
                  <w:r>
                    <w:rPr>
                      <w:rStyle w:val="25"/>
                      <w:rFonts w:hint="eastAsia"/>
                      <w:kern w:val="0"/>
                      <w:szCs w:val="21"/>
                      <w:u w:val="single"/>
                    </w:rPr>
                    <w:t>采取</w:t>
                  </w:r>
                  <w:r>
                    <w:rPr>
                      <w:rStyle w:val="25"/>
                      <w:kern w:val="0"/>
                      <w:szCs w:val="21"/>
                      <w:u w:val="single"/>
                    </w:rPr>
                    <w:t>减速慢行，对厂区道路进行洒水，进出厂区时必须进行加盖篷布</w:t>
                  </w:r>
                  <w:r>
                    <w:rPr>
                      <w:rStyle w:val="25"/>
                      <w:rFonts w:hint="eastAsia"/>
                      <w:kern w:val="0"/>
                      <w:szCs w:val="21"/>
                      <w:u w:val="single"/>
                    </w:rPr>
                    <w:t>等措施后无组织排放；</w:t>
                  </w:r>
                  <w:r>
                    <w:rPr>
                      <w:sz w:val="21"/>
                      <w:szCs w:val="21"/>
                      <w:u w:val="single"/>
                    </w:rPr>
                    <w:t>厨房设置油烟净化器。</w:t>
                  </w:r>
                </w:p>
              </w:tc>
              <w:tc>
                <w:tcPr>
                  <w:tcW w:w="1135" w:type="pct"/>
                  <w:shd w:val="clear" w:color="auto" w:fill="auto"/>
                  <w:vAlign w:val="center"/>
                </w:tcPr>
                <w:p>
                  <w:pPr>
                    <w:spacing w:line="240" w:lineRule="auto"/>
                    <w:jc w:val="center"/>
                    <w:rPr>
                      <w:color w:val="0000FF"/>
                      <w:sz w:val="21"/>
                      <w:szCs w:val="21"/>
                      <w:u w:val="single"/>
                    </w:rPr>
                  </w:pPr>
                  <w:r>
                    <w:rPr>
                      <w:sz w:val="21"/>
                      <w:szCs w:val="21"/>
                      <w:u w:val="single"/>
                    </w:rPr>
                    <w:t>已建，进行改造，</w:t>
                  </w:r>
                  <w:r>
                    <w:rPr>
                      <w:rFonts w:hint="eastAsia"/>
                      <w:sz w:val="21"/>
                      <w:szCs w:val="21"/>
                      <w:u w:val="single"/>
                      <w:lang w:eastAsia="zh-CN"/>
                    </w:rPr>
                    <w:t>破碎工序完善三面围挡设施，</w:t>
                  </w:r>
                  <w:r>
                    <w:rPr>
                      <w:rFonts w:hint="eastAsia"/>
                      <w:sz w:val="21"/>
                      <w:szCs w:val="21"/>
                      <w:u w:val="single"/>
                    </w:rPr>
                    <w:t>成品堆场</w:t>
                  </w:r>
                  <w:r>
                    <w:rPr>
                      <w:sz w:val="21"/>
                      <w:szCs w:val="21"/>
                      <w:u w:val="single"/>
                    </w:rPr>
                    <w:t>完善喷淋抑尘措施。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01" w:hRule="atLeast"/>
                <w:jc w:val="center"/>
              </w:trPr>
              <w:tc>
                <w:tcPr>
                  <w:tcW w:w="257" w:type="pct"/>
                  <w:vMerge w:val="continue"/>
                  <w:shd w:val="clear" w:color="auto" w:fill="auto"/>
                  <w:vAlign w:val="center"/>
                </w:tcPr>
                <w:p>
                  <w:pPr>
                    <w:spacing w:line="240" w:lineRule="auto"/>
                    <w:jc w:val="center"/>
                    <w:rPr>
                      <w:sz w:val="21"/>
                      <w:szCs w:val="21"/>
                      <w:u w:val="single"/>
                    </w:rPr>
                  </w:pPr>
                </w:p>
              </w:tc>
              <w:tc>
                <w:tcPr>
                  <w:tcW w:w="448" w:type="pct"/>
                  <w:vMerge w:val="continue"/>
                  <w:shd w:val="clear" w:color="auto" w:fill="auto"/>
                  <w:vAlign w:val="center"/>
                </w:tcPr>
                <w:p>
                  <w:pPr>
                    <w:spacing w:line="240" w:lineRule="auto"/>
                    <w:jc w:val="center"/>
                    <w:rPr>
                      <w:sz w:val="21"/>
                      <w:szCs w:val="21"/>
                      <w:u w:val="single"/>
                    </w:rPr>
                  </w:pPr>
                </w:p>
              </w:tc>
              <w:tc>
                <w:tcPr>
                  <w:tcW w:w="646" w:type="pct"/>
                  <w:shd w:val="clear" w:color="auto" w:fill="auto"/>
                  <w:vAlign w:val="center"/>
                </w:tcPr>
                <w:p>
                  <w:pPr>
                    <w:spacing w:line="240" w:lineRule="auto"/>
                    <w:jc w:val="center"/>
                    <w:rPr>
                      <w:sz w:val="21"/>
                      <w:szCs w:val="21"/>
                      <w:u w:val="single"/>
                    </w:rPr>
                  </w:pPr>
                  <w:r>
                    <w:rPr>
                      <w:sz w:val="21"/>
                      <w:szCs w:val="21"/>
                      <w:u w:val="single"/>
                    </w:rPr>
                    <w:t>废水处理</w:t>
                  </w:r>
                </w:p>
              </w:tc>
              <w:tc>
                <w:tcPr>
                  <w:tcW w:w="2512" w:type="pct"/>
                  <w:shd w:val="clear" w:color="auto" w:fill="auto"/>
                  <w:vAlign w:val="center"/>
                </w:tcPr>
                <w:p>
                  <w:pPr>
                    <w:spacing w:line="240" w:lineRule="auto"/>
                    <w:jc w:val="center"/>
                    <w:rPr>
                      <w:color w:val="0000FF"/>
                      <w:sz w:val="21"/>
                      <w:szCs w:val="21"/>
                      <w:u w:val="single"/>
                    </w:rPr>
                  </w:pPr>
                  <w:r>
                    <w:rPr>
                      <w:rFonts w:hint="eastAsia" w:ascii="Times New Roman" w:hAnsi="Times New Roman" w:eastAsia="宋体" w:cs="Times New Roman"/>
                      <w:sz w:val="21"/>
                      <w:szCs w:val="21"/>
                      <w:u w:val="single"/>
                    </w:rPr>
                    <w:t>洒水降尘用水自然蒸发，不外排</w:t>
                  </w:r>
                  <w:r>
                    <w:rPr>
                      <w:rFonts w:hint="eastAsia" w:eastAsia="宋体" w:cs="Times New Roman"/>
                      <w:sz w:val="21"/>
                      <w:szCs w:val="21"/>
                      <w:u w:val="single"/>
                      <w:lang w:eastAsia="zh-CN"/>
                    </w:rPr>
                    <w:t>；</w:t>
                  </w:r>
                  <w:r>
                    <w:rPr>
                      <w:rFonts w:hint="eastAsia"/>
                      <w:sz w:val="21"/>
                      <w:szCs w:val="21"/>
                      <w:u w:val="single"/>
                    </w:rPr>
                    <w:t>生产</w:t>
                  </w:r>
                  <w:r>
                    <w:rPr>
                      <w:rFonts w:hint="eastAsia"/>
                      <w:sz w:val="21"/>
                      <w:szCs w:val="21"/>
                      <w:u w:val="single"/>
                      <w:lang w:eastAsia="zh-CN"/>
                    </w:rPr>
                    <w:t>工艺</w:t>
                  </w:r>
                  <w:r>
                    <w:rPr>
                      <w:rFonts w:hint="eastAsia"/>
                      <w:sz w:val="21"/>
                      <w:szCs w:val="21"/>
                      <w:u w:val="single"/>
                    </w:rPr>
                    <w:t>废水经</w:t>
                  </w:r>
                  <w:r>
                    <w:rPr>
                      <w:sz w:val="21"/>
                      <w:szCs w:val="21"/>
                      <w:u w:val="single"/>
                    </w:rPr>
                    <w:t>废水处理系统</w:t>
                  </w:r>
                  <w:r>
                    <w:rPr>
                      <w:rFonts w:hint="eastAsia"/>
                      <w:sz w:val="21"/>
                      <w:szCs w:val="21"/>
                      <w:u w:val="single"/>
                    </w:rPr>
                    <w:t>处理后回用于生产</w:t>
                  </w:r>
                  <w:r>
                    <w:rPr>
                      <w:sz w:val="21"/>
                      <w:szCs w:val="21"/>
                      <w:u w:val="single"/>
                    </w:rPr>
                    <w:t>（</w:t>
                  </w:r>
                  <w:r>
                    <w:rPr>
                      <w:rFonts w:hint="eastAsia"/>
                      <w:sz w:val="21"/>
                      <w:szCs w:val="21"/>
                      <w:u w:val="single"/>
                    </w:rPr>
                    <w:t>75</w:t>
                  </w:r>
                  <w:r>
                    <w:rPr>
                      <w:sz w:val="21"/>
                      <w:szCs w:val="21"/>
                      <w:u w:val="single"/>
                    </w:rPr>
                    <w:t>m</w:t>
                  </w:r>
                  <w:r>
                    <w:rPr>
                      <w:sz w:val="21"/>
                      <w:szCs w:val="21"/>
                      <w:u w:val="single"/>
                      <w:vertAlign w:val="superscript"/>
                    </w:rPr>
                    <w:t>3</w:t>
                  </w:r>
                  <w:r>
                    <w:rPr>
                      <w:sz w:val="21"/>
                      <w:szCs w:val="21"/>
                      <w:u w:val="single"/>
                    </w:rPr>
                    <w:t>废水收集池深锥浓缩罐+板框压滤机+</w:t>
                  </w:r>
                  <w:r>
                    <w:rPr>
                      <w:rFonts w:hint="eastAsia"/>
                      <w:sz w:val="21"/>
                      <w:szCs w:val="21"/>
                      <w:u w:val="single"/>
                    </w:rPr>
                    <w:t>27</w:t>
                  </w:r>
                  <w:r>
                    <w:rPr>
                      <w:sz w:val="21"/>
                      <w:szCs w:val="21"/>
                      <w:u w:val="single"/>
                    </w:rPr>
                    <w:t>m</w:t>
                  </w:r>
                  <w:r>
                    <w:rPr>
                      <w:sz w:val="21"/>
                      <w:szCs w:val="21"/>
                      <w:u w:val="single"/>
                      <w:vertAlign w:val="superscript"/>
                    </w:rPr>
                    <w:t>3</w:t>
                  </w:r>
                  <w:r>
                    <w:rPr>
                      <w:sz w:val="21"/>
                      <w:szCs w:val="21"/>
                      <w:u w:val="single"/>
                    </w:rPr>
                    <w:t>清水池）；</w:t>
                  </w:r>
                  <w:r>
                    <w:rPr>
                      <w:rFonts w:hint="eastAsia"/>
                      <w:sz w:val="21"/>
                      <w:szCs w:val="21"/>
                      <w:u w:val="single"/>
                      <w:lang w:eastAsia="zh-CN"/>
                    </w:rPr>
                    <w:t>洗车废水经</w:t>
                  </w:r>
                  <w:r>
                    <w:rPr>
                      <w:rFonts w:hint="eastAsia"/>
                      <w:sz w:val="21"/>
                      <w:szCs w:val="21"/>
                      <w:u w:val="single"/>
                      <w:lang w:val="en-US" w:eastAsia="zh-CN"/>
                    </w:rPr>
                    <w:t>27m³的洗车平台沉淀池处理后回用于车辆轮胎清洗；</w:t>
                  </w:r>
                  <w:r>
                    <w:rPr>
                      <w:sz w:val="21"/>
                      <w:szCs w:val="21"/>
                      <w:u w:val="single"/>
                    </w:rPr>
                    <w:t>生活污水</w:t>
                  </w:r>
                  <w:r>
                    <w:rPr>
                      <w:kern w:val="0"/>
                      <w:sz w:val="21"/>
                      <w:szCs w:val="21"/>
                      <w:u w:val="single"/>
                    </w:rPr>
                    <w:t>经</w:t>
                  </w:r>
                  <w:r>
                    <w:rPr>
                      <w:rFonts w:hint="eastAsia"/>
                      <w:kern w:val="0"/>
                      <w:sz w:val="21"/>
                      <w:szCs w:val="21"/>
                      <w:u w:val="single"/>
                    </w:rPr>
                    <w:t>隔油</w:t>
                  </w:r>
                  <w:r>
                    <w:rPr>
                      <w:kern w:val="0"/>
                      <w:sz w:val="21"/>
                      <w:szCs w:val="21"/>
                      <w:u w:val="single"/>
                    </w:rPr>
                    <w:t>化粪池</w:t>
                  </w:r>
                  <w:r>
                    <w:rPr>
                      <w:rFonts w:hint="eastAsia"/>
                      <w:kern w:val="0"/>
                      <w:sz w:val="21"/>
                      <w:szCs w:val="21"/>
                      <w:u w:val="single"/>
                    </w:rPr>
                    <w:t>（2</w:t>
                  </w:r>
                  <w:r>
                    <w:rPr>
                      <w:sz w:val="21"/>
                      <w:szCs w:val="21"/>
                      <w:u w:val="single"/>
                    </w:rPr>
                    <w:t>m</w:t>
                  </w:r>
                  <w:r>
                    <w:rPr>
                      <w:sz w:val="21"/>
                      <w:szCs w:val="21"/>
                      <w:u w:val="single"/>
                      <w:vertAlign w:val="superscript"/>
                    </w:rPr>
                    <w:t>3</w:t>
                  </w:r>
                  <w:r>
                    <w:rPr>
                      <w:rFonts w:hint="eastAsia"/>
                      <w:kern w:val="0"/>
                      <w:sz w:val="21"/>
                      <w:szCs w:val="21"/>
                      <w:u w:val="single"/>
                    </w:rPr>
                    <w:t>）</w:t>
                  </w:r>
                  <w:r>
                    <w:rPr>
                      <w:kern w:val="0"/>
                      <w:sz w:val="21"/>
                      <w:szCs w:val="21"/>
                      <w:u w:val="single"/>
                    </w:rPr>
                    <w:t>处理</w:t>
                  </w:r>
                  <w:r>
                    <w:rPr>
                      <w:rFonts w:hint="eastAsia"/>
                      <w:kern w:val="0"/>
                      <w:sz w:val="21"/>
                      <w:szCs w:val="21"/>
                      <w:u w:val="single"/>
                      <w:lang w:eastAsia="zh-CN"/>
                    </w:rPr>
                    <w:t>后</w:t>
                  </w:r>
                  <w:r>
                    <w:rPr>
                      <w:kern w:val="0"/>
                      <w:sz w:val="21"/>
                      <w:szCs w:val="21"/>
                      <w:u w:val="single"/>
                    </w:rPr>
                    <w:t>用于周边林地、</w:t>
                  </w:r>
                  <w:r>
                    <w:rPr>
                      <w:rFonts w:hint="eastAsia"/>
                      <w:kern w:val="0"/>
                      <w:sz w:val="21"/>
                      <w:szCs w:val="21"/>
                      <w:u w:val="single"/>
                    </w:rPr>
                    <w:t>菜地</w:t>
                  </w:r>
                  <w:r>
                    <w:rPr>
                      <w:kern w:val="0"/>
                      <w:sz w:val="21"/>
                      <w:szCs w:val="21"/>
                      <w:u w:val="single"/>
                    </w:rPr>
                    <w:t>浇灌，不外排</w:t>
                  </w:r>
                  <w:r>
                    <w:rPr>
                      <w:rFonts w:hint="eastAsia"/>
                      <w:kern w:val="0"/>
                      <w:sz w:val="21"/>
                      <w:szCs w:val="21"/>
                      <w:u w:val="single"/>
                    </w:rPr>
                    <w:t>；</w:t>
                  </w:r>
                  <w:r>
                    <w:rPr>
                      <w:rFonts w:hint="eastAsia"/>
                      <w:sz w:val="21"/>
                      <w:szCs w:val="21"/>
                      <w:u w:val="single"/>
                    </w:rPr>
                    <w:t>初期</w:t>
                  </w:r>
                  <w:r>
                    <w:rPr>
                      <w:sz w:val="21"/>
                      <w:szCs w:val="21"/>
                      <w:u w:val="single"/>
                    </w:rPr>
                    <w:t>雨水经</w:t>
                  </w:r>
                  <w:r>
                    <w:rPr>
                      <w:rFonts w:hint="eastAsia"/>
                      <w:sz w:val="21"/>
                      <w:szCs w:val="21"/>
                      <w:u w:val="single"/>
                      <w:lang w:eastAsia="zh-CN"/>
                    </w:rPr>
                    <w:t>截排水沟进入</w:t>
                  </w:r>
                  <w:r>
                    <w:rPr>
                      <w:rFonts w:hint="eastAsia"/>
                      <w:sz w:val="21"/>
                      <w:szCs w:val="21"/>
                      <w:u w:val="single"/>
                    </w:rPr>
                    <w:t>初期雨水收集池</w:t>
                  </w:r>
                  <w:r>
                    <w:rPr>
                      <w:rFonts w:hint="eastAsia"/>
                      <w:kern w:val="0"/>
                      <w:sz w:val="21"/>
                      <w:szCs w:val="21"/>
                      <w:u w:val="single"/>
                    </w:rPr>
                    <w:t>（</w:t>
                  </w:r>
                  <w:r>
                    <w:rPr>
                      <w:rFonts w:hint="eastAsia"/>
                      <w:kern w:val="0"/>
                      <w:sz w:val="21"/>
                      <w:szCs w:val="21"/>
                      <w:u w:val="single"/>
                      <w:lang w:val="en-US" w:eastAsia="zh-CN"/>
                    </w:rPr>
                    <w:t>116</w:t>
                  </w:r>
                  <w:r>
                    <w:rPr>
                      <w:sz w:val="21"/>
                      <w:szCs w:val="21"/>
                      <w:u w:val="single"/>
                    </w:rPr>
                    <w:t>m</w:t>
                  </w:r>
                  <w:r>
                    <w:rPr>
                      <w:sz w:val="21"/>
                      <w:szCs w:val="21"/>
                      <w:u w:val="single"/>
                      <w:vertAlign w:val="superscript"/>
                    </w:rPr>
                    <w:t>3</w:t>
                  </w:r>
                  <w:r>
                    <w:rPr>
                      <w:rFonts w:hint="eastAsia"/>
                      <w:kern w:val="0"/>
                      <w:sz w:val="21"/>
                      <w:szCs w:val="21"/>
                      <w:u w:val="single"/>
                    </w:rPr>
                    <w:t>）</w:t>
                  </w:r>
                  <w:r>
                    <w:rPr>
                      <w:sz w:val="21"/>
                      <w:szCs w:val="21"/>
                      <w:u w:val="single"/>
                    </w:rPr>
                    <w:t>沉淀后回用于厂区降尘洒水</w:t>
                  </w:r>
                  <w:r>
                    <w:rPr>
                      <w:rFonts w:hint="eastAsia"/>
                      <w:sz w:val="21"/>
                      <w:szCs w:val="21"/>
                      <w:u w:val="single"/>
                    </w:rPr>
                    <w:t>。</w:t>
                  </w:r>
                </w:p>
              </w:tc>
              <w:tc>
                <w:tcPr>
                  <w:tcW w:w="1135" w:type="pct"/>
                  <w:shd w:val="clear" w:color="auto" w:fill="auto"/>
                  <w:vAlign w:val="center"/>
                </w:tcPr>
                <w:p>
                  <w:pPr>
                    <w:spacing w:line="240" w:lineRule="auto"/>
                    <w:jc w:val="center"/>
                    <w:rPr>
                      <w:color w:val="0000FF"/>
                      <w:sz w:val="21"/>
                      <w:szCs w:val="21"/>
                      <w:u w:val="single"/>
                    </w:rPr>
                  </w:pPr>
                  <w:r>
                    <w:rPr>
                      <w:rFonts w:hint="eastAsia"/>
                      <w:sz w:val="21"/>
                      <w:szCs w:val="21"/>
                      <w:u w:val="single"/>
                    </w:rPr>
                    <w:t>已建</w:t>
                  </w:r>
                  <w:r>
                    <w:rPr>
                      <w:sz w:val="21"/>
                      <w:szCs w:val="21"/>
                      <w:u w:val="single"/>
                    </w:rPr>
                    <w:t>废水处理系统</w:t>
                  </w:r>
                  <w:r>
                    <w:rPr>
                      <w:rFonts w:hint="eastAsia"/>
                      <w:sz w:val="21"/>
                      <w:szCs w:val="21"/>
                      <w:u w:val="single"/>
                      <w:lang w:eastAsia="zh-CN"/>
                    </w:rPr>
                    <w:t>、截排水沟</w:t>
                  </w:r>
                  <w:r>
                    <w:rPr>
                      <w:rFonts w:hint="eastAsia"/>
                      <w:sz w:val="21"/>
                      <w:szCs w:val="21"/>
                      <w:u w:val="single"/>
                    </w:rPr>
                    <w:t>以及隔油化粪池，</w:t>
                  </w:r>
                  <w:r>
                    <w:rPr>
                      <w:rFonts w:hint="eastAsia"/>
                      <w:sz w:val="21"/>
                      <w:szCs w:val="21"/>
                      <w:u w:val="single"/>
                      <w:lang w:eastAsia="zh-CN"/>
                    </w:rPr>
                    <w:t>洗车平台沉淀池、</w:t>
                  </w:r>
                  <w:r>
                    <w:rPr>
                      <w:rFonts w:hint="eastAsia"/>
                      <w:sz w:val="21"/>
                      <w:szCs w:val="21"/>
                      <w:u w:val="single"/>
                    </w:rPr>
                    <w:t>初期雨水池为新建。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1" w:hRule="atLeast"/>
                <w:jc w:val="center"/>
              </w:trPr>
              <w:tc>
                <w:tcPr>
                  <w:tcW w:w="257" w:type="pct"/>
                  <w:vMerge w:val="continue"/>
                  <w:shd w:val="clear" w:color="auto" w:fill="auto"/>
                  <w:vAlign w:val="center"/>
                </w:tcPr>
                <w:p>
                  <w:pPr>
                    <w:spacing w:line="240" w:lineRule="auto"/>
                    <w:jc w:val="center"/>
                    <w:rPr>
                      <w:sz w:val="21"/>
                      <w:szCs w:val="21"/>
                      <w:u w:val="single"/>
                    </w:rPr>
                  </w:pPr>
                </w:p>
              </w:tc>
              <w:tc>
                <w:tcPr>
                  <w:tcW w:w="448" w:type="pct"/>
                  <w:vMerge w:val="continue"/>
                  <w:shd w:val="clear" w:color="auto" w:fill="auto"/>
                  <w:vAlign w:val="center"/>
                </w:tcPr>
                <w:p>
                  <w:pPr>
                    <w:spacing w:line="240" w:lineRule="auto"/>
                    <w:jc w:val="center"/>
                    <w:rPr>
                      <w:sz w:val="21"/>
                      <w:szCs w:val="21"/>
                      <w:u w:val="single"/>
                    </w:rPr>
                  </w:pPr>
                </w:p>
              </w:tc>
              <w:tc>
                <w:tcPr>
                  <w:tcW w:w="646" w:type="pct"/>
                  <w:shd w:val="clear" w:color="auto" w:fill="auto"/>
                  <w:vAlign w:val="center"/>
                </w:tcPr>
                <w:p>
                  <w:pPr>
                    <w:spacing w:line="240" w:lineRule="auto"/>
                    <w:jc w:val="center"/>
                    <w:rPr>
                      <w:sz w:val="21"/>
                      <w:szCs w:val="21"/>
                      <w:u w:val="single"/>
                    </w:rPr>
                  </w:pPr>
                  <w:r>
                    <w:rPr>
                      <w:sz w:val="21"/>
                      <w:szCs w:val="21"/>
                      <w:u w:val="single"/>
                    </w:rPr>
                    <w:t>噪声处理</w:t>
                  </w:r>
                </w:p>
              </w:tc>
              <w:tc>
                <w:tcPr>
                  <w:tcW w:w="2512" w:type="pct"/>
                  <w:shd w:val="clear" w:color="auto" w:fill="auto"/>
                  <w:vAlign w:val="center"/>
                </w:tcPr>
                <w:p>
                  <w:pPr>
                    <w:spacing w:line="240" w:lineRule="auto"/>
                    <w:jc w:val="center"/>
                    <w:rPr>
                      <w:sz w:val="21"/>
                      <w:szCs w:val="21"/>
                      <w:u w:val="single"/>
                    </w:rPr>
                  </w:pPr>
                  <w:r>
                    <w:rPr>
                      <w:sz w:val="21"/>
                      <w:szCs w:val="21"/>
                      <w:u w:val="single"/>
                    </w:rPr>
                    <w:t>优化布局、加强设备维护、对加工设备安装减震垫、消声器、隔声罩、绿化</w:t>
                  </w:r>
                  <w:r>
                    <w:rPr>
                      <w:rFonts w:hint="eastAsia"/>
                      <w:sz w:val="21"/>
                      <w:szCs w:val="21"/>
                      <w:u w:val="single"/>
                    </w:rPr>
                    <w:t>。</w:t>
                  </w:r>
                </w:p>
              </w:tc>
              <w:tc>
                <w:tcPr>
                  <w:tcW w:w="1135" w:type="pct"/>
                  <w:shd w:val="clear" w:color="auto" w:fill="auto"/>
                  <w:vAlign w:val="center"/>
                </w:tcPr>
                <w:p>
                  <w:pPr>
                    <w:spacing w:line="240" w:lineRule="auto"/>
                    <w:jc w:val="center"/>
                    <w:rPr>
                      <w:sz w:val="21"/>
                      <w:szCs w:val="21"/>
                      <w:u w:val="single"/>
                    </w:rPr>
                  </w:pPr>
                  <w:r>
                    <w:rPr>
                      <w:sz w:val="21"/>
                      <w:szCs w:val="21"/>
                      <w:u w:val="single"/>
                    </w:rPr>
                    <w:t>已建</w:t>
                  </w:r>
                  <w:r>
                    <w:rPr>
                      <w:rFonts w:hint="eastAsia"/>
                      <w:sz w:val="21"/>
                      <w:szCs w:val="21"/>
                      <w:u w:val="singl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1" w:hRule="atLeast"/>
                <w:jc w:val="center"/>
              </w:trPr>
              <w:tc>
                <w:tcPr>
                  <w:tcW w:w="257" w:type="pct"/>
                  <w:vMerge w:val="continue"/>
                  <w:shd w:val="clear" w:color="auto" w:fill="auto"/>
                  <w:vAlign w:val="center"/>
                </w:tcPr>
                <w:p>
                  <w:pPr>
                    <w:spacing w:line="240" w:lineRule="auto"/>
                    <w:jc w:val="center"/>
                    <w:rPr>
                      <w:sz w:val="21"/>
                      <w:szCs w:val="21"/>
                      <w:u w:val="single"/>
                    </w:rPr>
                  </w:pPr>
                </w:p>
              </w:tc>
              <w:tc>
                <w:tcPr>
                  <w:tcW w:w="448" w:type="pct"/>
                  <w:vMerge w:val="continue"/>
                  <w:shd w:val="clear" w:color="auto" w:fill="auto"/>
                  <w:vAlign w:val="center"/>
                </w:tcPr>
                <w:p>
                  <w:pPr>
                    <w:spacing w:line="240" w:lineRule="auto"/>
                    <w:jc w:val="center"/>
                    <w:rPr>
                      <w:sz w:val="21"/>
                      <w:szCs w:val="21"/>
                      <w:u w:val="single"/>
                    </w:rPr>
                  </w:pPr>
                </w:p>
              </w:tc>
              <w:tc>
                <w:tcPr>
                  <w:tcW w:w="646" w:type="pct"/>
                  <w:shd w:val="clear" w:color="auto" w:fill="auto"/>
                  <w:vAlign w:val="center"/>
                </w:tcPr>
                <w:p>
                  <w:pPr>
                    <w:spacing w:line="240" w:lineRule="auto"/>
                    <w:jc w:val="center"/>
                    <w:rPr>
                      <w:sz w:val="21"/>
                      <w:szCs w:val="21"/>
                      <w:u w:val="single"/>
                    </w:rPr>
                  </w:pPr>
                  <w:r>
                    <w:rPr>
                      <w:sz w:val="21"/>
                      <w:szCs w:val="21"/>
                      <w:u w:val="single"/>
                    </w:rPr>
                    <w:t>固体废物</w:t>
                  </w:r>
                </w:p>
              </w:tc>
              <w:tc>
                <w:tcPr>
                  <w:tcW w:w="2512" w:type="pct"/>
                  <w:shd w:val="clear" w:color="auto" w:fill="auto"/>
                  <w:vAlign w:val="center"/>
                </w:tcPr>
                <w:p>
                  <w:pPr>
                    <w:spacing w:line="240" w:lineRule="auto"/>
                    <w:jc w:val="center"/>
                    <w:rPr>
                      <w:color w:val="0000FF"/>
                      <w:sz w:val="21"/>
                      <w:szCs w:val="21"/>
                      <w:u w:val="single"/>
                    </w:rPr>
                  </w:pPr>
                  <w:r>
                    <w:rPr>
                      <w:sz w:val="21"/>
                      <w:szCs w:val="21"/>
                      <w:u w:val="single"/>
                    </w:rPr>
                    <w:t>污泥通过板框压滤机压滤脱水后外售用于制砖企业原料</w:t>
                  </w:r>
                  <w:r>
                    <w:rPr>
                      <w:rFonts w:hint="eastAsia"/>
                      <w:sz w:val="21"/>
                      <w:szCs w:val="21"/>
                      <w:u w:val="single"/>
                    </w:rPr>
                    <w:t>，</w:t>
                  </w:r>
                  <w:r>
                    <w:rPr>
                      <w:rFonts w:hint="default" w:cs="Times New Roman"/>
                      <w:kern w:val="2"/>
                      <w:sz w:val="21"/>
                      <w:szCs w:val="21"/>
                      <w:u w:val="single"/>
                      <w:lang w:val="en-US" w:eastAsia="zh-CN"/>
                    </w:rPr>
                    <w:t>沉淀池沉砂</w:t>
                  </w:r>
                  <w:r>
                    <w:rPr>
                      <w:rFonts w:hint="default" w:eastAsia="宋体"/>
                      <w:kern w:val="2"/>
                      <w:sz w:val="21"/>
                      <w:szCs w:val="21"/>
                      <w:u w:val="single"/>
                      <w:lang w:val="en-US" w:eastAsia="zh-CN"/>
                    </w:rPr>
                    <w:t>定期清捞，与泥饼一同交制砖厂进行综合利用</w:t>
                  </w:r>
                  <w:r>
                    <w:rPr>
                      <w:rFonts w:hint="eastAsia" w:eastAsia="宋体"/>
                      <w:kern w:val="2"/>
                      <w:sz w:val="21"/>
                      <w:szCs w:val="21"/>
                      <w:u w:val="single"/>
                      <w:lang w:val="en-US" w:eastAsia="zh-CN"/>
                    </w:rPr>
                    <w:t>，</w:t>
                  </w:r>
                  <w:r>
                    <w:rPr>
                      <w:rFonts w:hint="eastAsia" w:cs="Times New Roman"/>
                      <w:snapToGrid w:val="0"/>
                      <w:kern w:val="21"/>
                      <w:sz w:val="21"/>
                      <w:szCs w:val="21"/>
                      <w:u w:val="single"/>
                      <w:lang w:val="en-US" w:eastAsia="zh-CN"/>
                    </w:rPr>
                    <w:t>压滤机滤布、</w:t>
                  </w:r>
                  <w:r>
                    <w:rPr>
                      <w:rFonts w:hint="eastAsia"/>
                      <w:sz w:val="21"/>
                      <w:szCs w:val="21"/>
                      <w:u w:val="single"/>
                    </w:rPr>
                    <w:t>生活垃圾</w:t>
                  </w:r>
                  <w:r>
                    <w:rPr>
                      <w:bCs/>
                      <w:sz w:val="21"/>
                      <w:szCs w:val="21"/>
                      <w:u w:val="single"/>
                    </w:rPr>
                    <w:t>收集后送</w:t>
                  </w:r>
                  <w:r>
                    <w:rPr>
                      <w:rFonts w:hint="eastAsia"/>
                      <w:bCs/>
                      <w:sz w:val="21"/>
                      <w:szCs w:val="21"/>
                      <w:u w:val="single"/>
                    </w:rPr>
                    <w:t>附近</w:t>
                  </w:r>
                  <w:r>
                    <w:rPr>
                      <w:bCs/>
                      <w:sz w:val="21"/>
                      <w:szCs w:val="21"/>
                      <w:u w:val="single"/>
                    </w:rPr>
                    <w:t>垃圾处置点处理</w:t>
                  </w:r>
                  <w:r>
                    <w:rPr>
                      <w:rFonts w:hint="eastAsia"/>
                      <w:bCs/>
                      <w:sz w:val="21"/>
                      <w:szCs w:val="21"/>
                      <w:u w:val="single"/>
                    </w:rPr>
                    <w:t>，</w:t>
                  </w:r>
                  <w:r>
                    <w:rPr>
                      <w:kern w:val="0"/>
                      <w:sz w:val="21"/>
                      <w:szCs w:val="21"/>
                      <w:u w:val="single"/>
                    </w:rPr>
                    <w:t>废机油、废润滑油</w:t>
                  </w:r>
                  <w:r>
                    <w:rPr>
                      <w:rFonts w:hint="eastAsia"/>
                      <w:kern w:val="0"/>
                      <w:sz w:val="21"/>
                      <w:szCs w:val="21"/>
                      <w:u w:val="single"/>
                      <w:lang w:eastAsia="zh-CN"/>
                    </w:rPr>
                    <w:t>、废含油抹布</w:t>
                  </w:r>
                  <w:r>
                    <w:rPr>
                      <w:bCs/>
                      <w:sz w:val="21"/>
                      <w:szCs w:val="21"/>
                      <w:u w:val="single"/>
                    </w:rPr>
                    <w:t>危废暂存间</w:t>
                  </w:r>
                  <w:r>
                    <w:rPr>
                      <w:rFonts w:hint="eastAsia"/>
                      <w:sz w:val="21"/>
                      <w:szCs w:val="21"/>
                      <w:u w:val="single"/>
                    </w:rPr>
                    <w:t>（2m</w:t>
                  </w:r>
                  <w:r>
                    <w:rPr>
                      <w:rFonts w:hint="eastAsia"/>
                      <w:sz w:val="21"/>
                      <w:szCs w:val="21"/>
                      <w:u w:val="single"/>
                      <w:vertAlign w:val="superscript"/>
                    </w:rPr>
                    <w:t>2</w:t>
                  </w:r>
                  <w:r>
                    <w:rPr>
                      <w:rFonts w:hint="eastAsia"/>
                      <w:sz w:val="21"/>
                      <w:szCs w:val="21"/>
                      <w:u w:val="single"/>
                    </w:rPr>
                    <w:t>）</w:t>
                  </w:r>
                  <w:r>
                    <w:rPr>
                      <w:bCs/>
                      <w:sz w:val="21"/>
                      <w:szCs w:val="21"/>
                      <w:u w:val="single"/>
                    </w:rPr>
                    <w:t>暂存，定期交由有资质单位处理</w:t>
                  </w:r>
                  <w:r>
                    <w:rPr>
                      <w:rFonts w:hint="eastAsia"/>
                      <w:bCs/>
                      <w:sz w:val="21"/>
                      <w:szCs w:val="21"/>
                      <w:u w:val="single"/>
                    </w:rPr>
                    <w:t>。</w:t>
                  </w:r>
                </w:p>
              </w:tc>
              <w:tc>
                <w:tcPr>
                  <w:tcW w:w="1135" w:type="pct"/>
                  <w:shd w:val="clear" w:color="auto" w:fill="auto"/>
                  <w:vAlign w:val="center"/>
                </w:tcPr>
                <w:p>
                  <w:pPr>
                    <w:spacing w:line="240" w:lineRule="auto"/>
                    <w:jc w:val="center"/>
                    <w:rPr>
                      <w:sz w:val="21"/>
                      <w:szCs w:val="21"/>
                      <w:u w:val="single"/>
                    </w:rPr>
                  </w:pPr>
                  <w:r>
                    <w:rPr>
                      <w:sz w:val="21"/>
                      <w:szCs w:val="21"/>
                      <w:u w:val="single"/>
                    </w:rPr>
                    <w:t>新建</w:t>
                  </w:r>
                  <w:r>
                    <w:rPr>
                      <w:rFonts w:hint="eastAsia"/>
                      <w:sz w:val="21"/>
                      <w:szCs w:val="21"/>
                      <w:u w:val="single"/>
                    </w:rPr>
                    <w:t>危废暂存间。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1" w:hRule="atLeast"/>
                <w:jc w:val="center"/>
              </w:trPr>
              <w:tc>
                <w:tcPr>
                  <w:tcW w:w="257" w:type="pct"/>
                  <w:vMerge w:val="continue"/>
                  <w:shd w:val="clear" w:color="auto" w:fill="auto"/>
                  <w:vAlign w:val="center"/>
                </w:tcPr>
                <w:p>
                  <w:pPr>
                    <w:spacing w:line="240" w:lineRule="auto"/>
                    <w:jc w:val="center"/>
                    <w:rPr>
                      <w:sz w:val="21"/>
                      <w:szCs w:val="21"/>
                      <w:u w:val="single"/>
                    </w:rPr>
                  </w:pPr>
                  <w:bookmarkStart w:id="20" w:name="_Toc2882"/>
                  <w:bookmarkStart w:id="21" w:name="_Toc68160352"/>
                </w:p>
              </w:tc>
              <w:tc>
                <w:tcPr>
                  <w:tcW w:w="448" w:type="pct"/>
                  <w:vMerge w:val="continue"/>
                  <w:shd w:val="clear" w:color="auto" w:fill="auto"/>
                  <w:vAlign w:val="center"/>
                </w:tcPr>
                <w:p>
                  <w:pPr>
                    <w:spacing w:line="240" w:lineRule="auto"/>
                    <w:jc w:val="center"/>
                    <w:rPr>
                      <w:sz w:val="21"/>
                      <w:szCs w:val="21"/>
                      <w:u w:val="single"/>
                    </w:rPr>
                  </w:pPr>
                </w:p>
              </w:tc>
              <w:tc>
                <w:tcPr>
                  <w:tcW w:w="646" w:type="pct"/>
                  <w:shd w:val="clear" w:color="auto" w:fill="auto"/>
                  <w:vAlign w:val="center"/>
                </w:tcPr>
                <w:p>
                  <w:pPr>
                    <w:spacing w:line="240" w:lineRule="auto"/>
                    <w:jc w:val="center"/>
                    <w:rPr>
                      <w:rFonts w:hint="eastAsia" w:eastAsia="宋体"/>
                      <w:sz w:val="21"/>
                      <w:szCs w:val="21"/>
                      <w:u w:val="single"/>
                      <w:lang w:eastAsia="zh-CN"/>
                    </w:rPr>
                  </w:pPr>
                  <w:r>
                    <w:rPr>
                      <w:rFonts w:hint="eastAsia"/>
                      <w:sz w:val="21"/>
                      <w:szCs w:val="21"/>
                      <w:u w:val="single"/>
                      <w:lang w:eastAsia="zh-CN"/>
                    </w:rPr>
                    <w:t>风险防范措施</w:t>
                  </w:r>
                </w:p>
              </w:tc>
              <w:tc>
                <w:tcPr>
                  <w:tcW w:w="2512" w:type="pct"/>
                  <w:shd w:val="clear" w:color="auto" w:fill="auto"/>
                  <w:vAlign w:val="center"/>
                </w:tcPr>
                <w:p>
                  <w:pPr>
                    <w:spacing w:line="240" w:lineRule="auto"/>
                    <w:jc w:val="center"/>
                    <w:rPr>
                      <w:rFonts w:hint="default" w:ascii="Times New Roman" w:hAnsi="Times New Roman" w:eastAsia="宋体" w:cs="Times New Roman"/>
                      <w:bCs/>
                      <w:sz w:val="21"/>
                      <w:szCs w:val="21"/>
                      <w:u w:val="single"/>
                      <w:lang w:eastAsia="zh-CN"/>
                    </w:rPr>
                  </w:pPr>
                  <w:r>
                    <w:rPr>
                      <w:rFonts w:ascii="Times New Roman" w:hAnsi="Times New Roman" w:eastAsia="宋体" w:cs="Times New Roman"/>
                      <w:bCs/>
                      <w:sz w:val="21"/>
                      <w:szCs w:val="21"/>
                      <w:u w:val="single"/>
                    </w:rPr>
                    <w:t>采取防渗、防漏、防雨淋措施</w:t>
                  </w:r>
                  <w:r>
                    <w:rPr>
                      <w:rFonts w:hint="default" w:ascii="Times New Roman" w:hAnsi="Times New Roman" w:eastAsia="宋体" w:cs="Times New Roman"/>
                      <w:bCs/>
                      <w:sz w:val="21"/>
                      <w:szCs w:val="21"/>
                      <w:u w:val="single"/>
                      <w:lang w:eastAsia="zh-CN"/>
                    </w:rPr>
                    <w:t>。</w:t>
                  </w:r>
                </w:p>
              </w:tc>
              <w:tc>
                <w:tcPr>
                  <w:tcW w:w="1135" w:type="pct"/>
                  <w:shd w:val="clear" w:color="auto" w:fill="auto"/>
                  <w:vAlign w:val="center"/>
                </w:tcPr>
                <w:p>
                  <w:pPr>
                    <w:spacing w:line="240" w:lineRule="auto"/>
                    <w:jc w:val="center"/>
                    <w:rPr>
                      <w:rFonts w:hint="default" w:ascii="Times New Roman" w:hAnsi="Times New Roman" w:eastAsia="宋体" w:cs="Times New Roman"/>
                      <w:bCs/>
                      <w:sz w:val="21"/>
                      <w:szCs w:val="21"/>
                      <w:u w:val="single"/>
                      <w:lang w:eastAsia="zh-CN"/>
                    </w:rPr>
                  </w:pPr>
                  <w:r>
                    <w:rPr>
                      <w:rFonts w:hint="default" w:ascii="Times New Roman" w:hAnsi="Times New Roman" w:eastAsia="宋体" w:cs="Times New Roman"/>
                      <w:bCs/>
                      <w:sz w:val="21"/>
                      <w:szCs w:val="21"/>
                      <w:u w:val="single"/>
                      <w:lang w:eastAsia="zh-CN"/>
                    </w:rPr>
                    <w:t>新建</w:t>
                  </w:r>
                </w:p>
              </w:tc>
            </w:tr>
          </w:tbl>
          <w:p>
            <w:pPr>
              <w:pStyle w:val="30"/>
              <w:numPr>
                <w:ilvl w:val="1"/>
                <w:numId w:val="0"/>
              </w:numPr>
              <w:ind w:left="284"/>
            </w:pPr>
            <w:r>
              <w:t>2.3产品规模及产品方案</w:t>
            </w:r>
            <w:bookmarkEnd w:id="20"/>
            <w:bookmarkEnd w:id="21"/>
          </w:p>
          <w:p>
            <w:pPr>
              <w:adjustRightInd w:val="0"/>
              <w:snapToGrid w:val="0"/>
              <w:ind w:firstLine="480" w:firstLineChars="200"/>
            </w:pPr>
            <w:r>
              <w:t>生产规模：本项目是将</w:t>
            </w:r>
            <w:r>
              <w:rPr>
                <w:rFonts w:hint="eastAsia"/>
              </w:rPr>
              <w:t>鹅卵石</w:t>
            </w:r>
            <w:r>
              <w:t>加工成建筑用砂石骨料，产品方案如下：</w:t>
            </w:r>
          </w:p>
          <w:p>
            <w:pPr>
              <w:adjustRightInd w:val="0"/>
              <w:snapToGrid w:val="0"/>
              <w:spacing w:line="240" w:lineRule="auto"/>
              <w:jc w:val="center"/>
              <w:rPr>
                <w:b/>
                <w:bCs/>
                <w:sz w:val="21"/>
                <w:szCs w:val="21"/>
              </w:rPr>
            </w:pPr>
            <w:r>
              <w:rPr>
                <w:b/>
                <w:bCs/>
                <w:sz w:val="21"/>
                <w:szCs w:val="21"/>
              </w:rPr>
              <w:t>表2-2 产品方案</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58"/>
              <w:gridCol w:w="1863"/>
              <w:gridCol w:w="1423"/>
              <w:gridCol w:w="1970"/>
              <w:gridCol w:w="216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4" w:type="pct"/>
                  <w:tcBorders>
                    <w:tl2br w:val="nil"/>
                    <w:tr2bl w:val="nil"/>
                  </w:tcBorders>
                  <w:vAlign w:val="center"/>
                </w:tcPr>
                <w:p>
                  <w:pPr>
                    <w:widowControl/>
                    <w:adjustRightInd w:val="0"/>
                    <w:snapToGrid w:val="0"/>
                    <w:spacing w:line="240" w:lineRule="auto"/>
                    <w:jc w:val="center"/>
                    <w:rPr>
                      <w:b/>
                      <w:bCs/>
                      <w:sz w:val="21"/>
                      <w:szCs w:val="21"/>
                    </w:rPr>
                  </w:pPr>
                  <w:r>
                    <w:rPr>
                      <w:b/>
                      <w:bCs/>
                      <w:sz w:val="21"/>
                      <w:szCs w:val="21"/>
                    </w:rPr>
                    <w:t>序号</w:t>
                  </w:r>
                </w:p>
              </w:tc>
              <w:tc>
                <w:tcPr>
                  <w:tcW w:w="1134" w:type="pct"/>
                  <w:tcBorders>
                    <w:tl2br w:val="nil"/>
                    <w:tr2bl w:val="nil"/>
                  </w:tcBorders>
                  <w:vAlign w:val="center"/>
                </w:tcPr>
                <w:p>
                  <w:pPr>
                    <w:widowControl/>
                    <w:adjustRightInd w:val="0"/>
                    <w:snapToGrid w:val="0"/>
                    <w:spacing w:line="240" w:lineRule="auto"/>
                    <w:jc w:val="center"/>
                    <w:rPr>
                      <w:b/>
                      <w:bCs/>
                      <w:sz w:val="21"/>
                      <w:szCs w:val="21"/>
                    </w:rPr>
                  </w:pPr>
                  <w:r>
                    <w:rPr>
                      <w:b/>
                      <w:bCs/>
                      <w:sz w:val="21"/>
                      <w:szCs w:val="21"/>
                    </w:rPr>
                    <w:t>产品名称</w:t>
                  </w:r>
                </w:p>
              </w:tc>
              <w:tc>
                <w:tcPr>
                  <w:tcW w:w="871" w:type="pct"/>
                  <w:tcBorders>
                    <w:tl2br w:val="nil"/>
                    <w:tr2bl w:val="nil"/>
                  </w:tcBorders>
                  <w:vAlign w:val="center"/>
                </w:tcPr>
                <w:p>
                  <w:pPr>
                    <w:widowControl/>
                    <w:adjustRightInd w:val="0"/>
                    <w:snapToGrid w:val="0"/>
                    <w:spacing w:line="240" w:lineRule="auto"/>
                    <w:jc w:val="center"/>
                    <w:rPr>
                      <w:b/>
                      <w:bCs/>
                      <w:sz w:val="21"/>
                      <w:szCs w:val="21"/>
                    </w:rPr>
                  </w:pPr>
                  <w:r>
                    <w:rPr>
                      <w:b/>
                      <w:bCs/>
                      <w:sz w:val="21"/>
                      <w:szCs w:val="21"/>
                    </w:rPr>
                    <w:t>年产量</w:t>
                  </w:r>
                </w:p>
              </w:tc>
              <w:tc>
                <w:tcPr>
                  <w:tcW w:w="1197" w:type="pct"/>
                  <w:tcBorders>
                    <w:tl2br w:val="nil"/>
                    <w:tr2bl w:val="nil"/>
                  </w:tcBorders>
                  <w:vAlign w:val="center"/>
                </w:tcPr>
                <w:p>
                  <w:pPr>
                    <w:widowControl/>
                    <w:adjustRightInd w:val="0"/>
                    <w:snapToGrid w:val="0"/>
                    <w:spacing w:line="240" w:lineRule="auto"/>
                    <w:jc w:val="center"/>
                    <w:rPr>
                      <w:b/>
                      <w:bCs/>
                      <w:sz w:val="21"/>
                      <w:szCs w:val="21"/>
                    </w:rPr>
                  </w:pPr>
                  <w:r>
                    <w:rPr>
                      <w:b/>
                      <w:bCs/>
                      <w:sz w:val="21"/>
                      <w:szCs w:val="21"/>
                    </w:rPr>
                    <w:t>产品规格</w:t>
                  </w:r>
                </w:p>
              </w:tc>
              <w:tc>
                <w:tcPr>
                  <w:tcW w:w="1201" w:type="pct"/>
                  <w:tcBorders>
                    <w:tl2br w:val="nil"/>
                    <w:tr2bl w:val="nil"/>
                  </w:tcBorders>
                  <w:vAlign w:val="center"/>
                </w:tcPr>
                <w:p>
                  <w:pPr>
                    <w:widowControl/>
                    <w:adjustRightInd w:val="0"/>
                    <w:snapToGrid w:val="0"/>
                    <w:spacing w:line="240" w:lineRule="auto"/>
                    <w:jc w:val="center"/>
                    <w:rPr>
                      <w:b/>
                      <w:bCs/>
                      <w:sz w:val="21"/>
                      <w:szCs w:val="21"/>
                    </w:rPr>
                  </w:pPr>
                  <w:r>
                    <w:rPr>
                      <w:b/>
                      <w:bCs/>
                      <w:sz w:val="21"/>
                      <w:szCs w:val="21"/>
                    </w:rPr>
                    <w:t>产品质量标准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4" w:type="pct"/>
                  <w:tcBorders>
                    <w:tl2br w:val="nil"/>
                    <w:tr2bl w:val="nil"/>
                  </w:tcBorders>
                  <w:vAlign w:val="center"/>
                </w:tcPr>
                <w:p>
                  <w:pPr>
                    <w:widowControl/>
                    <w:adjustRightInd w:val="0"/>
                    <w:snapToGrid w:val="0"/>
                    <w:spacing w:line="240" w:lineRule="auto"/>
                    <w:jc w:val="center"/>
                    <w:rPr>
                      <w:sz w:val="21"/>
                      <w:szCs w:val="21"/>
                    </w:rPr>
                  </w:pPr>
                  <w:r>
                    <w:rPr>
                      <w:rFonts w:hint="eastAsia"/>
                      <w:sz w:val="21"/>
                      <w:szCs w:val="21"/>
                    </w:rPr>
                    <w:t>1</w:t>
                  </w:r>
                </w:p>
              </w:tc>
              <w:tc>
                <w:tcPr>
                  <w:tcW w:w="1134" w:type="pct"/>
                  <w:tcBorders>
                    <w:tl2br w:val="nil"/>
                    <w:tr2bl w:val="nil"/>
                  </w:tcBorders>
                  <w:vAlign w:val="center"/>
                </w:tcPr>
                <w:p>
                  <w:pPr>
                    <w:widowControl/>
                    <w:adjustRightInd w:val="0"/>
                    <w:snapToGrid w:val="0"/>
                    <w:spacing w:line="240" w:lineRule="auto"/>
                    <w:jc w:val="center"/>
                    <w:rPr>
                      <w:sz w:val="21"/>
                      <w:szCs w:val="21"/>
                    </w:rPr>
                  </w:pPr>
                  <w:r>
                    <w:rPr>
                      <w:sz w:val="21"/>
                      <w:szCs w:val="21"/>
                    </w:rPr>
                    <w:t>砂料</w:t>
                  </w:r>
                </w:p>
              </w:tc>
              <w:tc>
                <w:tcPr>
                  <w:tcW w:w="871" w:type="pct"/>
                  <w:tcBorders>
                    <w:tl2br w:val="nil"/>
                    <w:tr2bl w:val="nil"/>
                  </w:tcBorders>
                  <w:vAlign w:val="center"/>
                </w:tcPr>
                <w:p>
                  <w:pPr>
                    <w:widowControl/>
                    <w:adjustRightInd w:val="0"/>
                    <w:snapToGrid w:val="0"/>
                    <w:spacing w:line="240" w:lineRule="auto"/>
                    <w:jc w:val="center"/>
                    <w:rPr>
                      <w:sz w:val="21"/>
                      <w:szCs w:val="21"/>
                    </w:rPr>
                  </w:pPr>
                  <w:r>
                    <w:rPr>
                      <w:rFonts w:hint="eastAsia"/>
                      <w:sz w:val="21"/>
                      <w:szCs w:val="21"/>
                    </w:rPr>
                    <w:t>120</w:t>
                  </w:r>
                  <w:r>
                    <w:rPr>
                      <w:sz w:val="21"/>
                      <w:szCs w:val="21"/>
                    </w:rPr>
                    <w:t>万吨</w:t>
                  </w:r>
                </w:p>
              </w:tc>
              <w:tc>
                <w:tcPr>
                  <w:tcW w:w="1197" w:type="pct"/>
                  <w:tcBorders>
                    <w:tl2br w:val="nil"/>
                    <w:tr2bl w:val="nil"/>
                  </w:tcBorders>
                  <w:vAlign w:val="center"/>
                </w:tcPr>
                <w:p>
                  <w:pPr>
                    <w:widowControl/>
                    <w:adjustRightInd w:val="0"/>
                    <w:snapToGrid w:val="0"/>
                    <w:spacing w:line="240" w:lineRule="auto"/>
                    <w:jc w:val="center"/>
                    <w:rPr>
                      <w:sz w:val="21"/>
                      <w:szCs w:val="21"/>
                    </w:rPr>
                  </w:pPr>
                  <w:r>
                    <w:rPr>
                      <w:sz w:val="21"/>
                      <w:szCs w:val="21"/>
                    </w:rPr>
                    <w:t>0.075-4mm</w:t>
                  </w:r>
                </w:p>
              </w:tc>
              <w:tc>
                <w:tcPr>
                  <w:tcW w:w="1201" w:type="pct"/>
                  <w:tcBorders>
                    <w:tl2br w:val="nil"/>
                    <w:tr2bl w:val="nil"/>
                  </w:tcBorders>
                  <w:vAlign w:val="center"/>
                </w:tcPr>
                <w:p>
                  <w:pPr>
                    <w:widowControl/>
                    <w:adjustRightInd w:val="0"/>
                    <w:snapToGrid w:val="0"/>
                    <w:spacing w:line="240" w:lineRule="auto"/>
                    <w:jc w:val="center"/>
                    <w:rPr>
                      <w:sz w:val="21"/>
                      <w:szCs w:val="21"/>
                    </w:rPr>
                  </w:pPr>
                  <w:r>
                    <w:rPr>
                      <w:sz w:val="21"/>
                      <w:szCs w:val="21"/>
                    </w:rPr>
                    <w:t>《建设用砂》(GB/T14684</w:t>
                  </w:r>
                  <w:r>
                    <w:rPr>
                      <w:rFonts w:hint="eastAsia"/>
                      <w:sz w:val="21"/>
                      <w:szCs w:val="21"/>
                    </w:rPr>
                    <w:t>-2022</w:t>
                  </w: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5"/>
                  <w:tcBorders>
                    <w:tl2br w:val="nil"/>
                    <w:tr2bl w:val="nil"/>
                  </w:tcBorders>
                  <w:vAlign w:val="center"/>
                </w:tcPr>
                <w:p>
                  <w:pPr>
                    <w:widowControl/>
                    <w:adjustRightInd w:val="0"/>
                    <w:snapToGrid w:val="0"/>
                    <w:spacing w:line="240" w:lineRule="auto"/>
                    <w:rPr>
                      <w:sz w:val="21"/>
                      <w:szCs w:val="21"/>
                    </w:rPr>
                  </w:pPr>
                  <w:r>
                    <w:rPr>
                      <w:rFonts w:hint="eastAsia"/>
                      <w:sz w:val="21"/>
                      <w:szCs w:val="21"/>
                    </w:rPr>
                    <w:t>备注：破碎、筛分后</w:t>
                  </w:r>
                  <w:r>
                    <w:rPr>
                      <w:sz w:val="21"/>
                      <w:szCs w:val="21"/>
                    </w:rPr>
                    <w:t>0.075-4mm</w:t>
                  </w:r>
                  <w:r>
                    <w:rPr>
                      <w:rFonts w:hint="eastAsia"/>
                      <w:sz w:val="21"/>
                      <w:szCs w:val="21"/>
                    </w:rPr>
                    <w:t>砂石料经洗砂后得到产品砂料。</w:t>
                  </w:r>
                </w:p>
              </w:tc>
            </w:tr>
          </w:tbl>
          <w:p>
            <w:pPr>
              <w:pStyle w:val="32"/>
              <w:snapToGrid w:val="0"/>
              <w:ind w:firstLine="480" w:firstLineChars="200"/>
              <w:jc w:val="both"/>
              <w:rPr>
                <w:color w:val="0000FF"/>
              </w:rPr>
            </w:pPr>
            <w:r>
              <w:t>产品性能指标参照标准《建筑用砂》</w:t>
            </w:r>
            <w:r>
              <w:rPr>
                <w:rFonts w:hint="eastAsia"/>
                <w:bCs/>
                <w:szCs w:val="21"/>
              </w:rPr>
              <w:t>（GB/T 14684-2022）</w:t>
            </w:r>
            <w:r>
              <w:t>。</w:t>
            </w:r>
          </w:p>
          <w:p>
            <w:pPr>
              <w:pStyle w:val="30"/>
              <w:numPr>
                <w:ilvl w:val="1"/>
                <w:numId w:val="0"/>
              </w:numPr>
              <w:ind w:left="284"/>
            </w:pPr>
            <w:bookmarkStart w:id="22" w:name="_Toc68160353"/>
            <w:bookmarkStart w:id="23" w:name="_Toc9646"/>
            <w:r>
              <w:t>2.4项目主要设备及原辅材料消耗</w:t>
            </w:r>
            <w:bookmarkEnd w:id="22"/>
            <w:bookmarkEnd w:id="23"/>
          </w:p>
          <w:p>
            <w:pPr>
              <w:adjustRightInd w:val="0"/>
              <w:snapToGrid w:val="0"/>
              <w:ind w:firstLine="480" w:firstLineChars="200"/>
            </w:pPr>
            <w:r>
              <w:t>根据建设方提供的资料，项目主要设备见表2-3，项目原辅材料消耗见表2-4。</w:t>
            </w:r>
          </w:p>
          <w:p>
            <w:pPr>
              <w:adjustRightInd w:val="0"/>
              <w:snapToGrid w:val="0"/>
              <w:spacing w:line="240" w:lineRule="auto"/>
              <w:jc w:val="center"/>
              <w:rPr>
                <w:b/>
                <w:bCs/>
                <w:sz w:val="21"/>
                <w:szCs w:val="21"/>
              </w:rPr>
            </w:pPr>
            <w:r>
              <w:rPr>
                <w:b/>
                <w:bCs/>
                <w:sz w:val="21"/>
                <w:szCs w:val="21"/>
              </w:rPr>
              <w:t>表2-3 项目主要设备一览表（未使用限制和淘汰技术设备）</w:t>
            </w:r>
          </w:p>
          <w:tbl>
            <w:tblPr>
              <w:tblStyle w:val="22"/>
              <w:tblW w:w="4949"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306"/>
              <w:gridCol w:w="719"/>
              <w:gridCol w:w="1734"/>
              <w:gridCol w:w="1942"/>
              <w:gridCol w:w="979"/>
              <w:gridCol w:w="807"/>
              <w:gridCol w:w="80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1" w:hRule="atLeast"/>
                <w:jc w:val="center"/>
              </w:trPr>
              <w:tc>
                <w:tcPr>
                  <w:tcW w:w="787" w:type="pct"/>
                  <w:shd w:val="clear" w:color="auto" w:fill="auto"/>
                  <w:vAlign w:val="center"/>
                </w:tcPr>
                <w:p>
                  <w:pPr>
                    <w:spacing w:line="240" w:lineRule="auto"/>
                    <w:jc w:val="center"/>
                    <w:rPr>
                      <w:b/>
                      <w:bCs/>
                      <w:sz w:val="21"/>
                      <w:szCs w:val="21"/>
                    </w:rPr>
                  </w:pPr>
                  <w:r>
                    <w:rPr>
                      <w:b/>
                      <w:bCs/>
                      <w:sz w:val="21"/>
                      <w:szCs w:val="21"/>
                    </w:rPr>
                    <w:t>生产线</w:t>
                  </w:r>
                </w:p>
              </w:tc>
              <w:tc>
                <w:tcPr>
                  <w:tcW w:w="433" w:type="pct"/>
                </w:tcPr>
                <w:p>
                  <w:pPr>
                    <w:spacing w:line="240" w:lineRule="auto"/>
                    <w:jc w:val="center"/>
                    <w:rPr>
                      <w:b/>
                      <w:bCs/>
                      <w:sz w:val="21"/>
                      <w:szCs w:val="21"/>
                    </w:rPr>
                  </w:pPr>
                  <w:r>
                    <w:rPr>
                      <w:b/>
                      <w:bCs/>
                      <w:sz w:val="21"/>
                      <w:szCs w:val="21"/>
                    </w:rPr>
                    <w:t>序号</w:t>
                  </w:r>
                </w:p>
              </w:tc>
              <w:tc>
                <w:tcPr>
                  <w:tcW w:w="1045" w:type="pct"/>
                  <w:shd w:val="clear" w:color="auto" w:fill="auto"/>
                  <w:vAlign w:val="center"/>
                </w:tcPr>
                <w:p>
                  <w:pPr>
                    <w:spacing w:line="240" w:lineRule="auto"/>
                    <w:jc w:val="center"/>
                    <w:rPr>
                      <w:b/>
                      <w:bCs/>
                      <w:sz w:val="21"/>
                      <w:szCs w:val="21"/>
                    </w:rPr>
                  </w:pPr>
                  <w:r>
                    <w:rPr>
                      <w:b/>
                      <w:bCs/>
                      <w:sz w:val="21"/>
                      <w:szCs w:val="21"/>
                    </w:rPr>
                    <w:t>设备名称</w:t>
                  </w:r>
                </w:p>
              </w:tc>
              <w:tc>
                <w:tcPr>
                  <w:tcW w:w="1170" w:type="pct"/>
                  <w:shd w:val="clear" w:color="auto" w:fill="auto"/>
                  <w:vAlign w:val="center"/>
                </w:tcPr>
                <w:p>
                  <w:pPr>
                    <w:spacing w:line="240" w:lineRule="auto"/>
                    <w:jc w:val="center"/>
                    <w:rPr>
                      <w:b/>
                      <w:bCs/>
                      <w:sz w:val="21"/>
                      <w:szCs w:val="21"/>
                    </w:rPr>
                  </w:pPr>
                  <w:r>
                    <w:rPr>
                      <w:b/>
                      <w:bCs/>
                      <w:sz w:val="21"/>
                      <w:szCs w:val="21"/>
                    </w:rPr>
                    <w:t>型号/生产能力</w:t>
                  </w:r>
                </w:p>
              </w:tc>
              <w:tc>
                <w:tcPr>
                  <w:tcW w:w="590" w:type="pct"/>
                  <w:shd w:val="clear" w:color="auto" w:fill="auto"/>
                  <w:vAlign w:val="center"/>
                </w:tcPr>
                <w:p>
                  <w:pPr>
                    <w:spacing w:line="240" w:lineRule="auto"/>
                    <w:jc w:val="center"/>
                    <w:rPr>
                      <w:b/>
                      <w:bCs/>
                      <w:sz w:val="21"/>
                      <w:szCs w:val="21"/>
                    </w:rPr>
                  </w:pPr>
                  <w:r>
                    <w:rPr>
                      <w:b/>
                      <w:bCs/>
                      <w:sz w:val="21"/>
                      <w:szCs w:val="21"/>
                    </w:rPr>
                    <w:t>单位</w:t>
                  </w:r>
                </w:p>
              </w:tc>
              <w:tc>
                <w:tcPr>
                  <w:tcW w:w="486" w:type="pct"/>
                  <w:shd w:val="clear" w:color="auto" w:fill="auto"/>
                  <w:vAlign w:val="center"/>
                </w:tcPr>
                <w:p>
                  <w:pPr>
                    <w:spacing w:line="240" w:lineRule="auto"/>
                    <w:jc w:val="center"/>
                    <w:rPr>
                      <w:b/>
                      <w:bCs/>
                      <w:sz w:val="21"/>
                      <w:szCs w:val="21"/>
                    </w:rPr>
                  </w:pPr>
                  <w:r>
                    <w:rPr>
                      <w:b/>
                      <w:bCs/>
                      <w:sz w:val="21"/>
                      <w:szCs w:val="21"/>
                    </w:rPr>
                    <w:t>数量</w:t>
                  </w:r>
                </w:p>
              </w:tc>
              <w:tc>
                <w:tcPr>
                  <w:tcW w:w="486" w:type="pct"/>
                  <w:shd w:val="clear" w:color="auto" w:fill="auto"/>
                  <w:vAlign w:val="center"/>
                </w:tcPr>
                <w:p>
                  <w:pPr>
                    <w:spacing w:line="240" w:lineRule="auto"/>
                    <w:jc w:val="center"/>
                    <w:rPr>
                      <w:b/>
                      <w:bCs/>
                      <w:sz w:val="21"/>
                      <w:szCs w:val="21"/>
                    </w:rPr>
                  </w:pPr>
                  <w:r>
                    <w:rPr>
                      <w:rFonts w:hint="eastAsia"/>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6" w:hRule="atLeast"/>
                <w:jc w:val="center"/>
              </w:trPr>
              <w:tc>
                <w:tcPr>
                  <w:tcW w:w="787" w:type="pct"/>
                  <w:vMerge w:val="restart"/>
                  <w:shd w:val="clear" w:color="auto" w:fill="auto"/>
                  <w:vAlign w:val="center"/>
                </w:tcPr>
                <w:p>
                  <w:pPr>
                    <w:spacing w:line="240" w:lineRule="auto"/>
                    <w:jc w:val="center"/>
                    <w:rPr>
                      <w:sz w:val="21"/>
                      <w:szCs w:val="21"/>
                    </w:rPr>
                  </w:pPr>
                  <w:r>
                    <w:rPr>
                      <w:rFonts w:hint="eastAsia"/>
                      <w:sz w:val="21"/>
                      <w:szCs w:val="21"/>
                    </w:rPr>
                    <w:t>制砂生产线</w:t>
                  </w:r>
                </w:p>
              </w:tc>
              <w:tc>
                <w:tcPr>
                  <w:tcW w:w="433" w:type="pct"/>
                </w:tcPr>
                <w:p>
                  <w:pPr>
                    <w:spacing w:line="240" w:lineRule="auto"/>
                    <w:jc w:val="center"/>
                    <w:rPr>
                      <w:sz w:val="21"/>
                      <w:szCs w:val="21"/>
                    </w:rPr>
                  </w:pPr>
                  <w:r>
                    <w:rPr>
                      <w:rFonts w:hint="eastAsia"/>
                      <w:sz w:val="21"/>
                      <w:szCs w:val="21"/>
                    </w:rPr>
                    <w:t>1</w:t>
                  </w:r>
                </w:p>
              </w:tc>
              <w:tc>
                <w:tcPr>
                  <w:tcW w:w="1045" w:type="pct"/>
                  <w:shd w:val="clear" w:color="auto" w:fill="auto"/>
                  <w:vAlign w:val="center"/>
                </w:tcPr>
                <w:p>
                  <w:pPr>
                    <w:spacing w:line="240" w:lineRule="auto"/>
                    <w:ind w:firstLine="100"/>
                    <w:jc w:val="center"/>
                    <w:rPr>
                      <w:sz w:val="21"/>
                      <w:szCs w:val="21"/>
                    </w:rPr>
                  </w:pPr>
                  <w:r>
                    <w:rPr>
                      <w:rFonts w:hint="eastAsia"/>
                      <w:sz w:val="21"/>
                      <w:szCs w:val="21"/>
                    </w:rPr>
                    <w:t>喂料</w:t>
                  </w:r>
                  <w:r>
                    <w:rPr>
                      <w:sz w:val="21"/>
                      <w:szCs w:val="21"/>
                    </w:rPr>
                    <w:t>机</w:t>
                  </w:r>
                </w:p>
              </w:tc>
              <w:tc>
                <w:tcPr>
                  <w:tcW w:w="1170" w:type="pct"/>
                  <w:shd w:val="clear" w:color="auto" w:fill="auto"/>
                  <w:vAlign w:val="center"/>
                </w:tcPr>
                <w:p>
                  <w:pPr>
                    <w:spacing w:line="240" w:lineRule="auto"/>
                    <w:jc w:val="center"/>
                    <w:rPr>
                      <w:sz w:val="21"/>
                      <w:szCs w:val="21"/>
                    </w:rPr>
                  </w:pPr>
                  <w:r>
                    <w:rPr>
                      <w:rFonts w:hint="eastAsia"/>
                      <w:sz w:val="21"/>
                      <w:szCs w:val="21"/>
                    </w:rPr>
                    <w:t>11245</w:t>
                  </w:r>
                </w:p>
              </w:tc>
              <w:tc>
                <w:tcPr>
                  <w:tcW w:w="590" w:type="pct"/>
                  <w:shd w:val="clear" w:color="auto" w:fill="auto"/>
                  <w:vAlign w:val="center"/>
                </w:tcPr>
                <w:p>
                  <w:pPr>
                    <w:spacing w:line="240" w:lineRule="auto"/>
                    <w:jc w:val="center"/>
                    <w:rPr>
                      <w:sz w:val="21"/>
                      <w:szCs w:val="21"/>
                    </w:rPr>
                  </w:pPr>
                  <w:r>
                    <w:rPr>
                      <w:sz w:val="21"/>
                      <w:szCs w:val="21"/>
                    </w:rPr>
                    <w:t>台</w:t>
                  </w:r>
                </w:p>
              </w:tc>
              <w:tc>
                <w:tcPr>
                  <w:tcW w:w="486" w:type="pct"/>
                  <w:shd w:val="clear" w:color="auto" w:fill="auto"/>
                  <w:vAlign w:val="center"/>
                </w:tcPr>
                <w:p>
                  <w:pPr>
                    <w:spacing w:line="240" w:lineRule="auto"/>
                    <w:jc w:val="center"/>
                    <w:rPr>
                      <w:sz w:val="21"/>
                      <w:szCs w:val="21"/>
                    </w:rPr>
                  </w:pPr>
                  <w:r>
                    <w:rPr>
                      <w:sz w:val="21"/>
                      <w:szCs w:val="21"/>
                    </w:rPr>
                    <w:t>1</w:t>
                  </w:r>
                </w:p>
              </w:tc>
              <w:tc>
                <w:tcPr>
                  <w:tcW w:w="486" w:type="pct"/>
                  <w:shd w:val="clear" w:color="auto" w:fill="auto"/>
                  <w:vAlign w:val="center"/>
                </w:tcPr>
                <w:p>
                  <w:pPr>
                    <w:spacing w:line="240" w:lineRule="auto"/>
                    <w:jc w:val="center"/>
                    <w:rPr>
                      <w:sz w:val="21"/>
                      <w:szCs w:val="21"/>
                    </w:rPr>
                  </w:pPr>
                  <w:r>
                    <w:rPr>
                      <w:rFonts w:hint="eastAsia"/>
                      <w:sz w:val="21"/>
                      <w:szCs w:val="21"/>
                    </w:rPr>
                    <w:t>已有</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6" w:hRule="atLeast"/>
                <w:jc w:val="center"/>
              </w:trPr>
              <w:tc>
                <w:tcPr>
                  <w:tcW w:w="787" w:type="pct"/>
                  <w:vMerge w:val="continue"/>
                  <w:shd w:val="clear" w:color="auto" w:fill="auto"/>
                  <w:vAlign w:val="center"/>
                </w:tcPr>
                <w:p>
                  <w:pPr>
                    <w:spacing w:line="240" w:lineRule="auto"/>
                    <w:jc w:val="center"/>
                    <w:rPr>
                      <w:color w:val="0000FF"/>
                      <w:sz w:val="21"/>
                      <w:szCs w:val="21"/>
                    </w:rPr>
                  </w:pPr>
                </w:p>
              </w:tc>
              <w:tc>
                <w:tcPr>
                  <w:tcW w:w="433" w:type="pct"/>
                </w:tcPr>
                <w:p>
                  <w:pPr>
                    <w:spacing w:line="240" w:lineRule="auto"/>
                    <w:jc w:val="center"/>
                    <w:rPr>
                      <w:sz w:val="21"/>
                      <w:szCs w:val="21"/>
                    </w:rPr>
                  </w:pPr>
                  <w:r>
                    <w:rPr>
                      <w:rFonts w:hint="eastAsia"/>
                      <w:sz w:val="21"/>
                      <w:szCs w:val="21"/>
                    </w:rPr>
                    <w:t>2</w:t>
                  </w:r>
                </w:p>
              </w:tc>
              <w:tc>
                <w:tcPr>
                  <w:tcW w:w="1045" w:type="pct"/>
                  <w:shd w:val="clear" w:color="auto" w:fill="auto"/>
                  <w:vAlign w:val="center"/>
                </w:tcPr>
                <w:p>
                  <w:pPr>
                    <w:spacing w:line="240" w:lineRule="auto"/>
                    <w:ind w:firstLine="100"/>
                    <w:jc w:val="center"/>
                    <w:rPr>
                      <w:sz w:val="21"/>
                      <w:szCs w:val="21"/>
                    </w:rPr>
                  </w:pPr>
                  <w:r>
                    <w:rPr>
                      <w:rFonts w:hint="eastAsia"/>
                      <w:sz w:val="21"/>
                      <w:szCs w:val="21"/>
                    </w:rPr>
                    <w:t>鄂破机</w:t>
                  </w:r>
                </w:p>
              </w:tc>
              <w:tc>
                <w:tcPr>
                  <w:tcW w:w="1170" w:type="pct"/>
                  <w:shd w:val="clear" w:color="auto" w:fill="auto"/>
                  <w:vAlign w:val="center"/>
                </w:tcPr>
                <w:p>
                  <w:pPr>
                    <w:spacing w:line="240" w:lineRule="auto"/>
                    <w:jc w:val="center"/>
                    <w:rPr>
                      <w:sz w:val="21"/>
                      <w:szCs w:val="21"/>
                    </w:rPr>
                  </w:pPr>
                  <w:r>
                    <w:rPr>
                      <w:rFonts w:hint="eastAsia"/>
                      <w:sz w:val="21"/>
                      <w:szCs w:val="21"/>
                    </w:rPr>
                    <w:t>1060</w:t>
                  </w:r>
                </w:p>
              </w:tc>
              <w:tc>
                <w:tcPr>
                  <w:tcW w:w="590" w:type="pct"/>
                  <w:shd w:val="clear" w:color="auto" w:fill="auto"/>
                  <w:vAlign w:val="center"/>
                </w:tcPr>
                <w:p>
                  <w:pPr>
                    <w:spacing w:line="240" w:lineRule="auto"/>
                    <w:jc w:val="center"/>
                    <w:rPr>
                      <w:sz w:val="21"/>
                      <w:szCs w:val="21"/>
                    </w:rPr>
                  </w:pPr>
                  <w:r>
                    <w:rPr>
                      <w:sz w:val="21"/>
                      <w:szCs w:val="21"/>
                    </w:rPr>
                    <w:t>台</w:t>
                  </w:r>
                </w:p>
              </w:tc>
              <w:tc>
                <w:tcPr>
                  <w:tcW w:w="486" w:type="pct"/>
                  <w:shd w:val="clear" w:color="auto" w:fill="auto"/>
                  <w:vAlign w:val="center"/>
                </w:tcPr>
                <w:p>
                  <w:pPr>
                    <w:spacing w:line="240" w:lineRule="auto"/>
                    <w:jc w:val="center"/>
                    <w:rPr>
                      <w:sz w:val="21"/>
                      <w:szCs w:val="21"/>
                    </w:rPr>
                  </w:pPr>
                  <w:r>
                    <w:rPr>
                      <w:sz w:val="21"/>
                      <w:szCs w:val="21"/>
                    </w:rPr>
                    <w:t>1</w:t>
                  </w:r>
                </w:p>
              </w:tc>
              <w:tc>
                <w:tcPr>
                  <w:tcW w:w="486" w:type="pct"/>
                  <w:shd w:val="clear" w:color="auto" w:fill="auto"/>
                  <w:vAlign w:val="center"/>
                </w:tcPr>
                <w:p>
                  <w:pPr>
                    <w:spacing w:line="240" w:lineRule="auto"/>
                    <w:jc w:val="center"/>
                    <w:rPr>
                      <w:sz w:val="21"/>
                      <w:szCs w:val="21"/>
                    </w:rPr>
                  </w:pPr>
                  <w:r>
                    <w:rPr>
                      <w:rFonts w:hint="eastAsia"/>
                      <w:sz w:val="21"/>
                      <w:szCs w:val="21"/>
                    </w:rPr>
                    <w:t>已有</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6" w:hRule="atLeast"/>
                <w:jc w:val="center"/>
              </w:trPr>
              <w:tc>
                <w:tcPr>
                  <w:tcW w:w="787" w:type="pct"/>
                  <w:vMerge w:val="continue"/>
                  <w:shd w:val="clear" w:color="auto" w:fill="auto"/>
                  <w:vAlign w:val="center"/>
                </w:tcPr>
                <w:p>
                  <w:pPr>
                    <w:spacing w:line="240" w:lineRule="auto"/>
                    <w:jc w:val="center"/>
                    <w:rPr>
                      <w:color w:val="0000FF"/>
                      <w:sz w:val="21"/>
                      <w:szCs w:val="21"/>
                    </w:rPr>
                  </w:pPr>
                </w:p>
              </w:tc>
              <w:tc>
                <w:tcPr>
                  <w:tcW w:w="433" w:type="pct"/>
                </w:tcPr>
                <w:p>
                  <w:pPr>
                    <w:spacing w:line="240" w:lineRule="auto"/>
                    <w:jc w:val="center"/>
                    <w:rPr>
                      <w:sz w:val="21"/>
                      <w:szCs w:val="21"/>
                    </w:rPr>
                  </w:pPr>
                  <w:r>
                    <w:rPr>
                      <w:rFonts w:hint="eastAsia"/>
                      <w:sz w:val="21"/>
                      <w:szCs w:val="21"/>
                    </w:rPr>
                    <w:t>3</w:t>
                  </w:r>
                </w:p>
              </w:tc>
              <w:tc>
                <w:tcPr>
                  <w:tcW w:w="1045" w:type="pct"/>
                  <w:shd w:val="clear" w:color="auto" w:fill="auto"/>
                  <w:vAlign w:val="center"/>
                </w:tcPr>
                <w:p>
                  <w:pPr>
                    <w:spacing w:line="240" w:lineRule="auto"/>
                    <w:ind w:firstLine="100"/>
                    <w:jc w:val="center"/>
                    <w:rPr>
                      <w:sz w:val="21"/>
                      <w:szCs w:val="21"/>
                    </w:rPr>
                  </w:pPr>
                  <w:r>
                    <w:rPr>
                      <w:rFonts w:hint="eastAsia"/>
                      <w:sz w:val="21"/>
                      <w:szCs w:val="21"/>
                    </w:rPr>
                    <w:t>圆锥机</w:t>
                  </w:r>
                </w:p>
              </w:tc>
              <w:tc>
                <w:tcPr>
                  <w:tcW w:w="1170" w:type="pct"/>
                  <w:shd w:val="clear" w:color="auto" w:fill="auto"/>
                  <w:vAlign w:val="center"/>
                </w:tcPr>
                <w:p>
                  <w:pPr>
                    <w:spacing w:line="240" w:lineRule="auto"/>
                    <w:jc w:val="center"/>
                    <w:rPr>
                      <w:sz w:val="21"/>
                      <w:szCs w:val="21"/>
                    </w:rPr>
                  </w:pPr>
                  <w:r>
                    <w:rPr>
                      <w:rFonts w:hint="eastAsia"/>
                      <w:sz w:val="21"/>
                      <w:szCs w:val="21"/>
                    </w:rPr>
                    <w:t>PE1950</w:t>
                  </w:r>
                </w:p>
              </w:tc>
              <w:tc>
                <w:tcPr>
                  <w:tcW w:w="590" w:type="pct"/>
                  <w:shd w:val="clear" w:color="auto" w:fill="auto"/>
                  <w:vAlign w:val="center"/>
                </w:tcPr>
                <w:p>
                  <w:pPr>
                    <w:spacing w:line="240" w:lineRule="auto"/>
                    <w:jc w:val="center"/>
                    <w:rPr>
                      <w:sz w:val="21"/>
                      <w:szCs w:val="21"/>
                    </w:rPr>
                  </w:pPr>
                  <w:r>
                    <w:rPr>
                      <w:sz w:val="21"/>
                      <w:szCs w:val="21"/>
                    </w:rPr>
                    <w:t>台</w:t>
                  </w:r>
                </w:p>
              </w:tc>
              <w:tc>
                <w:tcPr>
                  <w:tcW w:w="486" w:type="pct"/>
                  <w:shd w:val="clear" w:color="auto" w:fill="auto"/>
                  <w:vAlign w:val="center"/>
                </w:tcPr>
                <w:p>
                  <w:pPr>
                    <w:spacing w:line="240" w:lineRule="auto"/>
                    <w:jc w:val="center"/>
                    <w:rPr>
                      <w:sz w:val="21"/>
                      <w:szCs w:val="21"/>
                    </w:rPr>
                  </w:pPr>
                  <w:r>
                    <w:rPr>
                      <w:sz w:val="21"/>
                      <w:szCs w:val="21"/>
                    </w:rPr>
                    <w:t>1</w:t>
                  </w:r>
                </w:p>
              </w:tc>
              <w:tc>
                <w:tcPr>
                  <w:tcW w:w="486" w:type="pct"/>
                  <w:shd w:val="clear" w:color="auto" w:fill="auto"/>
                  <w:vAlign w:val="center"/>
                </w:tcPr>
                <w:p>
                  <w:pPr>
                    <w:spacing w:line="240" w:lineRule="auto"/>
                    <w:jc w:val="center"/>
                    <w:rPr>
                      <w:sz w:val="21"/>
                      <w:szCs w:val="21"/>
                    </w:rPr>
                  </w:pPr>
                  <w:r>
                    <w:rPr>
                      <w:rFonts w:hint="eastAsia"/>
                      <w:sz w:val="21"/>
                      <w:szCs w:val="21"/>
                    </w:rPr>
                    <w:t>已有</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6" w:hRule="atLeast"/>
                <w:jc w:val="center"/>
              </w:trPr>
              <w:tc>
                <w:tcPr>
                  <w:tcW w:w="787" w:type="pct"/>
                  <w:vMerge w:val="continue"/>
                  <w:shd w:val="clear" w:color="auto" w:fill="auto"/>
                  <w:vAlign w:val="center"/>
                </w:tcPr>
                <w:p>
                  <w:pPr>
                    <w:spacing w:line="240" w:lineRule="auto"/>
                    <w:jc w:val="center"/>
                    <w:rPr>
                      <w:color w:val="0000FF"/>
                      <w:sz w:val="21"/>
                      <w:szCs w:val="21"/>
                    </w:rPr>
                  </w:pPr>
                </w:p>
              </w:tc>
              <w:tc>
                <w:tcPr>
                  <w:tcW w:w="433" w:type="pct"/>
                </w:tcPr>
                <w:p>
                  <w:pPr>
                    <w:spacing w:line="240" w:lineRule="auto"/>
                    <w:jc w:val="center"/>
                    <w:rPr>
                      <w:sz w:val="21"/>
                      <w:szCs w:val="21"/>
                    </w:rPr>
                  </w:pPr>
                  <w:r>
                    <w:rPr>
                      <w:rFonts w:hint="eastAsia"/>
                      <w:sz w:val="21"/>
                      <w:szCs w:val="21"/>
                    </w:rPr>
                    <w:t>4</w:t>
                  </w:r>
                </w:p>
              </w:tc>
              <w:tc>
                <w:tcPr>
                  <w:tcW w:w="1045" w:type="pct"/>
                  <w:shd w:val="clear" w:color="auto" w:fill="auto"/>
                  <w:vAlign w:val="center"/>
                </w:tcPr>
                <w:p>
                  <w:pPr>
                    <w:spacing w:line="240" w:lineRule="auto"/>
                    <w:ind w:firstLine="100"/>
                    <w:jc w:val="center"/>
                    <w:rPr>
                      <w:sz w:val="21"/>
                      <w:szCs w:val="21"/>
                    </w:rPr>
                  </w:pPr>
                  <w:r>
                    <w:rPr>
                      <w:rFonts w:hint="eastAsia"/>
                      <w:sz w:val="21"/>
                      <w:szCs w:val="21"/>
                    </w:rPr>
                    <w:t>对锟制砂机</w:t>
                  </w:r>
                </w:p>
              </w:tc>
              <w:tc>
                <w:tcPr>
                  <w:tcW w:w="1170" w:type="pct"/>
                  <w:shd w:val="clear" w:color="auto" w:fill="auto"/>
                  <w:vAlign w:val="center"/>
                </w:tcPr>
                <w:p>
                  <w:pPr>
                    <w:spacing w:line="240" w:lineRule="auto"/>
                    <w:jc w:val="center"/>
                    <w:rPr>
                      <w:sz w:val="21"/>
                      <w:szCs w:val="21"/>
                    </w:rPr>
                  </w:pPr>
                  <w:r>
                    <w:rPr>
                      <w:rFonts w:hint="eastAsia"/>
                      <w:sz w:val="21"/>
                      <w:szCs w:val="21"/>
                    </w:rPr>
                    <w:t>WXZ1150</w:t>
                  </w:r>
                </w:p>
              </w:tc>
              <w:tc>
                <w:tcPr>
                  <w:tcW w:w="590" w:type="pct"/>
                  <w:shd w:val="clear" w:color="auto" w:fill="auto"/>
                  <w:vAlign w:val="center"/>
                </w:tcPr>
                <w:p>
                  <w:pPr>
                    <w:spacing w:line="240" w:lineRule="auto"/>
                    <w:jc w:val="center"/>
                    <w:rPr>
                      <w:sz w:val="21"/>
                      <w:szCs w:val="21"/>
                    </w:rPr>
                  </w:pPr>
                  <w:r>
                    <w:rPr>
                      <w:rFonts w:hint="eastAsia"/>
                      <w:sz w:val="21"/>
                      <w:szCs w:val="21"/>
                    </w:rPr>
                    <w:t>台</w:t>
                  </w:r>
                </w:p>
              </w:tc>
              <w:tc>
                <w:tcPr>
                  <w:tcW w:w="486" w:type="pct"/>
                  <w:shd w:val="clear" w:color="auto" w:fill="auto"/>
                  <w:vAlign w:val="center"/>
                </w:tcPr>
                <w:p>
                  <w:pPr>
                    <w:spacing w:line="240" w:lineRule="auto"/>
                    <w:jc w:val="center"/>
                    <w:rPr>
                      <w:sz w:val="21"/>
                      <w:szCs w:val="21"/>
                    </w:rPr>
                  </w:pPr>
                  <w:r>
                    <w:rPr>
                      <w:rFonts w:hint="eastAsia"/>
                      <w:sz w:val="21"/>
                      <w:szCs w:val="21"/>
                    </w:rPr>
                    <w:t>2</w:t>
                  </w:r>
                </w:p>
              </w:tc>
              <w:tc>
                <w:tcPr>
                  <w:tcW w:w="486" w:type="pct"/>
                  <w:shd w:val="clear" w:color="auto" w:fill="auto"/>
                  <w:vAlign w:val="center"/>
                </w:tcPr>
                <w:p>
                  <w:pPr>
                    <w:spacing w:line="240" w:lineRule="auto"/>
                    <w:jc w:val="center"/>
                    <w:rPr>
                      <w:sz w:val="21"/>
                      <w:szCs w:val="21"/>
                    </w:rPr>
                  </w:pPr>
                  <w:r>
                    <w:rPr>
                      <w:rFonts w:hint="eastAsia"/>
                      <w:sz w:val="21"/>
                      <w:szCs w:val="21"/>
                    </w:rPr>
                    <w:t>已有</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6" w:hRule="atLeast"/>
                <w:jc w:val="center"/>
              </w:trPr>
              <w:tc>
                <w:tcPr>
                  <w:tcW w:w="787" w:type="pct"/>
                  <w:vMerge w:val="continue"/>
                  <w:shd w:val="clear" w:color="auto" w:fill="auto"/>
                  <w:vAlign w:val="center"/>
                </w:tcPr>
                <w:p>
                  <w:pPr>
                    <w:spacing w:line="240" w:lineRule="auto"/>
                    <w:jc w:val="center"/>
                    <w:rPr>
                      <w:color w:val="0000FF"/>
                      <w:sz w:val="21"/>
                      <w:szCs w:val="21"/>
                    </w:rPr>
                  </w:pPr>
                </w:p>
              </w:tc>
              <w:tc>
                <w:tcPr>
                  <w:tcW w:w="433" w:type="pct"/>
                </w:tcPr>
                <w:p>
                  <w:pPr>
                    <w:spacing w:line="240" w:lineRule="auto"/>
                    <w:jc w:val="center"/>
                    <w:rPr>
                      <w:sz w:val="21"/>
                      <w:szCs w:val="21"/>
                    </w:rPr>
                  </w:pPr>
                  <w:r>
                    <w:rPr>
                      <w:rFonts w:hint="eastAsia"/>
                      <w:sz w:val="21"/>
                      <w:szCs w:val="21"/>
                    </w:rPr>
                    <w:t>5</w:t>
                  </w:r>
                </w:p>
              </w:tc>
              <w:tc>
                <w:tcPr>
                  <w:tcW w:w="1045" w:type="pct"/>
                  <w:shd w:val="clear" w:color="auto" w:fill="auto"/>
                  <w:vAlign w:val="center"/>
                </w:tcPr>
                <w:p>
                  <w:pPr>
                    <w:spacing w:line="240" w:lineRule="auto"/>
                    <w:jc w:val="center"/>
                    <w:rPr>
                      <w:sz w:val="21"/>
                      <w:szCs w:val="21"/>
                    </w:rPr>
                  </w:pPr>
                  <w:r>
                    <w:rPr>
                      <w:sz w:val="21"/>
                      <w:szCs w:val="21"/>
                    </w:rPr>
                    <w:t>振动筛</w:t>
                  </w:r>
                </w:p>
              </w:tc>
              <w:tc>
                <w:tcPr>
                  <w:tcW w:w="1170" w:type="pct"/>
                  <w:shd w:val="clear" w:color="auto" w:fill="auto"/>
                  <w:vAlign w:val="center"/>
                </w:tcPr>
                <w:p>
                  <w:pPr>
                    <w:spacing w:line="240" w:lineRule="auto"/>
                    <w:jc w:val="center"/>
                    <w:rPr>
                      <w:sz w:val="21"/>
                      <w:szCs w:val="21"/>
                    </w:rPr>
                  </w:pPr>
                  <w:r>
                    <w:rPr>
                      <w:rFonts w:hint="eastAsia"/>
                      <w:sz w:val="21"/>
                      <w:szCs w:val="21"/>
                    </w:rPr>
                    <w:t>2Y3070</w:t>
                  </w:r>
                </w:p>
              </w:tc>
              <w:tc>
                <w:tcPr>
                  <w:tcW w:w="590" w:type="pct"/>
                  <w:shd w:val="clear" w:color="auto" w:fill="auto"/>
                  <w:vAlign w:val="center"/>
                </w:tcPr>
                <w:p>
                  <w:pPr>
                    <w:spacing w:line="240" w:lineRule="auto"/>
                    <w:jc w:val="center"/>
                    <w:rPr>
                      <w:sz w:val="21"/>
                      <w:szCs w:val="21"/>
                    </w:rPr>
                  </w:pPr>
                  <w:r>
                    <w:rPr>
                      <w:sz w:val="21"/>
                      <w:szCs w:val="21"/>
                    </w:rPr>
                    <w:t>台</w:t>
                  </w:r>
                </w:p>
              </w:tc>
              <w:tc>
                <w:tcPr>
                  <w:tcW w:w="486" w:type="pct"/>
                  <w:shd w:val="clear" w:color="auto" w:fill="auto"/>
                  <w:vAlign w:val="center"/>
                </w:tcPr>
                <w:p>
                  <w:pPr>
                    <w:spacing w:line="240" w:lineRule="auto"/>
                    <w:jc w:val="center"/>
                    <w:rPr>
                      <w:sz w:val="21"/>
                      <w:szCs w:val="21"/>
                    </w:rPr>
                  </w:pPr>
                  <w:r>
                    <w:rPr>
                      <w:rFonts w:hint="eastAsia"/>
                      <w:sz w:val="21"/>
                      <w:szCs w:val="21"/>
                    </w:rPr>
                    <w:t>2</w:t>
                  </w:r>
                </w:p>
              </w:tc>
              <w:tc>
                <w:tcPr>
                  <w:tcW w:w="486" w:type="pct"/>
                  <w:shd w:val="clear" w:color="auto" w:fill="auto"/>
                  <w:vAlign w:val="center"/>
                </w:tcPr>
                <w:p>
                  <w:pPr>
                    <w:spacing w:line="240" w:lineRule="auto"/>
                    <w:jc w:val="center"/>
                    <w:rPr>
                      <w:sz w:val="21"/>
                      <w:szCs w:val="21"/>
                    </w:rPr>
                  </w:pPr>
                  <w:r>
                    <w:rPr>
                      <w:rFonts w:hint="eastAsia"/>
                      <w:sz w:val="21"/>
                      <w:szCs w:val="21"/>
                    </w:rPr>
                    <w:t>已有</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6" w:hRule="atLeast"/>
                <w:jc w:val="center"/>
              </w:trPr>
              <w:tc>
                <w:tcPr>
                  <w:tcW w:w="787" w:type="pct"/>
                  <w:vMerge w:val="continue"/>
                  <w:shd w:val="clear" w:color="auto" w:fill="auto"/>
                  <w:vAlign w:val="center"/>
                </w:tcPr>
                <w:p>
                  <w:pPr>
                    <w:spacing w:line="240" w:lineRule="auto"/>
                    <w:jc w:val="center"/>
                    <w:rPr>
                      <w:color w:val="0000FF"/>
                      <w:sz w:val="21"/>
                      <w:szCs w:val="21"/>
                    </w:rPr>
                  </w:pPr>
                </w:p>
              </w:tc>
              <w:tc>
                <w:tcPr>
                  <w:tcW w:w="433" w:type="pct"/>
                </w:tcPr>
                <w:p>
                  <w:pPr>
                    <w:spacing w:line="240" w:lineRule="auto"/>
                    <w:jc w:val="center"/>
                    <w:rPr>
                      <w:sz w:val="21"/>
                      <w:szCs w:val="21"/>
                    </w:rPr>
                  </w:pPr>
                  <w:r>
                    <w:rPr>
                      <w:rFonts w:hint="eastAsia"/>
                      <w:sz w:val="21"/>
                      <w:szCs w:val="21"/>
                    </w:rPr>
                    <w:t>6</w:t>
                  </w:r>
                </w:p>
              </w:tc>
              <w:tc>
                <w:tcPr>
                  <w:tcW w:w="1045" w:type="pct"/>
                  <w:shd w:val="clear" w:color="auto" w:fill="auto"/>
                  <w:vAlign w:val="center"/>
                </w:tcPr>
                <w:p>
                  <w:pPr>
                    <w:spacing w:line="240" w:lineRule="auto"/>
                    <w:jc w:val="center"/>
                    <w:rPr>
                      <w:sz w:val="21"/>
                      <w:szCs w:val="21"/>
                    </w:rPr>
                  </w:pPr>
                  <w:r>
                    <w:rPr>
                      <w:rFonts w:hint="eastAsia"/>
                      <w:sz w:val="21"/>
                      <w:szCs w:val="21"/>
                    </w:rPr>
                    <w:t>皮带运输机</w:t>
                  </w:r>
                </w:p>
              </w:tc>
              <w:tc>
                <w:tcPr>
                  <w:tcW w:w="1170" w:type="pct"/>
                  <w:shd w:val="clear" w:color="auto" w:fill="auto"/>
                  <w:vAlign w:val="center"/>
                </w:tcPr>
                <w:p>
                  <w:pPr>
                    <w:spacing w:line="240" w:lineRule="auto"/>
                    <w:jc w:val="center"/>
                    <w:rPr>
                      <w:sz w:val="21"/>
                      <w:szCs w:val="21"/>
                    </w:rPr>
                  </w:pPr>
                  <w:r>
                    <w:rPr>
                      <w:rFonts w:hint="eastAsia"/>
                      <w:sz w:val="21"/>
                      <w:szCs w:val="21"/>
                    </w:rPr>
                    <w:t>/</w:t>
                  </w:r>
                </w:p>
              </w:tc>
              <w:tc>
                <w:tcPr>
                  <w:tcW w:w="590" w:type="pct"/>
                  <w:shd w:val="clear" w:color="auto" w:fill="auto"/>
                  <w:vAlign w:val="center"/>
                </w:tcPr>
                <w:p>
                  <w:pPr>
                    <w:spacing w:line="240" w:lineRule="auto"/>
                    <w:jc w:val="center"/>
                    <w:rPr>
                      <w:sz w:val="21"/>
                      <w:szCs w:val="21"/>
                    </w:rPr>
                  </w:pPr>
                  <w:r>
                    <w:rPr>
                      <w:sz w:val="21"/>
                      <w:szCs w:val="21"/>
                    </w:rPr>
                    <w:t>条</w:t>
                  </w:r>
                </w:p>
              </w:tc>
              <w:tc>
                <w:tcPr>
                  <w:tcW w:w="486" w:type="pct"/>
                  <w:shd w:val="clear" w:color="auto" w:fill="auto"/>
                  <w:vAlign w:val="center"/>
                </w:tcPr>
                <w:p>
                  <w:pPr>
                    <w:spacing w:line="240" w:lineRule="auto"/>
                    <w:jc w:val="center"/>
                    <w:rPr>
                      <w:sz w:val="21"/>
                      <w:szCs w:val="21"/>
                    </w:rPr>
                  </w:pPr>
                  <w:r>
                    <w:rPr>
                      <w:rFonts w:hint="eastAsia"/>
                      <w:sz w:val="21"/>
                      <w:szCs w:val="21"/>
                    </w:rPr>
                    <w:t>9</w:t>
                  </w:r>
                </w:p>
              </w:tc>
              <w:tc>
                <w:tcPr>
                  <w:tcW w:w="486" w:type="pct"/>
                  <w:shd w:val="clear" w:color="auto" w:fill="auto"/>
                  <w:vAlign w:val="center"/>
                </w:tcPr>
                <w:p>
                  <w:pPr>
                    <w:spacing w:line="240" w:lineRule="auto"/>
                    <w:jc w:val="center"/>
                    <w:rPr>
                      <w:sz w:val="21"/>
                      <w:szCs w:val="21"/>
                    </w:rPr>
                  </w:pPr>
                  <w:r>
                    <w:rPr>
                      <w:rFonts w:hint="eastAsia"/>
                      <w:sz w:val="21"/>
                      <w:szCs w:val="21"/>
                    </w:rPr>
                    <w:t>已有</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6" w:hRule="atLeast"/>
                <w:jc w:val="center"/>
              </w:trPr>
              <w:tc>
                <w:tcPr>
                  <w:tcW w:w="787" w:type="pct"/>
                  <w:vMerge w:val="continue"/>
                  <w:shd w:val="clear" w:color="auto" w:fill="auto"/>
                  <w:vAlign w:val="center"/>
                </w:tcPr>
                <w:p>
                  <w:pPr>
                    <w:spacing w:line="240" w:lineRule="auto"/>
                    <w:jc w:val="center"/>
                    <w:rPr>
                      <w:color w:val="0000FF"/>
                      <w:sz w:val="21"/>
                      <w:szCs w:val="21"/>
                    </w:rPr>
                  </w:pPr>
                </w:p>
              </w:tc>
              <w:tc>
                <w:tcPr>
                  <w:tcW w:w="433" w:type="pct"/>
                </w:tcPr>
                <w:p>
                  <w:pPr>
                    <w:spacing w:line="240" w:lineRule="auto"/>
                    <w:jc w:val="center"/>
                    <w:rPr>
                      <w:sz w:val="21"/>
                      <w:szCs w:val="21"/>
                    </w:rPr>
                  </w:pPr>
                  <w:r>
                    <w:rPr>
                      <w:rFonts w:hint="eastAsia"/>
                      <w:sz w:val="21"/>
                      <w:szCs w:val="21"/>
                    </w:rPr>
                    <w:t>7</w:t>
                  </w:r>
                </w:p>
              </w:tc>
              <w:tc>
                <w:tcPr>
                  <w:tcW w:w="1045" w:type="pct"/>
                  <w:shd w:val="clear" w:color="auto" w:fill="auto"/>
                  <w:vAlign w:val="center"/>
                </w:tcPr>
                <w:p>
                  <w:pPr>
                    <w:spacing w:line="240" w:lineRule="auto"/>
                    <w:jc w:val="center"/>
                    <w:rPr>
                      <w:sz w:val="21"/>
                      <w:szCs w:val="21"/>
                    </w:rPr>
                  </w:pPr>
                  <w:r>
                    <w:rPr>
                      <w:rFonts w:hint="eastAsia"/>
                      <w:sz w:val="21"/>
                      <w:szCs w:val="21"/>
                    </w:rPr>
                    <w:t>脱水筛</w:t>
                  </w:r>
                </w:p>
              </w:tc>
              <w:tc>
                <w:tcPr>
                  <w:tcW w:w="1170" w:type="pct"/>
                  <w:shd w:val="clear" w:color="auto" w:fill="auto"/>
                  <w:vAlign w:val="center"/>
                </w:tcPr>
                <w:p>
                  <w:pPr>
                    <w:spacing w:line="240" w:lineRule="auto"/>
                    <w:jc w:val="center"/>
                    <w:rPr>
                      <w:sz w:val="21"/>
                      <w:szCs w:val="21"/>
                    </w:rPr>
                  </w:pPr>
                  <w:r>
                    <w:rPr>
                      <w:rFonts w:hint="eastAsia"/>
                      <w:sz w:val="21"/>
                      <w:szCs w:val="21"/>
                    </w:rPr>
                    <w:t>2555</w:t>
                  </w:r>
                </w:p>
              </w:tc>
              <w:tc>
                <w:tcPr>
                  <w:tcW w:w="590" w:type="pct"/>
                  <w:shd w:val="clear" w:color="auto" w:fill="auto"/>
                  <w:vAlign w:val="center"/>
                </w:tcPr>
                <w:p>
                  <w:pPr>
                    <w:spacing w:line="240" w:lineRule="auto"/>
                    <w:jc w:val="center"/>
                    <w:rPr>
                      <w:sz w:val="21"/>
                      <w:szCs w:val="21"/>
                    </w:rPr>
                  </w:pPr>
                  <w:r>
                    <w:rPr>
                      <w:sz w:val="21"/>
                      <w:szCs w:val="21"/>
                    </w:rPr>
                    <w:t>台</w:t>
                  </w:r>
                </w:p>
              </w:tc>
              <w:tc>
                <w:tcPr>
                  <w:tcW w:w="486" w:type="pct"/>
                  <w:shd w:val="clear" w:color="auto" w:fill="auto"/>
                  <w:vAlign w:val="center"/>
                </w:tcPr>
                <w:p>
                  <w:pPr>
                    <w:spacing w:line="240" w:lineRule="auto"/>
                    <w:jc w:val="center"/>
                    <w:rPr>
                      <w:sz w:val="21"/>
                      <w:szCs w:val="21"/>
                    </w:rPr>
                  </w:pPr>
                  <w:r>
                    <w:rPr>
                      <w:sz w:val="21"/>
                      <w:szCs w:val="21"/>
                    </w:rPr>
                    <w:t>1</w:t>
                  </w:r>
                </w:p>
              </w:tc>
              <w:tc>
                <w:tcPr>
                  <w:tcW w:w="486" w:type="pct"/>
                  <w:shd w:val="clear" w:color="auto" w:fill="auto"/>
                  <w:vAlign w:val="center"/>
                </w:tcPr>
                <w:p>
                  <w:pPr>
                    <w:spacing w:line="240" w:lineRule="auto"/>
                    <w:jc w:val="center"/>
                    <w:rPr>
                      <w:sz w:val="21"/>
                      <w:szCs w:val="21"/>
                    </w:rPr>
                  </w:pPr>
                  <w:r>
                    <w:rPr>
                      <w:rFonts w:hint="eastAsia"/>
                      <w:sz w:val="21"/>
                      <w:szCs w:val="21"/>
                    </w:rPr>
                    <w:t>已有</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5" w:hRule="atLeast"/>
                <w:jc w:val="center"/>
              </w:trPr>
              <w:tc>
                <w:tcPr>
                  <w:tcW w:w="787" w:type="pct"/>
                  <w:vMerge w:val="continue"/>
                  <w:shd w:val="clear" w:color="auto" w:fill="auto"/>
                  <w:vAlign w:val="center"/>
                </w:tcPr>
                <w:p>
                  <w:pPr>
                    <w:spacing w:line="240" w:lineRule="auto"/>
                    <w:jc w:val="center"/>
                    <w:rPr>
                      <w:color w:val="0000FF"/>
                      <w:sz w:val="21"/>
                      <w:szCs w:val="21"/>
                    </w:rPr>
                  </w:pPr>
                </w:p>
              </w:tc>
              <w:tc>
                <w:tcPr>
                  <w:tcW w:w="433" w:type="pct"/>
                  <w:vAlign w:val="center"/>
                </w:tcPr>
                <w:p>
                  <w:pPr>
                    <w:spacing w:line="240" w:lineRule="auto"/>
                    <w:jc w:val="center"/>
                    <w:rPr>
                      <w:sz w:val="21"/>
                      <w:szCs w:val="21"/>
                    </w:rPr>
                  </w:pPr>
                  <w:r>
                    <w:rPr>
                      <w:rFonts w:hint="eastAsia"/>
                      <w:sz w:val="21"/>
                      <w:szCs w:val="21"/>
                    </w:rPr>
                    <w:t>8</w:t>
                  </w:r>
                </w:p>
              </w:tc>
              <w:tc>
                <w:tcPr>
                  <w:tcW w:w="1045" w:type="pct"/>
                  <w:shd w:val="clear" w:color="auto" w:fill="auto"/>
                  <w:vAlign w:val="center"/>
                </w:tcPr>
                <w:p>
                  <w:pPr>
                    <w:spacing w:line="240" w:lineRule="auto"/>
                    <w:jc w:val="center"/>
                    <w:rPr>
                      <w:sz w:val="21"/>
                      <w:szCs w:val="21"/>
                    </w:rPr>
                  </w:pPr>
                  <w:r>
                    <w:rPr>
                      <w:sz w:val="21"/>
                      <w:szCs w:val="21"/>
                    </w:rPr>
                    <w:t>洗砂机</w:t>
                  </w:r>
                </w:p>
              </w:tc>
              <w:tc>
                <w:tcPr>
                  <w:tcW w:w="1170" w:type="pct"/>
                  <w:shd w:val="clear" w:color="auto" w:fill="auto"/>
                  <w:vAlign w:val="center"/>
                </w:tcPr>
                <w:p>
                  <w:pPr>
                    <w:spacing w:line="240" w:lineRule="auto"/>
                    <w:jc w:val="center"/>
                    <w:rPr>
                      <w:sz w:val="21"/>
                      <w:szCs w:val="21"/>
                    </w:rPr>
                  </w:pPr>
                  <w:r>
                    <w:rPr>
                      <w:rFonts w:hint="eastAsia"/>
                      <w:sz w:val="21"/>
                      <w:szCs w:val="21"/>
                    </w:rPr>
                    <w:t>WXDX80</w:t>
                  </w:r>
                </w:p>
              </w:tc>
              <w:tc>
                <w:tcPr>
                  <w:tcW w:w="590" w:type="pct"/>
                  <w:shd w:val="clear" w:color="auto" w:fill="auto"/>
                  <w:vAlign w:val="center"/>
                </w:tcPr>
                <w:p>
                  <w:pPr>
                    <w:spacing w:line="240" w:lineRule="auto"/>
                    <w:jc w:val="center"/>
                    <w:rPr>
                      <w:sz w:val="21"/>
                      <w:szCs w:val="21"/>
                    </w:rPr>
                  </w:pPr>
                  <w:r>
                    <w:rPr>
                      <w:sz w:val="21"/>
                      <w:szCs w:val="21"/>
                    </w:rPr>
                    <w:t>台</w:t>
                  </w:r>
                </w:p>
              </w:tc>
              <w:tc>
                <w:tcPr>
                  <w:tcW w:w="486" w:type="pct"/>
                  <w:shd w:val="clear" w:color="auto" w:fill="auto"/>
                  <w:vAlign w:val="center"/>
                </w:tcPr>
                <w:p>
                  <w:pPr>
                    <w:spacing w:line="240" w:lineRule="auto"/>
                    <w:jc w:val="center"/>
                    <w:rPr>
                      <w:sz w:val="21"/>
                      <w:szCs w:val="21"/>
                    </w:rPr>
                  </w:pPr>
                  <w:r>
                    <w:rPr>
                      <w:rFonts w:hint="eastAsia"/>
                      <w:sz w:val="21"/>
                      <w:szCs w:val="21"/>
                    </w:rPr>
                    <w:t>2</w:t>
                  </w:r>
                </w:p>
              </w:tc>
              <w:tc>
                <w:tcPr>
                  <w:tcW w:w="486" w:type="pct"/>
                  <w:shd w:val="clear" w:color="auto" w:fill="auto"/>
                  <w:vAlign w:val="center"/>
                </w:tcPr>
                <w:p>
                  <w:pPr>
                    <w:spacing w:line="240" w:lineRule="auto"/>
                    <w:jc w:val="center"/>
                    <w:rPr>
                      <w:sz w:val="21"/>
                      <w:szCs w:val="21"/>
                    </w:rPr>
                  </w:pPr>
                  <w:r>
                    <w:rPr>
                      <w:rFonts w:hint="eastAsia"/>
                      <w:sz w:val="21"/>
                      <w:szCs w:val="21"/>
                    </w:rPr>
                    <w:t>已有</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6" w:hRule="atLeast"/>
                <w:jc w:val="center"/>
              </w:trPr>
              <w:tc>
                <w:tcPr>
                  <w:tcW w:w="787" w:type="pct"/>
                  <w:vMerge w:val="restart"/>
                  <w:shd w:val="clear" w:color="auto" w:fill="auto"/>
                  <w:vAlign w:val="center"/>
                </w:tcPr>
                <w:p>
                  <w:pPr>
                    <w:spacing w:line="240" w:lineRule="auto"/>
                    <w:jc w:val="center"/>
                    <w:rPr>
                      <w:sz w:val="21"/>
                      <w:szCs w:val="21"/>
                    </w:rPr>
                  </w:pPr>
                  <w:r>
                    <w:rPr>
                      <w:sz w:val="21"/>
                      <w:szCs w:val="21"/>
                    </w:rPr>
                    <w:t>环保设备</w:t>
                  </w:r>
                </w:p>
              </w:tc>
              <w:tc>
                <w:tcPr>
                  <w:tcW w:w="433" w:type="pct"/>
                </w:tcPr>
                <w:p>
                  <w:pPr>
                    <w:spacing w:line="240" w:lineRule="auto"/>
                    <w:jc w:val="center"/>
                    <w:rPr>
                      <w:sz w:val="21"/>
                      <w:szCs w:val="21"/>
                    </w:rPr>
                  </w:pPr>
                  <w:r>
                    <w:rPr>
                      <w:rFonts w:hint="eastAsia"/>
                      <w:sz w:val="21"/>
                      <w:szCs w:val="21"/>
                    </w:rPr>
                    <w:t>1</w:t>
                  </w:r>
                </w:p>
              </w:tc>
              <w:tc>
                <w:tcPr>
                  <w:tcW w:w="1045" w:type="pct"/>
                  <w:shd w:val="clear" w:color="auto" w:fill="auto"/>
                  <w:vAlign w:val="center"/>
                </w:tcPr>
                <w:p>
                  <w:pPr>
                    <w:spacing w:line="240" w:lineRule="auto"/>
                    <w:jc w:val="center"/>
                    <w:rPr>
                      <w:sz w:val="21"/>
                      <w:szCs w:val="21"/>
                    </w:rPr>
                  </w:pPr>
                  <w:r>
                    <w:rPr>
                      <w:sz w:val="21"/>
                      <w:szCs w:val="21"/>
                    </w:rPr>
                    <w:t>浓缩罐</w:t>
                  </w:r>
                </w:p>
              </w:tc>
              <w:tc>
                <w:tcPr>
                  <w:tcW w:w="1170" w:type="pct"/>
                  <w:shd w:val="clear" w:color="auto" w:fill="auto"/>
                  <w:vAlign w:val="center"/>
                </w:tcPr>
                <w:p>
                  <w:pPr>
                    <w:spacing w:line="240" w:lineRule="auto"/>
                    <w:jc w:val="center"/>
                    <w:rPr>
                      <w:sz w:val="21"/>
                      <w:szCs w:val="21"/>
                    </w:rPr>
                  </w:pPr>
                  <w:r>
                    <w:rPr>
                      <w:sz w:val="21"/>
                      <w:szCs w:val="21"/>
                    </w:rPr>
                    <w:t>/</w:t>
                  </w:r>
                </w:p>
              </w:tc>
              <w:tc>
                <w:tcPr>
                  <w:tcW w:w="590" w:type="pct"/>
                  <w:shd w:val="clear" w:color="auto" w:fill="auto"/>
                  <w:vAlign w:val="center"/>
                </w:tcPr>
                <w:p>
                  <w:pPr>
                    <w:spacing w:line="240" w:lineRule="auto"/>
                    <w:jc w:val="center"/>
                    <w:rPr>
                      <w:sz w:val="21"/>
                      <w:szCs w:val="21"/>
                    </w:rPr>
                  </w:pPr>
                  <w:r>
                    <w:rPr>
                      <w:sz w:val="21"/>
                      <w:szCs w:val="21"/>
                    </w:rPr>
                    <w:t>台</w:t>
                  </w:r>
                </w:p>
              </w:tc>
              <w:tc>
                <w:tcPr>
                  <w:tcW w:w="486" w:type="pct"/>
                  <w:shd w:val="clear" w:color="auto" w:fill="auto"/>
                  <w:vAlign w:val="center"/>
                </w:tcPr>
                <w:p>
                  <w:pPr>
                    <w:spacing w:line="240" w:lineRule="auto"/>
                    <w:jc w:val="center"/>
                    <w:rPr>
                      <w:sz w:val="21"/>
                      <w:szCs w:val="21"/>
                    </w:rPr>
                  </w:pPr>
                  <w:r>
                    <w:rPr>
                      <w:sz w:val="21"/>
                      <w:szCs w:val="21"/>
                    </w:rPr>
                    <w:t>1</w:t>
                  </w:r>
                </w:p>
              </w:tc>
              <w:tc>
                <w:tcPr>
                  <w:tcW w:w="486" w:type="pct"/>
                  <w:shd w:val="clear" w:color="auto" w:fill="auto"/>
                  <w:vAlign w:val="center"/>
                </w:tcPr>
                <w:p>
                  <w:pPr>
                    <w:spacing w:line="240" w:lineRule="auto"/>
                    <w:jc w:val="center"/>
                    <w:rPr>
                      <w:sz w:val="21"/>
                      <w:szCs w:val="21"/>
                    </w:rPr>
                  </w:pPr>
                  <w:r>
                    <w:rPr>
                      <w:rFonts w:hint="eastAsia"/>
                      <w:sz w:val="21"/>
                      <w:szCs w:val="21"/>
                    </w:rPr>
                    <w:t>已有</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6" w:hRule="atLeast"/>
                <w:jc w:val="center"/>
              </w:trPr>
              <w:tc>
                <w:tcPr>
                  <w:tcW w:w="787" w:type="pct"/>
                  <w:vMerge w:val="continue"/>
                  <w:shd w:val="clear" w:color="auto" w:fill="auto"/>
                  <w:vAlign w:val="center"/>
                </w:tcPr>
                <w:p>
                  <w:pPr>
                    <w:spacing w:line="240" w:lineRule="auto"/>
                    <w:jc w:val="center"/>
                    <w:rPr>
                      <w:sz w:val="21"/>
                      <w:szCs w:val="21"/>
                    </w:rPr>
                  </w:pPr>
                </w:p>
              </w:tc>
              <w:tc>
                <w:tcPr>
                  <w:tcW w:w="433" w:type="pct"/>
                </w:tcPr>
                <w:p>
                  <w:pPr>
                    <w:spacing w:line="240" w:lineRule="auto"/>
                    <w:jc w:val="center"/>
                    <w:rPr>
                      <w:sz w:val="21"/>
                      <w:szCs w:val="21"/>
                    </w:rPr>
                  </w:pPr>
                  <w:r>
                    <w:rPr>
                      <w:rFonts w:hint="eastAsia"/>
                      <w:sz w:val="21"/>
                      <w:szCs w:val="21"/>
                    </w:rPr>
                    <w:t>2</w:t>
                  </w:r>
                </w:p>
              </w:tc>
              <w:tc>
                <w:tcPr>
                  <w:tcW w:w="1045" w:type="pct"/>
                  <w:shd w:val="clear" w:color="auto" w:fill="auto"/>
                  <w:vAlign w:val="center"/>
                </w:tcPr>
                <w:p>
                  <w:pPr>
                    <w:spacing w:line="240" w:lineRule="auto"/>
                    <w:jc w:val="center"/>
                    <w:rPr>
                      <w:sz w:val="21"/>
                      <w:szCs w:val="21"/>
                    </w:rPr>
                  </w:pPr>
                  <w:r>
                    <w:rPr>
                      <w:rFonts w:hint="eastAsia"/>
                      <w:sz w:val="21"/>
                      <w:szCs w:val="21"/>
                    </w:rPr>
                    <w:t>板框</w:t>
                  </w:r>
                  <w:r>
                    <w:rPr>
                      <w:sz w:val="21"/>
                      <w:szCs w:val="21"/>
                    </w:rPr>
                    <w:t>压滤机</w:t>
                  </w:r>
                </w:p>
              </w:tc>
              <w:tc>
                <w:tcPr>
                  <w:tcW w:w="1170" w:type="pct"/>
                  <w:shd w:val="clear" w:color="auto" w:fill="auto"/>
                  <w:vAlign w:val="center"/>
                </w:tcPr>
                <w:p>
                  <w:pPr>
                    <w:spacing w:line="240" w:lineRule="auto"/>
                    <w:jc w:val="center"/>
                    <w:rPr>
                      <w:sz w:val="21"/>
                      <w:szCs w:val="21"/>
                    </w:rPr>
                  </w:pPr>
                </w:p>
              </w:tc>
              <w:tc>
                <w:tcPr>
                  <w:tcW w:w="590" w:type="pct"/>
                  <w:shd w:val="clear" w:color="auto" w:fill="auto"/>
                  <w:vAlign w:val="center"/>
                </w:tcPr>
                <w:p>
                  <w:pPr>
                    <w:spacing w:line="240" w:lineRule="auto"/>
                    <w:jc w:val="center"/>
                    <w:rPr>
                      <w:sz w:val="21"/>
                      <w:szCs w:val="21"/>
                    </w:rPr>
                  </w:pPr>
                  <w:r>
                    <w:rPr>
                      <w:sz w:val="21"/>
                      <w:szCs w:val="21"/>
                    </w:rPr>
                    <w:t>台</w:t>
                  </w:r>
                </w:p>
              </w:tc>
              <w:tc>
                <w:tcPr>
                  <w:tcW w:w="486" w:type="pct"/>
                  <w:shd w:val="clear" w:color="auto" w:fill="auto"/>
                  <w:vAlign w:val="center"/>
                </w:tcPr>
                <w:p>
                  <w:pPr>
                    <w:spacing w:line="240" w:lineRule="auto"/>
                    <w:jc w:val="center"/>
                    <w:rPr>
                      <w:sz w:val="21"/>
                      <w:szCs w:val="21"/>
                    </w:rPr>
                  </w:pPr>
                  <w:r>
                    <w:rPr>
                      <w:sz w:val="21"/>
                      <w:szCs w:val="21"/>
                    </w:rPr>
                    <w:t>1</w:t>
                  </w:r>
                </w:p>
              </w:tc>
              <w:tc>
                <w:tcPr>
                  <w:tcW w:w="486" w:type="pct"/>
                  <w:shd w:val="clear" w:color="auto" w:fill="auto"/>
                  <w:vAlign w:val="center"/>
                </w:tcPr>
                <w:p>
                  <w:pPr>
                    <w:spacing w:line="240" w:lineRule="auto"/>
                    <w:jc w:val="center"/>
                    <w:rPr>
                      <w:sz w:val="21"/>
                      <w:szCs w:val="21"/>
                    </w:rPr>
                  </w:pPr>
                  <w:r>
                    <w:rPr>
                      <w:rFonts w:hint="eastAsia"/>
                      <w:sz w:val="21"/>
                      <w:szCs w:val="21"/>
                    </w:rPr>
                    <w:t>已有</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6" w:hRule="atLeast"/>
                <w:jc w:val="center"/>
              </w:trPr>
              <w:tc>
                <w:tcPr>
                  <w:tcW w:w="787" w:type="pct"/>
                  <w:vMerge w:val="continue"/>
                  <w:shd w:val="clear" w:color="auto" w:fill="auto"/>
                  <w:vAlign w:val="center"/>
                </w:tcPr>
                <w:p>
                  <w:pPr>
                    <w:spacing w:line="240" w:lineRule="auto"/>
                    <w:jc w:val="center"/>
                    <w:rPr>
                      <w:sz w:val="21"/>
                      <w:szCs w:val="21"/>
                    </w:rPr>
                  </w:pPr>
                </w:p>
              </w:tc>
              <w:tc>
                <w:tcPr>
                  <w:tcW w:w="433" w:type="pct"/>
                </w:tcPr>
                <w:p>
                  <w:pPr>
                    <w:spacing w:line="240" w:lineRule="auto"/>
                    <w:jc w:val="center"/>
                    <w:rPr>
                      <w:sz w:val="21"/>
                      <w:szCs w:val="21"/>
                    </w:rPr>
                  </w:pPr>
                  <w:r>
                    <w:rPr>
                      <w:rFonts w:hint="eastAsia"/>
                      <w:sz w:val="21"/>
                      <w:szCs w:val="21"/>
                    </w:rPr>
                    <w:t>3</w:t>
                  </w:r>
                </w:p>
              </w:tc>
              <w:tc>
                <w:tcPr>
                  <w:tcW w:w="1045" w:type="pct"/>
                  <w:shd w:val="clear" w:color="auto" w:fill="auto"/>
                  <w:vAlign w:val="center"/>
                </w:tcPr>
                <w:p>
                  <w:pPr>
                    <w:spacing w:line="240" w:lineRule="auto"/>
                    <w:jc w:val="center"/>
                    <w:rPr>
                      <w:sz w:val="21"/>
                      <w:szCs w:val="21"/>
                    </w:rPr>
                  </w:pPr>
                  <w:r>
                    <w:rPr>
                      <w:sz w:val="21"/>
                      <w:szCs w:val="21"/>
                    </w:rPr>
                    <w:t>水泵</w:t>
                  </w:r>
                </w:p>
              </w:tc>
              <w:tc>
                <w:tcPr>
                  <w:tcW w:w="1170" w:type="pct"/>
                  <w:shd w:val="clear" w:color="auto" w:fill="auto"/>
                  <w:vAlign w:val="center"/>
                </w:tcPr>
                <w:p>
                  <w:pPr>
                    <w:spacing w:line="240" w:lineRule="auto"/>
                    <w:jc w:val="center"/>
                    <w:rPr>
                      <w:sz w:val="21"/>
                      <w:szCs w:val="21"/>
                    </w:rPr>
                  </w:pPr>
                  <w:r>
                    <w:rPr>
                      <w:sz w:val="21"/>
                      <w:szCs w:val="21"/>
                    </w:rPr>
                    <w:t>/</w:t>
                  </w:r>
                </w:p>
              </w:tc>
              <w:tc>
                <w:tcPr>
                  <w:tcW w:w="590" w:type="pct"/>
                  <w:shd w:val="clear" w:color="auto" w:fill="auto"/>
                  <w:vAlign w:val="center"/>
                </w:tcPr>
                <w:p>
                  <w:pPr>
                    <w:spacing w:line="240" w:lineRule="auto"/>
                    <w:jc w:val="center"/>
                    <w:rPr>
                      <w:sz w:val="21"/>
                      <w:szCs w:val="21"/>
                    </w:rPr>
                  </w:pPr>
                  <w:r>
                    <w:rPr>
                      <w:sz w:val="21"/>
                      <w:szCs w:val="21"/>
                    </w:rPr>
                    <w:t>台</w:t>
                  </w:r>
                </w:p>
              </w:tc>
              <w:tc>
                <w:tcPr>
                  <w:tcW w:w="486" w:type="pct"/>
                  <w:shd w:val="clear" w:color="auto" w:fill="auto"/>
                  <w:vAlign w:val="center"/>
                </w:tcPr>
                <w:p>
                  <w:pPr>
                    <w:spacing w:line="240" w:lineRule="auto"/>
                    <w:jc w:val="center"/>
                    <w:rPr>
                      <w:sz w:val="21"/>
                      <w:szCs w:val="21"/>
                    </w:rPr>
                  </w:pPr>
                  <w:r>
                    <w:rPr>
                      <w:rFonts w:hint="eastAsia"/>
                      <w:sz w:val="21"/>
                      <w:szCs w:val="21"/>
                    </w:rPr>
                    <w:t>1</w:t>
                  </w:r>
                </w:p>
              </w:tc>
              <w:tc>
                <w:tcPr>
                  <w:tcW w:w="486" w:type="pct"/>
                  <w:shd w:val="clear" w:color="auto" w:fill="auto"/>
                  <w:vAlign w:val="center"/>
                </w:tcPr>
                <w:p>
                  <w:pPr>
                    <w:spacing w:line="240" w:lineRule="auto"/>
                    <w:jc w:val="center"/>
                    <w:rPr>
                      <w:sz w:val="21"/>
                      <w:szCs w:val="21"/>
                    </w:rPr>
                  </w:pPr>
                  <w:r>
                    <w:rPr>
                      <w:rFonts w:hint="eastAsia"/>
                      <w:sz w:val="21"/>
                      <w:szCs w:val="21"/>
                    </w:rPr>
                    <w:t>已有</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6" w:hRule="atLeast"/>
                <w:jc w:val="center"/>
              </w:trPr>
              <w:tc>
                <w:tcPr>
                  <w:tcW w:w="787" w:type="pct"/>
                  <w:vMerge w:val="continue"/>
                  <w:shd w:val="clear" w:color="auto" w:fill="auto"/>
                  <w:vAlign w:val="center"/>
                </w:tcPr>
                <w:p>
                  <w:pPr>
                    <w:spacing w:line="240" w:lineRule="auto"/>
                    <w:jc w:val="center"/>
                    <w:rPr>
                      <w:sz w:val="21"/>
                      <w:szCs w:val="21"/>
                    </w:rPr>
                  </w:pPr>
                </w:p>
              </w:tc>
              <w:tc>
                <w:tcPr>
                  <w:tcW w:w="433" w:type="pct"/>
                </w:tcPr>
                <w:p>
                  <w:pPr>
                    <w:spacing w:line="240" w:lineRule="auto"/>
                    <w:jc w:val="center"/>
                    <w:rPr>
                      <w:sz w:val="21"/>
                      <w:szCs w:val="21"/>
                    </w:rPr>
                  </w:pPr>
                  <w:r>
                    <w:rPr>
                      <w:rFonts w:hint="eastAsia"/>
                      <w:sz w:val="21"/>
                      <w:szCs w:val="21"/>
                    </w:rPr>
                    <w:t>4</w:t>
                  </w:r>
                </w:p>
              </w:tc>
              <w:tc>
                <w:tcPr>
                  <w:tcW w:w="1045" w:type="pct"/>
                  <w:shd w:val="clear" w:color="auto" w:fill="auto"/>
                  <w:vAlign w:val="center"/>
                </w:tcPr>
                <w:p>
                  <w:pPr>
                    <w:spacing w:line="240" w:lineRule="auto"/>
                    <w:jc w:val="center"/>
                    <w:rPr>
                      <w:sz w:val="21"/>
                      <w:szCs w:val="21"/>
                    </w:rPr>
                  </w:pPr>
                  <w:r>
                    <w:rPr>
                      <w:sz w:val="21"/>
                      <w:szCs w:val="21"/>
                    </w:rPr>
                    <w:t>废水收集池</w:t>
                  </w:r>
                </w:p>
              </w:tc>
              <w:tc>
                <w:tcPr>
                  <w:tcW w:w="1170" w:type="pct"/>
                  <w:shd w:val="clear" w:color="auto" w:fill="auto"/>
                  <w:vAlign w:val="center"/>
                </w:tcPr>
                <w:p>
                  <w:pPr>
                    <w:spacing w:line="240" w:lineRule="auto"/>
                    <w:jc w:val="center"/>
                    <w:rPr>
                      <w:sz w:val="21"/>
                      <w:szCs w:val="21"/>
                    </w:rPr>
                  </w:pPr>
                  <w:r>
                    <w:rPr>
                      <w:sz w:val="21"/>
                      <w:szCs w:val="21"/>
                    </w:rPr>
                    <w:t>/</w:t>
                  </w:r>
                </w:p>
              </w:tc>
              <w:tc>
                <w:tcPr>
                  <w:tcW w:w="590" w:type="pct"/>
                  <w:shd w:val="clear" w:color="auto" w:fill="auto"/>
                  <w:vAlign w:val="center"/>
                </w:tcPr>
                <w:p>
                  <w:pPr>
                    <w:spacing w:line="240" w:lineRule="auto"/>
                    <w:jc w:val="center"/>
                    <w:rPr>
                      <w:sz w:val="21"/>
                      <w:szCs w:val="21"/>
                    </w:rPr>
                  </w:pPr>
                  <w:r>
                    <w:rPr>
                      <w:sz w:val="21"/>
                      <w:szCs w:val="21"/>
                    </w:rPr>
                    <w:t>座</w:t>
                  </w:r>
                </w:p>
              </w:tc>
              <w:tc>
                <w:tcPr>
                  <w:tcW w:w="486" w:type="pct"/>
                  <w:shd w:val="clear" w:color="auto" w:fill="auto"/>
                  <w:vAlign w:val="center"/>
                </w:tcPr>
                <w:p>
                  <w:pPr>
                    <w:spacing w:line="240" w:lineRule="auto"/>
                    <w:jc w:val="center"/>
                    <w:rPr>
                      <w:sz w:val="21"/>
                      <w:szCs w:val="21"/>
                    </w:rPr>
                  </w:pPr>
                  <w:r>
                    <w:rPr>
                      <w:sz w:val="21"/>
                      <w:szCs w:val="21"/>
                    </w:rPr>
                    <w:t>1</w:t>
                  </w:r>
                </w:p>
              </w:tc>
              <w:tc>
                <w:tcPr>
                  <w:tcW w:w="486" w:type="pct"/>
                  <w:shd w:val="clear" w:color="auto" w:fill="auto"/>
                  <w:vAlign w:val="center"/>
                </w:tcPr>
                <w:p>
                  <w:pPr>
                    <w:spacing w:line="240" w:lineRule="auto"/>
                    <w:jc w:val="center"/>
                    <w:rPr>
                      <w:sz w:val="21"/>
                      <w:szCs w:val="21"/>
                    </w:rPr>
                  </w:pPr>
                  <w:r>
                    <w:rPr>
                      <w:rFonts w:hint="eastAsia"/>
                      <w:sz w:val="21"/>
                      <w:szCs w:val="21"/>
                    </w:rPr>
                    <w:t>已有</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6" w:hRule="atLeast"/>
                <w:jc w:val="center"/>
              </w:trPr>
              <w:tc>
                <w:tcPr>
                  <w:tcW w:w="787" w:type="pct"/>
                  <w:vMerge w:val="continue"/>
                  <w:shd w:val="clear" w:color="auto" w:fill="auto"/>
                  <w:vAlign w:val="center"/>
                </w:tcPr>
                <w:p>
                  <w:pPr>
                    <w:spacing w:line="240" w:lineRule="auto"/>
                    <w:jc w:val="center"/>
                    <w:rPr>
                      <w:color w:val="0000FF"/>
                      <w:sz w:val="21"/>
                      <w:szCs w:val="21"/>
                    </w:rPr>
                  </w:pPr>
                </w:p>
              </w:tc>
              <w:tc>
                <w:tcPr>
                  <w:tcW w:w="433" w:type="pct"/>
                </w:tcPr>
                <w:p>
                  <w:pPr>
                    <w:spacing w:line="240" w:lineRule="auto"/>
                    <w:jc w:val="center"/>
                    <w:rPr>
                      <w:sz w:val="21"/>
                      <w:szCs w:val="21"/>
                    </w:rPr>
                  </w:pPr>
                  <w:r>
                    <w:rPr>
                      <w:rFonts w:hint="eastAsia"/>
                      <w:sz w:val="21"/>
                      <w:szCs w:val="21"/>
                    </w:rPr>
                    <w:t>5</w:t>
                  </w:r>
                </w:p>
              </w:tc>
              <w:tc>
                <w:tcPr>
                  <w:tcW w:w="1045" w:type="pct"/>
                  <w:shd w:val="clear" w:color="auto" w:fill="auto"/>
                  <w:vAlign w:val="center"/>
                </w:tcPr>
                <w:p>
                  <w:pPr>
                    <w:spacing w:line="240" w:lineRule="auto"/>
                    <w:jc w:val="center"/>
                    <w:rPr>
                      <w:sz w:val="21"/>
                      <w:szCs w:val="21"/>
                    </w:rPr>
                  </w:pPr>
                  <w:r>
                    <w:rPr>
                      <w:sz w:val="21"/>
                      <w:szCs w:val="21"/>
                    </w:rPr>
                    <w:t>清水池</w:t>
                  </w:r>
                </w:p>
              </w:tc>
              <w:tc>
                <w:tcPr>
                  <w:tcW w:w="1170" w:type="pct"/>
                  <w:shd w:val="clear" w:color="auto" w:fill="auto"/>
                  <w:vAlign w:val="center"/>
                </w:tcPr>
                <w:p>
                  <w:pPr>
                    <w:spacing w:line="240" w:lineRule="auto"/>
                    <w:jc w:val="center"/>
                    <w:rPr>
                      <w:sz w:val="21"/>
                      <w:szCs w:val="21"/>
                    </w:rPr>
                  </w:pPr>
                  <w:r>
                    <w:rPr>
                      <w:sz w:val="21"/>
                      <w:szCs w:val="21"/>
                    </w:rPr>
                    <w:t>/</w:t>
                  </w:r>
                </w:p>
              </w:tc>
              <w:tc>
                <w:tcPr>
                  <w:tcW w:w="590" w:type="pct"/>
                  <w:shd w:val="clear" w:color="auto" w:fill="auto"/>
                  <w:vAlign w:val="center"/>
                </w:tcPr>
                <w:p>
                  <w:pPr>
                    <w:spacing w:line="240" w:lineRule="auto"/>
                    <w:jc w:val="center"/>
                    <w:rPr>
                      <w:sz w:val="21"/>
                      <w:szCs w:val="21"/>
                    </w:rPr>
                  </w:pPr>
                  <w:r>
                    <w:rPr>
                      <w:sz w:val="21"/>
                      <w:szCs w:val="21"/>
                    </w:rPr>
                    <w:t>座</w:t>
                  </w:r>
                </w:p>
              </w:tc>
              <w:tc>
                <w:tcPr>
                  <w:tcW w:w="486" w:type="pct"/>
                  <w:shd w:val="clear" w:color="auto" w:fill="auto"/>
                  <w:vAlign w:val="center"/>
                </w:tcPr>
                <w:p>
                  <w:pPr>
                    <w:spacing w:line="240" w:lineRule="auto"/>
                    <w:jc w:val="center"/>
                    <w:rPr>
                      <w:sz w:val="21"/>
                      <w:szCs w:val="21"/>
                    </w:rPr>
                  </w:pPr>
                  <w:r>
                    <w:rPr>
                      <w:sz w:val="21"/>
                      <w:szCs w:val="21"/>
                    </w:rPr>
                    <w:t>1</w:t>
                  </w:r>
                </w:p>
              </w:tc>
              <w:tc>
                <w:tcPr>
                  <w:tcW w:w="486" w:type="pct"/>
                  <w:shd w:val="clear" w:color="auto" w:fill="auto"/>
                  <w:vAlign w:val="center"/>
                </w:tcPr>
                <w:p>
                  <w:pPr>
                    <w:spacing w:line="240" w:lineRule="auto"/>
                    <w:jc w:val="center"/>
                    <w:rPr>
                      <w:sz w:val="21"/>
                      <w:szCs w:val="21"/>
                    </w:rPr>
                  </w:pPr>
                  <w:r>
                    <w:rPr>
                      <w:rFonts w:hint="eastAsia"/>
                      <w:sz w:val="21"/>
                      <w:szCs w:val="21"/>
                    </w:rPr>
                    <w:t>已有</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787" w:type="pct"/>
                  <w:vMerge w:val="continue"/>
                  <w:shd w:val="clear" w:color="auto" w:fill="auto"/>
                  <w:vAlign w:val="center"/>
                </w:tcPr>
                <w:p>
                  <w:pPr>
                    <w:spacing w:line="240" w:lineRule="auto"/>
                    <w:jc w:val="center"/>
                    <w:rPr>
                      <w:color w:val="0000FF"/>
                      <w:sz w:val="21"/>
                      <w:szCs w:val="21"/>
                    </w:rPr>
                  </w:pPr>
                </w:p>
              </w:tc>
              <w:tc>
                <w:tcPr>
                  <w:tcW w:w="433" w:type="pct"/>
                </w:tcPr>
                <w:p>
                  <w:pPr>
                    <w:spacing w:line="240" w:lineRule="auto"/>
                    <w:jc w:val="center"/>
                    <w:rPr>
                      <w:sz w:val="21"/>
                      <w:szCs w:val="21"/>
                    </w:rPr>
                  </w:pPr>
                  <w:r>
                    <w:rPr>
                      <w:rFonts w:hint="eastAsia"/>
                      <w:sz w:val="21"/>
                      <w:szCs w:val="21"/>
                    </w:rPr>
                    <w:t>6</w:t>
                  </w:r>
                </w:p>
              </w:tc>
              <w:tc>
                <w:tcPr>
                  <w:tcW w:w="1045" w:type="pct"/>
                  <w:shd w:val="clear" w:color="auto" w:fill="auto"/>
                  <w:vAlign w:val="center"/>
                </w:tcPr>
                <w:p>
                  <w:pPr>
                    <w:spacing w:line="240" w:lineRule="auto"/>
                    <w:jc w:val="center"/>
                    <w:rPr>
                      <w:sz w:val="21"/>
                      <w:szCs w:val="21"/>
                    </w:rPr>
                  </w:pPr>
                  <w:r>
                    <w:rPr>
                      <w:sz w:val="21"/>
                      <w:szCs w:val="21"/>
                    </w:rPr>
                    <w:t>喷淋</w:t>
                  </w:r>
                  <w:r>
                    <w:rPr>
                      <w:rFonts w:hint="eastAsia"/>
                      <w:sz w:val="21"/>
                      <w:szCs w:val="21"/>
                    </w:rPr>
                    <w:t>抑尘</w:t>
                  </w:r>
                  <w:r>
                    <w:rPr>
                      <w:sz w:val="21"/>
                      <w:szCs w:val="21"/>
                    </w:rPr>
                    <w:t>设备</w:t>
                  </w:r>
                </w:p>
              </w:tc>
              <w:tc>
                <w:tcPr>
                  <w:tcW w:w="1170" w:type="pct"/>
                  <w:shd w:val="clear" w:color="auto" w:fill="auto"/>
                  <w:vAlign w:val="center"/>
                </w:tcPr>
                <w:p>
                  <w:pPr>
                    <w:spacing w:line="240" w:lineRule="auto"/>
                    <w:jc w:val="center"/>
                    <w:rPr>
                      <w:sz w:val="21"/>
                      <w:szCs w:val="21"/>
                    </w:rPr>
                  </w:pPr>
                  <w:r>
                    <w:rPr>
                      <w:sz w:val="21"/>
                      <w:szCs w:val="21"/>
                    </w:rPr>
                    <w:t>/</w:t>
                  </w:r>
                </w:p>
              </w:tc>
              <w:tc>
                <w:tcPr>
                  <w:tcW w:w="590" w:type="pct"/>
                  <w:shd w:val="clear" w:color="auto" w:fill="auto"/>
                  <w:vAlign w:val="center"/>
                </w:tcPr>
                <w:p>
                  <w:pPr>
                    <w:spacing w:line="240" w:lineRule="auto"/>
                    <w:jc w:val="center"/>
                    <w:rPr>
                      <w:sz w:val="21"/>
                      <w:szCs w:val="21"/>
                    </w:rPr>
                  </w:pPr>
                  <w:r>
                    <w:rPr>
                      <w:rFonts w:hint="eastAsia"/>
                      <w:sz w:val="21"/>
                      <w:szCs w:val="21"/>
                    </w:rPr>
                    <w:t>套</w:t>
                  </w:r>
                </w:p>
              </w:tc>
              <w:tc>
                <w:tcPr>
                  <w:tcW w:w="486" w:type="pct"/>
                  <w:shd w:val="clear" w:color="auto" w:fill="auto"/>
                  <w:vAlign w:val="center"/>
                </w:tcPr>
                <w:p>
                  <w:pPr>
                    <w:spacing w:line="240" w:lineRule="auto"/>
                    <w:jc w:val="center"/>
                    <w:rPr>
                      <w:sz w:val="21"/>
                      <w:szCs w:val="21"/>
                    </w:rPr>
                  </w:pPr>
                  <w:r>
                    <w:rPr>
                      <w:rFonts w:hint="eastAsia"/>
                      <w:sz w:val="21"/>
                      <w:szCs w:val="21"/>
                    </w:rPr>
                    <w:t>4</w:t>
                  </w:r>
                </w:p>
              </w:tc>
              <w:tc>
                <w:tcPr>
                  <w:tcW w:w="486" w:type="pct"/>
                  <w:shd w:val="clear" w:color="auto" w:fill="auto"/>
                  <w:vAlign w:val="center"/>
                </w:tcPr>
                <w:p>
                  <w:pPr>
                    <w:spacing w:line="240" w:lineRule="auto"/>
                    <w:jc w:val="center"/>
                    <w:rPr>
                      <w:sz w:val="21"/>
                      <w:szCs w:val="21"/>
                    </w:rPr>
                  </w:pPr>
                  <w:r>
                    <w:rPr>
                      <w:rFonts w:hint="eastAsia"/>
                      <w:sz w:val="21"/>
                      <w:szCs w:val="21"/>
                    </w:rPr>
                    <w:t>新增</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787" w:type="pct"/>
                  <w:vMerge w:val="continue"/>
                  <w:shd w:val="clear" w:color="auto" w:fill="auto"/>
                  <w:vAlign w:val="center"/>
                </w:tcPr>
                <w:p>
                  <w:pPr>
                    <w:spacing w:line="240" w:lineRule="auto"/>
                    <w:jc w:val="center"/>
                    <w:rPr>
                      <w:color w:val="0000FF"/>
                      <w:sz w:val="21"/>
                      <w:szCs w:val="21"/>
                    </w:rPr>
                  </w:pPr>
                </w:p>
              </w:tc>
              <w:tc>
                <w:tcPr>
                  <w:tcW w:w="433" w:type="pct"/>
                </w:tcPr>
                <w:p>
                  <w:pPr>
                    <w:spacing w:line="240" w:lineRule="auto"/>
                    <w:jc w:val="center"/>
                    <w:rPr>
                      <w:sz w:val="21"/>
                      <w:szCs w:val="21"/>
                    </w:rPr>
                  </w:pPr>
                  <w:r>
                    <w:rPr>
                      <w:rFonts w:hint="eastAsia"/>
                      <w:sz w:val="21"/>
                      <w:szCs w:val="21"/>
                    </w:rPr>
                    <w:t>7</w:t>
                  </w:r>
                </w:p>
              </w:tc>
              <w:tc>
                <w:tcPr>
                  <w:tcW w:w="1045" w:type="pct"/>
                  <w:shd w:val="clear" w:color="auto" w:fill="auto"/>
                  <w:vAlign w:val="center"/>
                </w:tcPr>
                <w:p>
                  <w:pPr>
                    <w:spacing w:line="240" w:lineRule="auto"/>
                    <w:jc w:val="center"/>
                    <w:rPr>
                      <w:sz w:val="21"/>
                      <w:szCs w:val="21"/>
                    </w:rPr>
                  </w:pPr>
                  <w:r>
                    <w:rPr>
                      <w:sz w:val="21"/>
                      <w:szCs w:val="21"/>
                    </w:rPr>
                    <w:t>洒水降尘设备</w:t>
                  </w:r>
                </w:p>
              </w:tc>
              <w:tc>
                <w:tcPr>
                  <w:tcW w:w="1170" w:type="pct"/>
                  <w:shd w:val="clear" w:color="auto" w:fill="auto"/>
                  <w:vAlign w:val="center"/>
                </w:tcPr>
                <w:p>
                  <w:pPr>
                    <w:spacing w:line="240" w:lineRule="auto"/>
                    <w:jc w:val="center"/>
                    <w:rPr>
                      <w:sz w:val="21"/>
                      <w:szCs w:val="21"/>
                    </w:rPr>
                  </w:pPr>
                  <w:r>
                    <w:rPr>
                      <w:sz w:val="21"/>
                      <w:szCs w:val="21"/>
                    </w:rPr>
                    <w:t>雾炮机</w:t>
                  </w:r>
                </w:p>
              </w:tc>
              <w:tc>
                <w:tcPr>
                  <w:tcW w:w="590" w:type="pct"/>
                  <w:shd w:val="clear" w:color="auto" w:fill="auto"/>
                  <w:vAlign w:val="center"/>
                </w:tcPr>
                <w:p>
                  <w:pPr>
                    <w:spacing w:line="240" w:lineRule="auto"/>
                    <w:jc w:val="center"/>
                    <w:rPr>
                      <w:sz w:val="21"/>
                      <w:szCs w:val="21"/>
                    </w:rPr>
                  </w:pPr>
                  <w:r>
                    <w:rPr>
                      <w:sz w:val="21"/>
                      <w:szCs w:val="21"/>
                    </w:rPr>
                    <w:t>台</w:t>
                  </w:r>
                </w:p>
              </w:tc>
              <w:tc>
                <w:tcPr>
                  <w:tcW w:w="486" w:type="pct"/>
                  <w:shd w:val="clear" w:color="auto" w:fill="auto"/>
                  <w:vAlign w:val="center"/>
                </w:tcPr>
                <w:p>
                  <w:pPr>
                    <w:spacing w:line="240" w:lineRule="auto"/>
                    <w:jc w:val="center"/>
                    <w:rPr>
                      <w:sz w:val="21"/>
                      <w:szCs w:val="21"/>
                    </w:rPr>
                  </w:pPr>
                  <w:r>
                    <w:rPr>
                      <w:sz w:val="21"/>
                      <w:szCs w:val="21"/>
                    </w:rPr>
                    <w:t>3</w:t>
                  </w:r>
                </w:p>
              </w:tc>
              <w:tc>
                <w:tcPr>
                  <w:tcW w:w="486" w:type="pct"/>
                  <w:shd w:val="clear" w:color="auto" w:fill="auto"/>
                  <w:vAlign w:val="center"/>
                </w:tcPr>
                <w:p>
                  <w:pPr>
                    <w:spacing w:line="240" w:lineRule="auto"/>
                    <w:jc w:val="center"/>
                    <w:rPr>
                      <w:sz w:val="21"/>
                      <w:szCs w:val="21"/>
                    </w:rPr>
                  </w:pPr>
                  <w:r>
                    <w:rPr>
                      <w:rFonts w:hint="eastAsia"/>
                      <w:sz w:val="21"/>
                      <w:szCs w:val="21"/>
                    </w:rPr>
                    <w:t>新增</w:t>
                  </w:r>
                </w:p>
              </w:tc>
            </w:tr>
          </w:tbl>
          <w:p>
            <w:pPr>
              <w:adjustRightInd w:val="0"/>
              <w:snapToGrid w:val="0"/>
              <w:ind w:firstLine="480" w:firstLineChars="200"/>
              <w:rPr>
                <w:lang w:val="de-DE"/>
              </w:rPr>
            </w:pPr>
            <w:r>
              <w:rPr>
                <w:lang w:val="de-DE"/>
              </w:rPr>
              <w:t>对照《产业结构调整指导目录》（20</w:t>
            </w:r>
            <w:r>
              <w:rPr>
                <w:rFonts w:hint="eastAsia"/>
                <w:lang w:val="en-US" w:eastAsia="zh-CN"/>
              </w:rPr>
              <w:t>24年本）</w:t>
            </w:r>
            <w:r>
              <w:rPr>
                <w:lang w:val="de-DE"/>
              </w:rPr>
              <w:t>、《部分工业行业淘汰落后生产工艺装备和产品指导目录（2010年本）》等，公司厂区内生产设备中不涉及国家明令淘汰的设备。</w:t>
            </w:r>
          </w:p>
          <w:p>
            <w:pPr>
              <w:adjustRightInd w:val="0"/>
              <w:snapToGrid w:val="0"/>
              <w:spacing w:line="240" w:lineRule="auto"/>
              <w:jc w:val="center"/>
            </w:pPr>
            <w:r>
              <w:rPr>
                <w:b/>
                <w:bCs/>
                <w:sz w:val="21"/>
                <w:szCs w:val="21"/>
              </w:rPr>
              <w:t>表2-4 项目原辅材料消耗一览表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6"/>
              <w:gridCol w:w="630"/>
              <w:gridCol w:w="1462"/>
              <w:gridCol w:w="1634"/>
              <w:gridCol w:w="1033"/>
              <w:gridCol w:w="940"/>
              <w:gridCol w:w="1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791" w:type="dxa"/>
                  <w:gridSpan w:val="2"/>
                  <w:vAlign w:val="center"/>
                </w:tcPr>
                <w:p>
                  <w:pPr>
                    <w:adjustRightInd w:val="0"/>
                    <w:snapToGrid w:val="0"/>
                    <w:spacing w:line="240" w:lineRule="auto"/>
                    <w:jc w:val="center"/>
                    <w:rPr>
                      <w:b/>
                      <w:bCs/>
                      <w:sz w:val="21"/>
                      <w:szCs w:val="21"/>
                    </w:rPr>
                  </w:pPr>
                  <w:r>
                    <w:rPr>
                      <w:b/>
                      <w:bCs/>
                      <w:sz w:val="21"/>
                      <w:szCs w:val="21"/>
                    </w:rPr>
                    <w:t>项目</w:t>
                  </w:r>
                </w:p>
              </w:tc>
              <w:tc>
                <w:tcPr>
                  <w:tcW w:w="1493" w:type="dxa"/>
                  <w:vAlign w:val="center"/>
                </w:tcPr>
                <w:p>
                  <w:pPr>
                    <w:adjustRightInd w:val="0"/>
                    <w:snapToGrid w:val="0"/>
                    <w:spacing w:line="240" w:lineRule="auto"/>
                    <w:jc w:val="center"/>
                    <w:rPr>
                      <w:b/>
                      <w:bCs/>
                      <w:sz w:val="21"/>
                      <w:szCs w:val="21"/>
                    </w:rPr>
                  </w:pPr>
                  <w:r>
                    <w:rPr>
                      <w:b/>
                      <w:bCs/>
                      <w:sz w:val="21"/>
                      <w:szCs w:val="21"/>
                    </w:rPr>
                    <w:t>名称</w:t>
                  </w:r>
                </w:p>
              </w:tc>
              <w:tc>
                <w:tcPr>
                  <w:tcW w:w="1585" w:type="dxa"/>
                  <w:vAlign w:val="center"/>
                </w:tcPr>
                <w:p>
                  <w:pPr>
                    <w:adjustRightInd w:val="0"/>
                    <w:snapToGrid w:val="0"/>
                    <w:spacing w:line="240" w:lineRule="auto"/>
                    <w:jc w:val="center"/>
                    <w:rPr>
                      <w:b/>
                      <w:bCs/>
                      <w:sz w:val="21"/>
                      <w:szCs w:val="21"/>
                    </w:rPr>
                  </w:pPr>
                  <w:r>
                    <w:rPr>
                      <w:b/>
                      <w:bCs/>
                      <w:sz w:val="21"/>
                      <w:szCs w:val="21"/>
                    </w:rPr>
                    <w:t>数量</w:t>
                  </w:r>
                </w:p>
              </w:tc>
              <w:tc>
                <w:tcPr>
                  <w:tcW w:w="960" w:type="dxa"/>
                  <w:vAlign w:val="center"/>
                </w:tcPr>
                <w:p>
                  <w:pPr>
                    <w:adjustRightInd w:val="0"/>
                    <w:snapToGrid w:val="0"/>
                    <w:spacing w:line="240" w:lineRule="auto"/>
                    <w:jc w:val="center"/>
                    <w:rPr>
                      <w:b/>
                      <w:bCs/>
                      <w:sz w:val="21"/>
                      <w:szCs w:val="21"/>
                    </w:rPr>
                  </w:pPr>
                  <w:r>
                    <w:rPr>
                      <w:rFonts w:hint="eastAsia"/>
                      <w:b/>
                      <w:bCs/>
                      <w:sz w:val="21"/>
                      <w:szCs w:val="21"/>
                    </w:rPr>
                    <w:t>最大暂存量</w:t>
                  </w:r>
                </w:p>
              </w:tc>
              <w:tc>
                <w:tcPr>
                  <w:tcW w:w="960" w:type="dxa"/>
                  <w:vAlign w:val="center"/>
                </w:tcPr>
                <w:p>
                  <w:pPr>
                    <w:adjustRightInd w:val="0"/>
                    <w:snapToGrid w:val="0"/>
                    <w:spacing w:line="240" w:lineRule="auto"/>
                    <w:jc w:val="center"/>
                    <w:rPr>
                      <w:b/>
                      <w:bCs/>
                      <w:sz w:val="21"/>
                      <w:szCs w:val="21"/>
                    </w:rPr>
                  </w:pPr>
                  <w:r>
                    <w:rPr>
                      <w:b/>
                      <w:bCs/>
                      <w:sz w:val="21"/>
                      <w:szCs w:val="21"/>
                    </w:rPr>
                    <w:t>用途</w:t>
                  </w:r>
                </w:p>
              </w:tc>
              <w:tc>
                <w:tcPr>
                  <w:tcW w:w="1587" w:type="dxa"/>
                  <w:vAlign w:val="center"/>
                </w:tcPr>
                <w:p>
                  <w:pPr>
                    <w:adjustRightInd w:val="0"/>
                    <w:snapToGrid w:val="0"/>
                    <w:spacing w:line="240" w:lineRule="auto"/>
                    <w:jc w:val="center"/>
                    <w:rPr>
                      <w:b/>
                      <w:bCs/>
                      <w:sz w:val="21"/>
                      <w:szCs w:val="21"/>
                    </w:rPr>
                  </w:pPr>
                  <w:r>
                    <w:rPr>
                      <w:b/>
                      <w:bCs/>
                      <w:sz w:val="21"/>
                      <w:szCs w:val="21"/>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153" w:type="dxa"/>
                  <w:vAlign w:val="center"/>
                </w:tcPr>
                <w:p>
                  <w:pPr>
                    <w:adjustRightInd w:val="0"/>
                    <w:snapToGrid w:val="0"/>
                    <w:spacing w:line="240" w:lineRule="auto"/>
                    <w:jc w:val="center"/>
                    <w:rPr>
                      <w:sz w:val="21"/>
                      <w:szCs w:val="21"/>
                    </w:rPr>
                  </w:pPr>
                  <w:r>
                    <w:rPr>
                      <w:rFonts w:hint="eastAsia"/>
                      <w:sz w:val="21"/>
                      <w:szCs w:val="21"/>
                    </w:rPr>
                    <w:t>制砂</w:t>
                  </w:r>
                  <w:r>
                    <w:rPr>
                      <w:sz w:val="21"/>
                      <w:szCs w:val="21"/>
                    </w:rPr>
                    <w:t>生产线</w:t>
                  </w:r>
                </w:p>
              </w:tc>
              <w:tc>
                <w:tcPr>
                  <w:tcW w:w="638" w:type="dxa"/>
                  <w:shd w:val="clear" w:color="auto" w:fill="auto"/>
                  <w:vAlign w:val="center"/>
                </w:tcPr>
                <w:p>
                  <w:pPr>
                    <w:adjustRightInd w:val="0"/>
                    <w:snapToGrid w:val="0"/>
                    <w:spacing w:line="240" w:lineRule="auto"/>
                    <w:jc w:val="center"/>
                    <w:rPr>
                      <w:sz w:val="21"/>
                      <w:szCs w:val="21"/>
                    </w:rPr>
                  </w:pPr>
                  <w:r>
                    <w:rPr>
                      <w:sz w:val="21"/>
                      <w:szCs w:val="21"/>
                    </w:rPr>
                    <w:t>原料</w:t>
                  </w:r>
                </w:p>
              </w:tc>
              <w:tc>
                <w:tcPr>
                  <w:tcW w:w="1493" w:type="dxa"/>
                  <w:vAlign w:val="center"/>
                </w:tcPr>
                <w:p>
                  <w:pPr>
                    <w:adjustRightInd w:val="0"/>
                    <w:snapToGrid w:val="0"/>
                    <w:spacing w:line="240" w:lineRule="auto"/>
                    <w:jc w:val="center"/>
                    <w:rPr>
                      <w:sz w:val="21"/>
                      <w:szCs w:val="21"/>
                    </w:rPr>
                  </w:pPr>
                  <w:r>
                    <w:rPr>
                      <w:rFonts w:hint="eastAsia"/>
                      <w:sz w:val="21"/>
                      <w:szCs w:val="21"/>
                    </w:rPr>
                    <w:t>鹅卵石</w:t>
                  </w:r>
                </w:p>
              </w:tc>
              <w:tc>
                <w:tcPr>
                  <w:tcW w:w="1585" w:type="dxa"/>
                  <w:vAlign w:val="center"/>
                </w:tcPr>
                <w:p>
                  <w:pPr>
                    <w:spacing w:line="240" w:lineRule="auto"/>
                    <w:jc w:val="center"/>
                    <w:rPr>
                      <w:sz w:val="21"/>
                      <w:szCs w:val="21"/>
                    </w:rPr>
                  </w:pPr>
                  <w:r>
                    <w:rPr>
                      <w:rFonts w:hint="eastAsia"/>
                      <w:sz w:val="21"/>
                      <w:szCs w:val="21"/>
                    </w:rPr>
                    <w:t>1250000</w:t>
                  </w:r>
                  <w:r>
                    <w:rPr>
                      <w:sz w:val="21"/>
                      <w:szCs w:val="21"/>
                    </w:rPr>
                    <w:t>t/a</w:t>
                  </w:r>
                </w:p>
              </w:tc>
              <w:tc>
                <w:tcPr>
                  <w:tcW w:w="960" w:type="dxa"/>
                  <w:shd w:val="clear" w:color="auto" w:fill="auto"/>
                  <w:vAlign w:val="center"/>
                </w:tcPr>
                <w:p>
                  <w:pPr>
                    <w:spacing w:line="240" w:lineRule="auto"/>
                    <w:jc w:val="center"/>
                    <w:rPr>
                      <w:sz w:val="21"/>
                      <w:szCs w:val="21"/>
                    </w:rPr>
                  </w:pPr>
                  <w:r>
                    <w:rPr>
                      <w:rFonts w:hint="eastAsia"/>
                      <w:sz w:val="21"/>
                      <w:szCs w:val="21"/>
                    </w:rPr>
                    <w:t>1000</w:t>
                  </w:r>
                  <w:r>
                    <w:rPr>
                      <w:sz w:val="21"/>
                      <w:szCs w:val="21"/>
                    </w:rPr>
                    <w:t>t/a</w:t>
                  </w:r>
                </w:p>
              </w:tc>
              <w:tc>
                <w:tcPr>
                  <w:tcW w:w="960" w:type="dxa"/>
                  <w:shd w:val="clear" w:color="auto" w:fill="auto"/>
                  <w:vAlign w:val="center"/>
                </w:tcPr>
                <w:p>
                  <w:pPr>
                    <w:adjustRightInd w:val="0"/>
                    <w:snapToGrid w:val="0"/>
                    <w:spacing w:line="240" w:lineRule="auto"/>
                    <w:jc w:val="center"/>
                    <w:rPr>
                      <w:sz w:val="21"/>
                      <w:szCs w:val="21"/>
                    </w:rPr>
                  </w:pPr>
                  <w:r>
                    <w:rPr>
                      <w:sz w:val="21"/>
                      <w:szCs w:val="21"/>
                    </w:rPr>
                    <w:t>砂石原料</w:t>
                  </w:r>
                </w:p>
              </w:tc>
              <w:tc>
                <w:tcPr>
                  <w:tcW w:w="1587" w:type="dxa"/>
                  <w:shd w:val="clear" w:color="auto" w:fill="auto"/>
                  <w:vAlign w:val="center"/>
                </w:tcPr>
                <w:p>
                  <w:pPr>
                    <w:adjustRightInd w:val="0"/>
                    <w:snapToGrid w:val="0"/>
                    <w:spacing w:line="240" w:lineRule="auto"/>
                    <w:jc w:val="center"/>
                    <w:rPr>
                      <w:color w:val="0000FF"/>
                      <w:sz w:val="21"/>
                      <w:szCs w:val="21"/>
                    </w:rPr>
                  </w:pPr>
                  <w:r>
                    <w:rPr>
                      <w:rFonts w:hint="default" w:ascii="Times New Roman" w:hAnsi="Times New Roman" w:eastAsia="宋体" w:cs="Times New Roman"/>
                      <w:sz w:val="21"/>
                      <w:szCs w:val="21"/>
                      <w:u w:val="single"/>
                    </w:rPr>
                    <w:t>辰溪博雅中学沅水尾堆清理</w:t>
                  </w:r>
                  <w:r>
                    <w:rPr>
                      <w:rFonts w:hint="default"/>
                      <w:sz w:val="21"/>
                      <w:szCs w:val="21"/>
                      <w:u w:val="single"/>
                      <w:lang w:val="en-US" w:eastAsia="zh-CN"/>
                    </w:rPr>
                    <w:t>弃渣点</w:t>
                  </w:r>
                  <w:r>
                    <w:rPr>
                      <w:rFonts w:hint="default" w:ascii="Times New Roman" w:hAnsi="Times New Roman" w:eastAsia="宋体" w:cs="Times New Roman"/>
                      <w:sz w:val="21"/>
                      <w:szCs w:val="21"/>
                      <w:u w:val="single"/>
                      <w:lang w:eastAsia="zh-CN"/>
                    </w:rPr>
                    <w:t>、沅水洪江至辰溪航道建设工程</w:t>
                  </w:r>
                  <w:r>
                    <w:rPr>
                      <w:rFonts w:hint="default" w:ascii="Times New Roman" w:hAnsi="Times New Roman" w:eastAsia="宋体" w:cs="Times New Roman"/>
                      <w:sz w:val="21"/>
                      <w:szCs w:val="21"/>
                      <w:u w:val="single"/>
                    </w:rPr>
                    <w:t>产生的鹅卵石</w:t>
                  </w:r>
                  <w:r>
                    <w:rPr>
                      <w:rFonts w:hint="default" w:ascii="Times New Roman" w:hAnsi="Times New Roman" w:eastAsia="宋体" w:cs="Times New Roman"/>
                      <w:sz w:val="21"/>
                      <w:szCs w:val="21"/>
                      <w:u w:val="single"/>
                      <w:lang w:eastAsia="zh-CN"/>
                    </w:rPr>
                    <w:t>、</w:t>
                  </w:r>
                  <w:r>
                    <w:rPr>
                      <w:rFonts w:ascii="Times New Roman" w:hAnsi="Times New Roman" w:eastAsia="宋体" w:cs="Times New Roman"/>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9" w:hRule="atLeast"/>
                <w:jc w:val="center"/>
              </w:trPr>
              <w:tc>
                <w:tcPr>
                  <w:tcW w:w="1791" w:type="dxa"/>
                  <w:gridSpan w:val="2"/>
                  <w:vAlign w:val="center"/>
                </w:tcPr>
                <w:p>
                  <w:pPr>
                    <w:adjustRightInd w:val="0"/>
                    <w:snapToGrid w:val="0"/>
                    <w:spacing w:line="240" w:lineRule="auto"/>
                    <w:jc w:val="center"/>
                    <w:rPr>
                      <w:sz w:val="21"/>
                      <w:szCs w:val="21"/>
                    </w:rPr>
                  </w:pPr>
                  <w:r>
                    <w:rPr>
                      <w:sz w:val="21"/>
                      <w:szCs w:val="21"/>
                    </w:rPr>
                    <w:t>絮凝剂</w:t>
                  </w:r>
                </w:p>
              </w:tc>
              <w:tc>
                <w:tcPr>
                  <w:tcW w:w="1493" w:type="dxa"/>
                  <w:vAlign w:val="center"/>
                </w:tcPr>
                <w:p>
                  <w:pPr>
                    <w:adjustRightInd w:val="0"/>
                    <w:snapToGrid w:val="0"/>
                    <w:spacing w:line="240" w:lineRule="auto"/>
                    <w:jc w:val="center"/>
                    <w:rPr>
                      <w:sz w:val="21"/>
                      <w:szCs w:val="21"/>
                    </w:rPr>
                  </w:pPr>
                  <w:r>
                    <w:rPr>
                      <w:sz w:val="21"/>
                      <w:szCs w:val="21"/>
                    </w:rPr>
                    <w:t>PAM</w:t>
                  </w:r>
                </w:p>
              </w:tc>
              <w:tc>
                <w:tcPr>
                  <w:tcW w:w="1585" w:type="dxa"/>
                  <w:vAlign w:val="center"/>
                </w:tcPr>
                <w:p>
                  <w:pPr>
                    <w:adjustRightInd w:val="0"/>
                    <w:snapToGrid w:val="0"/>
                    <w:spacing w:line="240" w:lineRule="auto"/>
                    <w:jc w:val="center"/>
                    <w:rPr>
                      <w:sz w:val="21"/>
                      <w:szCs w:val="21"/>
                    </w:rPr>
                  </w:pPr>
                  <w:r>
                    <w:rPr>
                      <w:rFonts w:hint="eastAsia"/>
                      <w:sz w:val="21"/>
                      <w:szCs w:val="21"/>
                    </w:rPr>
                    <w:t>5</w:t>
                  </w:r>
                  <w:r>
                    <w:rPr>
                      <w:sz w:val="21"/>
                      <w:szCs w:val="21"/>
                    </w:rPr>
                    <w:t>t</w:t>
                  </w:r>
                </w:p>
              </w:tc>
              <w:tc>
                <w:tcPr>
                  <w:tcW w:w="960" w:type="dxa"/>
                  <w:vAlign w:val="center"/>
                </w:tcPr>
                <w:p>
                  <w:pPr>
                    <w:adjustRightInd w:val="0"/>
                    <w:snapToGrid w:val="0"/>
                    <w:spacing w:line="240" w:lineRule="auto"/>
                    <w:jc w:val="center"/>
                    <w:rPr>
                      <w:sz w:val="21"/>
                      <w:szCs w:val="21"/>
                    </w:rPr>
                  </w:pPr>
                  <w:r>
                    <w:rPr>
                      <w:rFonts w:hint="eastAsia"/>
                      <w:sz w:val="21"/>
                      <w:szCs w:val="21"/>
                    </w:rPr>
                    <w:t>0.5t</w:t>
                  </w:r>
                </w:p>
              </w:tc>
              <w:tc>
                <w:tcPr>
                  <w:tcW w:w="960" w:type="dxa"/>
                  <w:vAlign w:val="center"/>
                </w:tcPr>
                <w:p>
                  <w:pPr>
                    <w:adjustRightInd w:val="0"/>
                    <w:snapToGrid w:val="0"/>
                    <w:spacing w:line="240" w:lineRule="auto"/>
                    <w:jc w:val="center"/>
                    <w:rPr>
                      <w:rFonts w:hint="eastAsia" w:eastAsia="宋体"/>
                      <w:sz w:val="21"/>
                      <w:szCs w:val="21"/>
                      <w:lang w:eastAsia="zh-CN"/>
                    </w:rPr>
                  </w:pPr>
                  <w:r>
                    <w:rPr>
                      <w:sz w:val="21"/>
                      <w:szCs w:val="21"/>
                    </w:rPr>
                    <w:t>处理</w:t>
                  </w:r>
                  <w:r>
                    <w:rPr>
                      <w:rFonts w:hint="eastAsia"/>
                      <w:sz w:val="21"/>
                      <w:szCs w:val="21"/>
                      <w:lang w:eastAsia="zh-CN"/>
                    </w:rPr>
                    <w:t>生产工艺废水</w:t>
                  </w:r>
                </w:p>
              </w:tc>
              <w:tc>
                <w:tcPr>
                  <w:tcW w:w="1587" w:type="dxa"/>
                  <w:shd w:val="clear" w:color="auto" w:fill="auto"/>
                  <w:vAlign w:val="center"/>
                </w:tcPr>
                <w:p>
                  <w:pPr>
                    <w:adjustRightInd w:val="0"/>
                    <w:snapToGrid w:val="0"/>
                    <w:spacing w:line="240" w:lineRule="auto"/>
                    <w:jc w:val="center"/>
                    <w:rPr>
                      <w:sz w:val="21"/>
                      <w:szCs w:val="21"/>
                    </w:rPr>
                  </w:pPr>
                  <w:r>
                    <w:rPr>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9" w:hRule="atLeast"/>
                <w:jc w:val="center"/>
              </w:trPr>
              <w:tc>
                <w:tcPr>
                  <w:tcW w:w="1791" w:type="dxa"/>
                  <w:gridSpan w:val="2"/>
                  <w:vAlign w:val="center"/>
                </w:tcPr>
                <w:p>
                  <w:pPr>
                    <w:adjustRightInd w:val="0"/>
                    <w:snapToGrid w:val="0"/>
                    <w:spacing w:line="240" w:lineRule="auto"/>
                    <w:jc w:val="center"/>
                    <w:rPr>
                      <w:sz w:val="21"/>
                      <w:szCs w:val="21"/>
                    </w:rPr>
                  </w:pPr>
                  <w:r>
                    <w:rPr>
                      <w:sz w:val="21"/>
                      <w:szCs w:val="21"/>
                    </w:rPr>
                    <w:t>水</w:t>
                  </w:r>
                </w:p>
              </w:tc>
              <w:tc>
                <w:tcPr>
                  <w:tcW w:w="1493" w:type="dxa"/>
                  <w:vAlign w:val="center"/>
                </w:tcPr>
                <w:p>
                  <w:pPr>
                    <w:adjustRightInd w:val="0"/>
                    <w:snapToGrid w:val="0"/>
                    <w:spacing w:line="240" w:lineRule="auto"/>
                    <w:jc w:val="center"/>
                    <w:rPr>
                      <w:sz w:val="21"/>
                      <w:szCs w:val="21"/>
                    </w:rPr>
                  </w:pPr>
                  <w:r>
                    <w:rPr>
                      <w:sz w:val="21"/>
                      <w:szCs w:val="21"/>
                    </w:rPr>
                    <w:t>生产</w:t>
                  </w:r>
                  <w:r>
                    <w:rPr>
                      <w:rFonts w:hint="eastAsia"/>
                      <w:sz w:val="21"/>
                      <w:szCs w:val="21"/>
                    </w:rPr>
                    <w:t>、生活</w:t>
                  </w:r>
                  <w:r>
                    <w:rPr>
                      <w:sz w:val="21"/>
                      <w:szCs w:val="21"/>
                    </w:rPr>
                    <w:t>用水</w:t>
                  </w:r>
                </w:p>
              </w:tc>
              <w:tc>
                <w:tcPr>
                  <w:tcW w:w="1585" w:type="dxa"/>
                  <w:vAlign w:val="center"/>
                </w:tcPr>
                <w:p>
                  <w:pPr>
                    <w:adjustRightInd w:val="0"/>
                    <w:snapToGrid w:val="0"/>
                    <w:spacing w:line="240" w:lineRule="auto"/>
                    <w:jc w:val="center"/>
                    <w:rPr>
                      <w:sz w:val="21"/>
                      <w:szCs w:val="21"/>
                    </w:rPr>
                  </w:pPr>
                  <w:r>
                    <w:rPr>
                      <w:rFonts w:hint="eastAsia"/>
                      <w:sz w:val="21"/>
                      <w:szCs w:val="21"/>
                    </w:rPr>
                    <w:t>1</w:t>
                  </w:r>
                  <w:r>
                    <w:rPr>
                      <w:rFonts w:hint="eastAsia"/>
                      <w:sz w:val="21"/>
                      <w:szCs w:val="21"/>
                      <w:lang w:val="en-US" w:eastAsia="zh-CN"/>
                    </w:rPr>
                    <w:t>74158.93</w:t>
                  </w:r>
                  <w:r>
                    <w:rPr>
                      <w:sz w:val="21"/>
                      <w:szCs w:val="21"/>
                    </w:rPr>
                    <w:t>t/a</w:t>
                  </w:r>
                </w:p>
              </w:tc>
              <w:tc>
                <w:tcPr>
                  <w:tcW w:w="960" w:type="dxa"/>
                  <w:vAlign w:val="center"/>
                </w:tcPr>
                <w:p>
                  <w:pPr>
                    <w:adjustRightInd w:val="0"/>
                    <w:snapToGrid w:val="0"/>
                    <w:spacing w:line="240" w:lineRule="auto"/>
                    <w:jc w:val="center"/>
                    <w:rPr>
                      <w:sz w:val="21"/>
                      <w:szCs w:val="21"/>
                    </w:rPr>
                  </w:pPr>
                  <w:r>
                    <w:rPr>
                      <w:rFonts w:hint="eastAsia"/>
                      <w:sz w:val="21"/>
                      <w:szCs w:val="21"/>
                    </w:rPr>
                    <w:t>/</w:t>
                  </w:r>
                </w:p>
              </w:tc>
              <w:tc>
                <w:tcPr>
                  <w:tcW w:w="960" w:type="dxa"/>
                  <w:vAlign w:val="center"/>
                </w:tcPr>
                <w:p>
                  <w:pPr>
                    <w:adjustRightInd w:val="0"/>
                    <w:snapToGrid w:val="0"/>
                    <w:spacing w:line="240" w:lineRule="auto"/>
                    <w:jc w:val="center"/>
                    <w:rPr>
                      <w:sz w:val="21"/>
                      <w:szCs w:val="21"/>
                    </w:rPr>
                  </w:pPr>
                  <w:r>
                    <w:rPr>
                      <w:sz w:val="21"/>
                      <w:szCs w:val="21"/>
                    </w:rPr>
                    <w:t>生产</w:t>
                  </w:r>
                  <w:r>
                    <w:rPr>
                      <w:rFonts w:hint="eastAsia"/>
                      <w:sz w:val="21"/>
                      <w:szCs w:val="21"/>
                    </w:rPr>
                    <w:t>生活</w:t>
                  </w:r>
                </w:p>
              </w:tc>
              <w:tc>
                <w:tcPr>
                  <w:tcW w:w="1587" w:type="dxa"/>
                  <w:shd w:val="clear" w:color="auto" w:fill="auto"/>
                  <w:vAlign w:val="center"/>
                </w:tcPr>
                <w:p>
                  <w:pPr>
                    <w:adjustRightInd w:val="0"/>
                    <w:snapToGrid w:val="0"/>
                    <w:spacing w:line="240" w:lineRule="auto"/>
                    <w:jc w:val="center"/>
                    <w:rPr>
                      <w:sz w:val="21"/>
                      <w:szCs w:val="21"/>
                    </w:rPr>
                  </w:pPr>
                  <w:r>
                    <w:rPr>
                      <w:rFonts w:hint="eastAsia"/>
                      <w:sz w:val="21"/>
                      <w:szCs w:val="21"/>
                    </w:rPr>
                    <w:t>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791" w:type="dxa"/>
                  <w:gridSpan w:val="2"/>
                  <w:vAlign w:val="center"/>
                </w:tcPr>
                <w:p>
                  <w:pPr>
                    <w:adjustRightInd w:val="0"/>
                    <w:snapToGrid w:val="0"/>
                    <w:spacing w:line="240" w:lineRule="auto"/>
                    <w:jc w:val="center"/>
                    <w:rPr>
                      <w:sz w:val="21"/>
                      <w:szCs w:val="21"/>
                    </w:rPr>
                  </w:pPr>
                  <w:r>
                    <w:rPr>
                      <w:sz w:val="21"/>
                      <w:szCs w:val="21"/>
                    </w:rPr>
                    <w:t>电</w:t>
                  </w:r>
                </w:p>
              </w:tc>
              <w:tc>
                <w:tcPr>
                  <w:tcW w:w="1493" w:type="dxa"/>
                  <w:vAlign w:val="center"/>
                </w:tcPr>
                <w:p>
                  <w:pPr>
                    <w:adjustRightInd w:val="0"/>
                    <w:snapToGrid w:val="0"/>
                    <w:spacing w:line="240" w:lineRule="auto"/>
                    <w:jc w:val="center"/>
                    <w:rPr>
                      <w:sz w:val="21"/>
                      <w:szCs w:val="21"/>
                    </w:rPr>
                  </w:pPr>
                  <w:r>
                    <w:rPr>
                      <w:sz w:val="21"/>
                      <w:szCs w:val="21"/>
                    </w:rPr>
                    <w:t>生产用电</w:t>
                  </w:r>
                </w:p>
              </w:tc>
              <w:tc>
                <w:tcPr>
                  <w:tcW w:w="1585" w:type="dxa"/>
                  <w:vAlign w:val="center"/>
                </w:tcPr>
                <w:p>
                  <w:pPr>
                    <w:adjustRightInd w:val="0"/>
                    <w:snapToGrid w:val="0"/>
                    <w:spacing w:line="240" w:lineRule="auto"/>
                    <w:jc w:val="center"/>
                    <w:rPr>
                      <w:sz w:val="21"/>
                      <w:szCs w:val="21"/>
                    </w:rPr>
                  </w:pPr>
                  <w:r>
                    <w:rPr>
                      <w:rFonts w:hint="eastAsia"/>
                      <w:sz w:val="21"/>
                      <w:szCs w:val="21"/>
                    </w:rPr>
                    <w:t>6</w:t>
                  </w:r>
                  <w:r>
                    <w:rPr>
                      <w:sz w:val="21"/>
                      <w:szCs w:val="21"/>
                    </w:rPr>
                    <w:t>×10</w:t>
                  </w:r>
                  <w:r>
                    <w:rPr>
                      <w:rFonts w:hint="eastAsia"/>
                      <w:sz w:val="21"/>
                      <w:szCs w:val="21"/>
                      <w:vertAlign w:val="superscript"/>
                    </w:rPr>
                    <w:t>4</w:t>
                  </w:r>
                  <w:r>
                    <w:rPr>
                      <w:sz w:val="21"/>
                      <w:szCs w:val="21"/>
                    </w:rPr>
                    <w:t>kW·h/a</w:t>
                  </w:r>
                </w:p>
              </w:tc>
              <w:tc>
                <w:tcPr>
                  <w:tcW w:w="960" w:type="dxa"/>
                  <w:vAlign w:val="center"/>
                </w:tcPr>
                <w:p>
                  <w:pPr>
                    <w:adjustRightInd w:val="0"/>
                    <w:snapToGrid w:val="0"/>
                    <w:spacing w:line="240" w:lineRule="auto"/>
                    <w:jc w:val="center"/>
                    <w:rPr>
                      <w:sz w:val="21"/>
                      <w:szCs w:val="21"/>
                    </w:rPr>
                  </w:pPr>
                  <w:r>
                    <w:rPr>
                      <w:rFonts w:hint="eastAsia"/>
                      <w:sz w:val="21"/>
                      <w:szCs w:val="21"/>
                    </w:rPr>
                    <w:t>/</w:t>
                  </w:r>
                </w:p>
              </w:tc>
              <w:tc>
                <w:tcPr>
                  <w:tcW w:w="960" w:type="dxa"/>
                  <w:vAlign w:val="center"/>
                </w:tcPr>
                <w:p>
                  <w:pPr>
                    <w:adjustRightInd w:val="0"/>
                    <w:snapToGrid w:val="0"/>
                    <w:spacing w:line="240" w:lineRule="auto"/>
                    <w:jc w:val="center"/>
                    <w:rPr>
                      <w:sz w:val="21"/>
                      <w:szCs w:val="21"/>
                    </w:rPr>
                  </w:pPr>
                  <w:r>
                    <w:rPr>
                      <w:sz w:val="21"/>
                      <w:szCs w:val="21"/>
                    </w:rPr>
                    <w:t>生产车间</w:t>
                  </w:r>
                </w:p>
              </w:tc>
              <w:tc>
                <w:tcPr>
                  <w:tcW w:w="1587" w:type="dxa"/>
                  <w:shd w:val="clear" w:color="auto" w:fill="auto"/>
                  <w:vAlign w:val="center"/>
                </w:tcPr>
                <w:p>
                  <w:pPr>
                    <w:adjustRightInd w:val="0"/>
                    <w:snapToGrid w:val="0"/>
                    <w:spacing w:line="240" w:lineRule="auto"/>
                    <w:jc w:val="center"/>
                    <w:rPr>
                      <w:sz w:val="21"/>
                      <w:szCs w:val="21"/>
                    </w:rPr>
                  </w:pPr>
                  <w:r>
                    <w:rPr>
                      <w:sz w:val="21"/>
                      <w:szCs w:val="21"/>
                    </w:rPr>
                    <w:t>当地供电所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791" w:type="dxa"/>
                  <w:gridSpan w:val="2"/>
                  <w:vAlign w:val="center"/>
                </w:tcPr>
                <w:p>
                  <w:pPr>
                    <w:adjustRightInd w:val="0"/>
                    <w:snapToGrid w:val="0"/>
                    <w:spacing w:line="240" w:lineRule="auto"/>
                    <w:jc w:val="center"/>
                    <w:rPr>
                      <w:sz w:val="21"/>
                      <w:szCs w:val="21"/>
                    </w:rPr>
                  </w:pPr>
                  <w:bookmarkStart w:id="24" w:name="_Toc68160354"/>
                  <w:bookmarkStart w:id="25" w:name="_Toc4705"/>
                  <w:r>
                    <w:rPr>
                      <w:rFonts w:hint="eastAsia"/>
                      <w:sz w:val="21"/>
                      <w:szCs w:val="21"/>
                    </w:rPr>
                    <w:t>机油、润滑油</w:t>
                  </w:r>
                </w:p>
              </w:tc>
              <w:tc>
                <w:tcPr>
                  <w:tcW w:w="1493" w:type="dxa"/>
                  <w:vAlign w:val="center"/>
                </w:tcPr>
                <w:p>
                  <w:pPr>
                    <w:adjustRightInd w:val="0"/>
                    <w:snapToGrid w:val="0"/>
                    <w:spacing w:line="240" w:lineRule="auto"/>
                    <w:jc w:val="center"/>
                    <w:rPr>
                      <w:sz w:val="21"/>
                      <w:szCs w:val="21"/>
                    </w:rPr>
                  </w:pPr>
                  <w:r>
                    <w:rPr>
                      <w:rFonts w:hint="eastAsia"/>
                      <w:sz w:val="21"/>
                      <w:szCs w:val="21"/>
                    </w:rPr>
                    <w:t>机油、润滑油</w:t>
                  </w:r>
                </w:p>
              </w:tc>
              <w:tc>
                <w:tcPr>
                  <w:tcW w:w="1585" w:type="dxa"/>
                  <w:vAlign w:val="center"/>
                </w:tcPr>
                <w:p>
                  <w:pPr>
                    <w:adjustRightInd w:val="0"/>
                    <w:snapToGrid w:val="0"/>
                    <w:spacing w:line="240" w:lineRule="auto"/>
                    <w:jc w:val="center"/>
                    <w:rPr>
                      <w:sz w:val="21"/>
                      <w:szCs w:val="21"/>
                    </w:rPr>
                  </w:pPr>
                  <w:r>
                    <w:rPr>
                      <w:rFonts w:hint="eastAsia"/>
                      <w:sz w:val="21"/>
                      <w:szCs w:val="21"/>
                    </w:rPr>
                    <w:t>0.3t</w:t>
                  </w:r>
                </w:p>
              </w:tc>
              <w:tc>
                <w:tcPr>
                  <w:tcW w:w="960" w:type="dxa"/>
                  <w:vAlign w:val="center"/>
                </w:tcPr>
                <w:p>
                  <w:pPr>
                    <w:adjustRightInd w:val="0"/>
                    <w:snapToGrid w:val="0"/>
                    <w:spacing w:line="240" w:lineRule="auto"/>
                    <w:jc w:val="center"/>
                    <w:rPr>
                      <w:sz w:val="21"/>
                      <w:szCs w:val="21"/>
                    </w:rPr>
                  </w:pPr>
                  <w:r>
                    <w:rPr>
                      <w:rFonts w:hint="eastAsia"/>
                      <w:sz w:val="21"/>
                      <w:szCs w:val="21"/>
                    </w:rPr>
                    <w:t>0.1t</w:t>
                  </w:r>
                </w:p>
              </w:tc>
              <w:tc>
                <w:tcPr>
                  <w:tcW w:w="960" w:type="dxa"/>
                  <w:vAlign w:val="center"/>
                </w:tcPr>
                <w:p>
                  <w:pPr>
                    <w:adjustRightInd w:val="0"/>
                    <w:snapToGrid w:val="0"/>
                    <w:spacing w:line="240" w:lineRule="auto"/>
                    <w:jc w:val="center"/>
                    <w:rPr>
                      <w:sz w:val="21"/>
                      <w:szCs w:val="21"/>
                    </w:rPr>
                  </w:pPr>
                  <w:r>
                    <w:rPr>
                      <w:rFonts w:hint="eastAsia"/>
                      <w:sz w:val="21"/>
                      <w:szCs w:val="21"/>
                    </w:rPr>
                    <w:t>机械日常保养维护</w:t>
                  </w:r>
                </w:p>
              </w:tc>
              <w:tc>
                <w:tcPr>
                  <w:tcW w:w="1587" w:type="dxa"/>
                  <w:shd w:val="clear" w:color="auto" w:fill="auto"/>
                  <w:vAlign w:val="center"/>
                </w:tcPr>
                <w:p>
                  <w:pPr>
                    <w:adjustRightInd w:val="0"/>
                    <w:snapToGrid w:val="0"/>
                    <w:spacing w:line="240" w:lineRule="auto"/>
                    <w:jc w:val="center"/>
                    <w:rPr>
                      <w:sz w:val="21"/>
                      <w:szCs w:val="21"/>
                    </w:rPr>
                  </w:pPr>
                  <w:r>
                    <w:rPr>
                      <w:rFonts w:hint="eastAsia"/>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3" w:hRule="atLeast"/>
                <w:jc w:val="center"/>
              </w:trPr>
              <w:tc>
                <w:tcPr>
                  <w:tcW w:w="1791" w:type="dxa"/>
                  <w:gridSpan w:val="2"/>
                  <w:vAlign w:val="center"/>
                </w:tcPr>
                <w:p>
                  <w:pPr>
                    <w:adjustRightInd w:val="0"/>
                    <w:snapToGrid w:val="0"/>
                    <w:spacing w:line="240" w:lineRule="auto"/>
                    <w:jc w:val="center"/>
                    <w:rPr>
                      <w:sz w:val="21"/>
                      <w:szCs w:val="21"/>
                    </w:rPr>
                  </w:pPr>
                  <w:r>
                    <w:rPr>
                      <w:rFonts w:hint="eastAsia"/>
                      <w:sz w:val="21"/>
                      <w:szCs w:val="21"/>
                    </w:rPr>
                    <w:t>柴油</w:t>
                  </w:r>
                </w:p>
              </w:tc>
              <w:tc>
                <w:tcPr>
                  <w:tcW w:w="1493" w:type="dxa"/>
                  <w:vAlign w:val="center"/>
                </w:tcPr>
                <w:p>
                  <w:pPr>
                    <w:adjustRightInd w:val="0"/>
                    <w:snapToGrid w:val="0"/>
                    <w:spacing w:line="240" w:lineRule="auto"/>
                    <w:jc w:val="center"/>
                    <w:rPr>
                      <w:sz w:val="21"/>
                      <w:szCs w:val="21"/>
                    </w:rPr>
                  </w:pPr>
                  <w:r>
                    <w:rPr>
                      <w:rFonts w:hint="eastAsia"/>
                      <w:sz w:val="21"/>
                      <w:szCs w:val="21"/>
                    </w:rPr>
                    <w:t>柴油</w:t>
                  </w:r>
                </w:p>
              </w:tc>
              <w:tc>
                <w:tcPr>
                  <w:tcW w:w="1585" w:type="dxa"/>
                  <w:vAlign w:val="center"/>
                </w:tcPr>
                <w:p>
                  <w:pPr>
                    <w:adjustRightInd w:val="0"/>
                    <w:snapToGrid w:val="0"/>
                    <w:spacing w:line="240" w:lineRule="auto"/>
                    <w:jc w:val="center"/>
                    <w:rPr>
                      <w:sz w:val="21"/>
                      <w:szCs w:val="21"/>
                    </w:rPr>
                  </w:pPr>
                  <w:r>
                    <w:rPr>
                      <w:rFonts w:hint="eastAsia"/>
                      <w:sz w:val="21"/>
                      <w:szCs w:val="21"/>
                    </w:rPr>
                    <w:t>5</w:t>
                  </w:r>
                  <w:r>
                    <w:rPr>
                      <w:sz w:val="21"/>
                      <w:szCs w:val="21"/>
                    </w:rPr>
                    <w:t>t/a</w:t>
                  </w:r>
                </w:p>
              </w:tc>
              <w:tc>
                <w:tcPr>
                  <w:tcW w:w="960" w:type="dxa"/>
                  <w:vAlign w:val="center"/>
                </w:tcPr>
                <w:p>
                  <w:pPr>
                    <w:adjustRightInd w:val="0"/>
                    <w:snapToGrid w:val="0"/>
                    <w:spacing w:line="240" w:lineRule="auto"/>
                    <w:jc w:val="center"/>
                    <w:rPr>
                      <w:sz w:val="21"/>
                      <w:szCs w:val="21"/>
                    </w:rPr>
                  </w:pPr>
                  <w:r>
                    <w:rPr>
                      <w:rFonts w:hint="eastAsia"/>
                      <w:sz w:val="21"/>
                      <w:szCs w:val="21"/>
                    </w:rPr>
                    <w:t>0</w:t>
                  </w:r>
                </w:p>
              </w:tc>
              <w:tc>
                <w:tcPr>
                  <w:tcW w:w="960" w:type="dxa"/>
                  <w:vAlign w:val="center"/>
                </w:tcPr>
                <w:p>
                  <w:pPr>
                    <w:adjustRightInd w:val="0"/>
                    <w:snapToGrid w:val="0"/>
                    <w:spacing w:line="240" w:lineRule="auto"/>
                    <w:jc w:val="center"/>
                    <w:rPr>
                      <w:sz w:val="21"/>
                      <w:szCs w:val="21"/>
                    </w:rPr>
                  </w:pPr>
                  <w:r>
                    <w:rPr>
                      <w:rFonts w:hint="eastAsia"/>
                      <w:sz w:val="21"/>
                      <w:szCs w:val="21"/>
                    </w:rPr>
                    <w:t>车辆</w:t>
                  </w:r>
                </w:p>
              </w:tc>
              <w:tc>
                <w:tcPr>
                  <w:tcW w:w="1587" w:type="dxa"/>
                  <w:shd w:val="clear" w:color="auto" w:fill="auto"/>
                  <w:vAlign w:val="center"/>
                </w:tcPr>
                <w:p>
                  <w:pPr>
                    <w:adjustRightInd w:val="0"/>
                    <w:snapToGrid w:val="0"/>
                    <w:spacing w:line="240" w:lineRule="auto"/>
                    <w:jc w:val="center"/>
                    <w:rPr>
                      <w:sz w:val="21"/>
                      <w:szCs w:val="21"/>
                    </w:rPr>
                  </w:pPr>
                  <w:r>
                    <w:rPr>
                      <w:rFonts w:hint="eastAsia"/>
                      <w:sz w:val="21"/>
                      <w:szCs w:val="21"/>
                    </w:rPr>
                    <w:t>来自附近加油站，不在厂区储存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8376" w:type="dxa"/>
                  <w:gridSpan w:val="7"/>
                  <w:vAlign w:val="center"/>
                </w:tcPr>
                <w:p>
                  <w:pPr>
                    <w:spacing w:before="72" w:beforeLines="30" w:line="240" w:lineRule="auto"/>
                    <w:jc w:val="left"/>
                    <w:rPr>
                      <w:color w:val="0000FF"/>
                      <w:sz w:val="21"/>
                      <w:szCs w:val="21"/>
                    </w:rPr>
                  </w:pPr>
                  <w:r>
                    <w:rPr>
                      <w:rFonts w:hint="eastAsia"/>
                      <w:sz w:val="21"/>
                      <w:szCs w:val="21"/>
                      <w:u w:val="single"/>
                    </w:rPr>
                    <w:t>备注：本项目原料主要是鹅卵石，</w:t>
                  </w:r>
                  <w:r>
                    <w:rPr>
                      <w:rFonts w:hint="eastAsia" w:ascii="Times New Roman" w:hAnsi="Times New Roman" w:eastAsia="宋体" w:cs="Times New Roman"/>
                      <w:sz w:val="21"/>
                      <w:szCs w:val="21"/>
                      <w:u w:val="single"/>
                    </w:rPr>
                    <w:t>目前原料来源于辰溪博雅中学沅水尾堆清理</w:t>
                  </w:r>
                  <w:r>
                    <w:rPr>
                      <w:rFonts w:hint="eastAsia"/>
                      <w:sz w:val="21"/>
                      <w:szCs w:val="21"/>
                      <w:u w:val="single"/>
                      <w:lang w:val="en-US" w:eastAsia="zh-CN"/>
                    </w:rPr>
                    <w:t>弃渣点</w:t>
                  </w:r>
                  <w:r>
                    <w:rPr>
                      <w:rFonts w:hint="eastAsia" w:ascii="Times New Roman" w:hAnsi="Times New Roman" w:eastAsia="宋体" w:cs="Times New Roman"/>
                      <w:sz w:val="21"/>
                      <w:szCs w:val="21"/>
                      <w:u w:val="single"/>
                      <w:lang w:eastAsia="zh-CN"/>
                    </w:rPr>
                    <w:t>、沅水洪江至辰溪航道建设工程</w:t>
                  </w:r>
                  <w:r>
                    <w:rPr>
                      <w:rFonts w:hint="eastAsia" w:ascii="Times New Roman" w:hAnsi="Times New Roman" w:eastAsia="宋体" w:cs="Times New Roman"/>
                      <w:sz w:val="21"/>
                      <w:szCs w:val="21"/>
                      <w:u w:val="single"/>
                    </w:rPr>
                    <w:t>产生的鹅卵石</w:t>
                  </w:r>
                  <w:r>
                    <w:rPr>
                      <w:rFonts w:hint="eastAsia"/>
                      <w:sz w:val="21"/>
                      <w:szCs w:val="21"/>
                      <w:u w:val="single"/>
                    </w:rPr>
                    <w:t>，</w:t>
                  </w:r>
                  <w:r>
                    <w:rPr>
                      <w:rFonts w:hint="eastAsia"/>
                      <w:sz w:val="21"/>
                      <w:szCs w:val="21"/>
                      <w:highlight w:val="none"/>
                      <w:u w:val="single"/>
                    </w:rPr>
                    <w:t>根据现场调查，</w:t>
                  </w:r>
                  <w:r>
                    <w:rPr>
                      <w:rFonts w:hint="eastAsia"/>
                      <w:sz w:val="21"/>
                      <w:szCs w:val="21"/>
                      <w:highlight w:val="none"/>
                      <w:u w:val="single"/>
                      <w:lang w:val="en-US" w:eastAsia="zh-CN"/>
                    </w:rPr>
                    <w:t>辰溪博雅中学沅水尾堆清理弃渣点目前已堆存约336万吨鹅卵石</w:t>
                  </w:r>
                  <w:r>
                    <w:rPr>
                      <w:rFonts w:hint="eastAsia"/>
                      <w:sz w:val="21"/>
                      <w:szCs w:val="21"/>
                      <w:highlight w:val="none"/>
                      <w:u w:val="single"/>
                    </w:rPr>
                    <w:t>，</w:t>
                  </w:r>
                  <w:r>
                    <w:rPr>
                      <w:rFonts w:hint="eastAsia"/>
                      <w:sz w:val="21"/>
                      <w:szCs w:val="21"/>
                      <w:u w:val="single"/>
                      <w:lang w:val="en-US" w:eastAsia="zh-CN"/>
                    </w:rPr>
                    <w:t>辰州滩-大洑潭段</w:t>
                  </w:r>
                  <w:r>
                    <w:rPr>
                      <w:rFonts w:hint="eastAsia"/>
                      <w:sz w:val="21"/>
                      <w:szCs w:val="21"/>
                      <w:u w:val="single"/>
                      <w:lang w:eastAsia="zh-CN"/>
                    </w:rPr>
                    <w:t>施工期产生弃渣中鹅卵石的量约为</w:t>
                  </w:r>
                  <w:r>
                    <w:rPr>
                      <w:rFonts w:hint="eastAsia"/>
                      <w:sz w:val="21"/>
                      <w:szCs w:val="21"/>
                      <w:highlight w:val="none"/>
                      <w:u w:val="single"/>
                      <w:lang w:val="en-US" w:eastAsia="zh-CN"/>
                    </w:rPr>
                    <w:t>9.1</w:t>
                  </w:r>
                  <w:r>
                    <w:rPr>
                      <w:rFonts w:hint="eastAsia"/>
                      <w:sz w:val="21"/>
                      <w:szCs w:val="21"/>
                      <w:u w:val="single"/>
                      <w:lang w:val="en-US" w:eastAsia="zh-CN"/>
                    </w:rPr>
                    <w:t>万吨，</w:t>
                  </w:r>
                  <w:r>
                    <w:rPr>
                      <w:rFonts w:hint="eastAsia"/>
                      <w:sz w:val="21"/>
                      <w:szCs w:val="21"/>
                      <w:highlight w:val="none"/>
                      <w:u w:val="single"/>
                    </w:rPr>
                    <w:t>能够满足本项目</w:t>
                  </w:r>
                  <w:r>
                    <w:rPr>
                      <w:rFonts w:hint="eastAsia"/>
                      <w:sz w:val="21"/>
                      <w:szCs w:val="21"/>
                      <w:highlight w:val="none"/>
                      <w:u w:val="single"/>
                      <w:lang w:val="en-US" w:eastAsia="zh-CN"/>
                    </w:rPr>
                    <w:t>2年半的</w:t>
                  </w:r>
                  <w:r>
                    <w:rPr>
                      <w:rFonts w:hint="eastAsia"/>
                      <w:sz w:val="21"/>
                      <w:szCs w:val="21"/>
                      <w:highlight w:val="none"/>
                      <w:u w:val="single"/>
                    </w:rPr>
                    <w:t>生产需要，</w:t>
                  </w:r>
                  <w:r>
                    <w:rPr>
                      <w:rFonts w:hint="eastAsia"/>
                      <w:color w:val="auto"/>
                      <w:sz w:val="21"/>
                      <w:szCs w:val="21"/>
                      <w:u w:val="single"/>
                    </w:rPr>
                    <w:t>原料场地</w:t>
                  </w:r>
                  <w:r>
                    <w:rPr>
                      <w:rFonts w:hint="eastAsia"/>
                      <w:sz w:val="21"/>
                      <w:szCs w:val="21"/>
                      <w:u w:val="single"/>
                    </w:rPr>
                    <w:t>现状见附图</w:t>
                  </w:r>
                  <w:r>
                    <w:rPr>
                      <w:rFonts w:hint="eastAsia"/>
                      <w:sz w:val="21"/>
                      <w:szCs w:val="21"/>
                      <w:u w:val="single"/>
                      <w:lang w:val="en-US" w:eastAsia="zh-CN"/>
                    </w:rPr>
                    <w:t>11</w:t>
                  </w:r>
                  <w:r>
                    <w:rPr>
                      <w:rFonts w:hint="eastAsia"/>
                      <w:sz w:val="21"/>
                      <w:szCs w:val="21"/>
                      <w:u w:val="single"/>
                    </w:rPr>
                    <w:t>。一旦该工地施工完成后，本项目如需继续生产，需寻找合法的废石来源重新签订相关协议，环评要求建设方原料合法，禁止采购非法采石场石料，禁止污染修复土、生活垃圾、废沥青混凝土、盾构土及涉及危险废物的原材料进入，本项目不得使用涉重、涉化工企业等可能含有危化品、重金属、油类等有毒有害建筑废弃物作为原料，严禁使用Ⅱ类一般工业固体废物及危险废物作为原材料。原材料需符合《关于促进砂石行业健康有序发展的指导意见》（发改价格〔2020〕473号）要求。</w:t>
                  </w:r>
                </w:p>
              </w:tc>
            </w:tr>
          </w:tbl>
          <w:p>
            <w:pPr>
              <w:pStyle w:val="30"/>
              <w:numPr>
                <w:ilvl w:val="1"/>
                <w:numId w:val="0"/>
              </w:numPr>
              <w:ind w:left="284"/>
            </w:pPr>
            <w:r>
              <w:t>2.5劳动定员及工作制度</w:t>
            </w:r>
            <w:bookmarkEnd w:id="24"/>
            <w:bookmarkEnd w:id="25"/>
          </w:p>
          <w:p>
            <w:pPr>
              <w:pStyle w:val="33"/>
              <w:ind w:firstLine="480"/>
            </w:pPr>
            <w:r>
              <w:t>工作制度:年生产周期300天，企业一班制8小时生产（白天生产，厂区设置食堂，不在厂区住宿）。</w:t>
            </w:r>
          </w:p>
          <w:p>
            <w:pPr>
              <w:pStyle w:val="33"/>
              <w:ind w:firstLine="480"/>
              <w:rPr>
                <w:color w:val="0000FF"/>
              </w:rPr>
            </w:pPr>
            <w:r>
              <w:t>劳动定员:劳动定员1</w:t>
            </w:r>
            <w:r>
              <w:rPr>
                <w:rFonts w:hint="eastAsia"/>
              </w:rPr>
              <w:t>0</w:t>
            </w:r>
            <w:r>
              <w:t>人</w:t>
            </w:r>
            <w:r>
              <w:rPr>
                <w:rFonts w:hint="eastAsia"/>
              </w:rPr>
              <w:t>，仅办公和用餐，不在厂区内住宿</w:t>
            </w:r>
            <w:r>
              <w:t>。</w:t>
            </w:r>
          </w:p>
          <w:p>
            <w:pPr>
              <w:pStyle w:val="30"/>
              <w:numPr>
                <w:ilvl w:val="1"/>
                <w:numId w:val="0"/>
              </w:numPr>
              <w:ind w:left="284"/>
            </w:pPr>
            <w:bookmarkStart w:id="26" w:name="_Toc68160356"/>
            <w:bookmarkStart w:id="27" w:name="_Toc6037"/>
            <w:r>
              <w:t>2.6</w:t>
            </w:r>
            <w:r>
              <w:rPr>
                <w:rFonts w:hint="eastAsia"/>
              </w:rPr>
              <w:t>项目周边情况及</w:t>
            </w:r>
            <w:r>
              <w:t>平面布置</w:t>
            </w:r>
            <w:bookmarkEnd w:id="26"/>
            <w:bookmarkEnd w:id="27"/>
          </w:p>
          <w:p>
            <w:pPr>
              <w:adjustRightInd w:val="0"/>
              <w:snapToGrid w:val="0"/>
              <w:ind w:firstLine="480" w:firstLineChars="200"/>
            </w:pPr>
            <w:r>
              <w:rPr>
                <w:bCs/>
              </w:rPr>
              <w:t>本项目位于</w:t>
            </w:r>
            <w:r>
              <w:t>湖南省</w:t>
            </w:r>
            <w:r>
              <w:rPr>
                <w:rFonts w:hint="eastAsia"/>
              </w:rPr>
              <w:t>辰溪县火马冲镇沙堆村</w:t>
            </w:r>
            <w:r>
              <w:rPr>
                <w:bCs/>
              </w:rPr>
              <w:t>，项目</w:t>
            </w:r>
            <w:r>
              <w:rPr>
                <w:rFonts w:hint="eastAsia"/>
                <w:bCs/>
              </w:rPr>
              <w:t>北面临近沅江，东面20</w:t>
            </w:r>
            <w:r>
              <w:rPr>
                <w:bCs/>
              </w:rPr>
              <w:t>米为</w:t>
            </w:r>
            <w:r>
              <w:rPr>
                <w:rFonts w:hint="eastAsia"/>
                <w:bCs/>
              </w:rPr>
              <w:t>沙堆村居民，与项目地块间无山体阻隔，12米</w:t>
            </w:r>
            <w:r>
              <w:rPr>
                <w:rFonts w:hint="eastAsia"/>
                <w:bCs/>
                <w:lang w:eastAsia="zh-CN"/>
              </w:rPr>
              <w:t>处</w:t>
            </w:r>
            <w:r>
              <w:rPr>
                <w:rFonts w:hint="eastAsia"/>
                <w:bCs/>
              </w:rPr>
              <w:t>为储木厂办公室，与项目地块间有山体阻隔</w:t>
            </w:r>
            <w:r>
              <w:rPr>
                <w:bCs/>
              </w:rPr>
              <w:t>；</w:t>
            </w:r>
            <w:r>
              <w:rPr>
                <w:rFonts w:hint="eastAsia"/>
                <w:bCs/>
              </w:rPr>
              <w:t>南</w:t>
            </w:r>
            <w:r>
              <w:rPr>
                <w:bCs/>
              </w:rPr>
              <w:t>面</w:t>
            </w:r>
            <w:r>
              <w:rPr>
                <w:rFonts w:hint="eastAsia"/>
                <w:bCs/>
              </w:rPr>
              <w:t>临近G354国道，25米处为沙堆村居民，与项目地块间无山体阻隔</w:t>
            </w:r>
            <w:r>
              <w:rPr>
                <w:bCs/>
              </w:rPr>
              <w:t>；</w:t>
            </w:r>
            <w:r>
              <w:rPr>
                <w:rFonts w:hint="eastAsia"/>
                <w:bCs/>
              </w:rPr>
              <w:t>西南面30米处为养猪场；西面10~95米为菜地,95米处为沙堆村居民，与项目地块间无山体阻隔</w:t>
            </w:r>
            <w:r>
              <w:rPr>
                <w:bCs/>
              </w:rPr>
              <w:t>。</w:t>
            </w:r>
          </w:p>
          <w:p>
            <w:pPr>
              <w:adjustRightInd w:val="0"/>
              <w:snapToGrid w:val="0"/>
              <w:ind w:firstLine="480" w:firstLineChars="200"/>
              <w:rPr>
                <w:color w:val="0000FF"/>
              </w:rPr>
            </w:pPr>
            <w:r>
              <w:t>项目</w:t>
            </w:r>
            <w:r>
              <w:rPr>
                <w:rFonts w:hint="eastAsia"/>
              </w:rPr>
              <w:t>入口</w:t>
            </w:r>
            <w:r>
              <w:t>设置在南部，</w:t>
            </w:r>
            <w:r>
              <w:rPr>
                <w:rFonts w:hint="eastAsia"/>
                <w:lang w:eastAsia="zh-CN"/>
              </w:rPr>
              <w:t>原料及产品均从入口处的一条厂区道路进行运输，</w:t>
            </w:r>
            <w:r>
              <w:t>生产区分布在厂区</w:t>
            </w:r>
            <w:r>
              <w:rPr>
                <w:rFonts w:hint="eastAsia"/>
              </w:rPr>
              <w:t>中部</w:t>
            </w:r>
            <w:r>
              <w:t>，由</w:t>
            </w:r>
            <w:r>
              <w:rPr>
                <w:rFonts w:hint="eastAsia"/>
              </w:rPr>
              <w:t>西</w:t>
            </w:r>
            <w:r>
              <w:t>至</w:t>
            </w:r>
            <w:r>
              <w:rPr>
                <w:rFonts w:hint="eastAsia"/>
              </w:rPr>
              <w:t>东</w:t>
            </w:r>
            <w:r>
              <w:t>依次为原料堆场、</w:t>
            </w:r>
            <w:r>
              <w:rPr>
                <w:rFonts w:hint="eastAsia"/>
              </w:rPr>
              <w:t>砂石</w:t>
            </w:r>
            <w:r>
              <w:t>加工</w:t>
            </w:r>
            <w:r>
              <w:rPr>
                <w:rFonts w:hint="eastAsia"/>
              </w:rPr>
              <w:t>生产</w:t>
            </w:r>
            <w:r>
              <w:t>区</w:t>
            </w:r>
            <w:r>
              <w:rPr>
                <w:rFonts w:hint="eastAsia"/>
              </w:rPr>
              <w:t>、成品堆场、</w:t>
            </w:r>
            <w:r>
              <w:rPr>
                <w:rFonts w:hint="eastAsia" w:ascii="Times New Roman" w:hAnsi="Times New Roman" w:eastAsia="宋体" w:cs="Times New Roman"/>
                <w:sz w:val="24"/>
                <w:szCs w:val="24"/>
                <w:lang w:eastAsia="zh-CN"/>
              </w:rPr>
              <w:t>洗车平台沉淀池（</w:t>
            </w:r>
            <w:r>
              <w:rPr>
                <w:rFonts w:hint="eastAsia" w:cs="Times New Roman"/>
                <w:sz w:val="24"/>
                <w:szCs w:val="24"/>
                <w:lang w:val="en-US" w:eastAsia="zh-CN"/>
              </w:rPr>
              <w:t>27</w:t>
            </w:r>
            <w:r>
              <w:rPr>
                <w:rFonts w:hint="eastAsia" w:ascii="Times New Roman" w:hAnsi="Times New Roman" w:eastAsia="宋体" w:cs="Times New Roman"/>
                <w:sz w:val="24"/>
                <w:szCs w:val="24"/>
                <w:lang w:val="en-US" w:eastAsia="zh-CN"/>
              </w:rPr>
              <w:t>m³</w:t>
            </w:r>
            <w:r>
              <w:rPr>
                <w:rFonts w:hint="eastAsia" w:ascii="Times New Roman" w:hAnsi="Times New Roman" w:eastAsia="宋体" w:cs="Times New Roman"/>
                <w:sz w:val="24"/>
                <w:szCs w:val="24"/>
                <w:lang w:eastAsia="zh-CN"/>
              </w:rPr>
              <w:t>）、</w:t>
            </w:r>
            <w:r>
              <w:rPr>
                <w:rFonts w:hint="eastAsia"/>
              </w:rPr>
              <w:t>初期雨水池（</w:t>
            </w:r>
            <w:r>
              <w:rPr>
                <w:rFonts w:hint="eastAsia"/>
                <w:lang w:val="en-US" w:eastAsia="zh-CN"/>
              </w:rPr>
              <w:t>116</w:t>
            </w:r>
            <w:r>
              <w:rPr>
                <w:rFonts w:hint="eastAsia"/>
              </w:rPr>
              <w:t>m³），其中砂石加工生产区中设置有一个沉淀池（75m³）以及清水池（27m³）</w:t>
            </w:r>
            <w:r>
              <w:t>；</w:t>
            </w:r>
            <w:r>
              <w:rPr>
                <w:rFonts w:hint="eastAsia"/>
              </w:rPr>
              <w:t>综合办公楼及公厕</w:t>
            </w:r>
            <w:r>
              <w:t>设置在</w:t>
            </w:r>
            <w:r>
              <w:rPr>
                <w:rFonts w:hint="eastAsia"/>
              </w:rPr>
              <w:t>厂区东部；危废间及仓库设置在厂区中部</w:t>
            </w:r>
            <w:r>
              <w:t>。</w:t>
            </w:r>
            <w:r>
              <w:rPr>
                <w:rFonts w:hint="eastAsia"/>
              </w:rPr>
              <w:t>其中初期雨水池及危废间为新建。</w:t>
            </w:r>
          </w:p>
          <w:p>
            <w:pPr>
              <w:pStyle w:val="30"/>
              <w:numPr>
                <w:ilvl w:val="1"/>
                <w:numId w:val="0"/>
              </w:numPr>
              <w:ind w:left="284"/>
            </w:pPr>
            <w:bookmarkStart w:id="28" w:name="_Toc68160357"/>
            <w:bookmarkStart w:id="29" w:name="_Toc26752"/>
            <w:r>
              <w:rPr>
                <w:rFonts w:hint="eastAsia"/>
                <w:b w:val="0"/>
                <w:bCs/>
              </w:rPr>
              <w:t>本项目场区平面布置见附图2。</w:t>
            </w:r>
          </w:p>
          <w:p>
            <w:pPr>
              <w:pStyle w:val="30"/>
              <w:numPr>
                <w:ilvl w:val="1"/>
                <w:numId w:val="0"/>
              </w:numPr>
              <w:ind w:left="284"/>
            </w:pPr>
            <w:r>
              <w:t>2.7公用工程</w:t>
            </w:r>
            <w:bookmarkEnd w:id="28"/>
            <w:bookmarkEnd w:id="29"/>
          </w:p>
          <w:p>
            <w:pPr>
              <w:pStyle w:val="34"/>
              <w:numPr>
                <w:ilvl w:val="2"/>
                <w:numId w:val="0"/>
              </w:numPr>
              <w:ind w:firstLine="481" w:firstLineChars="200"/>
            </w:pPr>
            <w:bookmarkStart w:id="30" w:name="_Toc68160358"/>
            <w:bookmarkStart w:id="31" w:name="_Toc19675"/>
            <w:r>
              <w:t>1、供电</w:t>
            </w:r>
            <w:bookmarkEnd w:id="30"/>
            <w:bookmarkEnd w:id="31"/>
          </w:p>
          <w:p>
            <w:pPr>
              <w:adjustRightInd w:val="0"/>
              <w:snapToGrid w:val="0"/>
              <w:ind w:firstLine="480" w:firstLineChars="200"/>
              <w:rPr>
                <w:color w:val="0000FF"/>
              </w:rPr>
            </w:pPr>
            <w:r>
              <w:rPr>
                <w:rFonts w:hint="eastAsia"/>
              </w:rPr>
              <w:t>本项目用电由当地电网供给，供电条件可以满足项目需要。年用电量为</w:t>
            </w:r>
            <w:r>
              <w:rPr>
                <w:rFonts w:hint="eastAsia" w:ascii="Times New Roman" w:hAnsi="Times New Roman" w:eastAsia="宋体" w:cs="Times New Roman"/>
                <w:sz w:val="24"/>
                <w:szCs w:val="24"/>
              </w:rPr>
              <w:t>6×10</w:t>
            </w:r>
            <w:r>
              <w:rPr>
                <w:rFonts w:hint="eastAsia" w:ascii="Times New Roman" w:hAnsi="Times New Roman" w:eastAsia="宋体" w:cs="Times New Roman"/>
                <w:sz w:val="24"/>
                <w:szCs w:val="24"/>
                <w:vertAlign w:val="superscript"/>
              </w:rPr>
              <w:t>4</w:t>
            </w:r>
            <w:r>
              <w:rPr>
                <w:rFonts w:hint="eastAsia" w:ascii="Times New Roman" w:hAnsi="Times New Roman" w:eastAsia="宋体" w:cs="Times New Roman"/>
                <w:sz w:val="24"/>
                <w:szCs w:val="24"/>
              </w:rPr>
              <w:t>kW·h/a</w:t>
            </w:r>
            <w:r>
              <w:rPr>
                <w:rFonts w:hint="eastAsia"/>
              </w:rPr>
              <w:t>。</w:t>
            </w:r>
          </w:p>
          <w:p>
            <w:pPr>
              <w:pStyle w:val="34"/>
              <w:numPr>
                <w:ilvl w:val="2"/>
                <w:numId w:val="0"/>
              </w:numPr>
              <w:ind w:firstLine="481" w:firstLineChars="200"/>
            </w:pPr>
            <w:bookmarkStart w:id="32" w:name="_Toc68160359"/>
            <w:bookmarkStart w:id="33" w:name="_Toc28772"/>
            <w:r>
              <w:t>2、给排水</w:t>
            </w:r>
            <w:bookmarkEnd w:id="32"/>
            <w:bookmarkEnd w:id="33"/>
          </w:p>
          <w:p>
            <w:pPr>
              <w:adjustRightInd w:val="0"/>
              <w:snapToGrid w:val="0"/>
              <w:ind w:firstLine="480" w:firstLineChars="200"/>
            </w:pPr>
            <w:r>
              <w:t>（1）给水</w:t>
            </w:r>
          </w:p>
          <w:p>
            <w:pPr>
              <w:adjustRightInd w:val="0"/>
              <w:snapToGrid w:val="0"/>
              <w:ind w:firstLine="480" w:firstLineChars="200"/>
            </w:pPr>
            <w:r>
              <w:rPr>
                <w:rFonts w:hint="eastAsia"/>
              </w:rPr>
              <w:t>本项目生产和生活用水直接取附近江河水，</w:t>
            </w:r>
            <w:r>
              <w:t>项目</w:t>
            </w:r>
            <w:r>
              <w:rPr>
                <w:rFonts w:hint="eastAsia"/>
              </w:rPr>
              <w:t>用水量为</w:t>
            </w:r>
            <w:r>
              <w:rPr>
                <w:rFonts w:hint="eastAsia"/>
                <w:sz w:val="24"/>
                <w:szCs w:val="24"/>
              </w:rPr>
              <w:t>1</w:t>
            </w:r>
            <w:r>
              <w:rPr>
                <w:rFonts w:hint="eastAsia"/>
                <w:sz w:val="24"/>
                <w:szCs w:val="24"/>
                <w:lang w:val="en-US" w:eastAsia="zh-CN"/>
              </w:rPr>
              <w:t>74158.93</w:t>
            </w:r>
            <w:r>
              <w:rPr>
                <w:rFonts w:eastAsia="宋体"/>
              </w:rPr>
              <w:t>立</w:t>
            </w:r>
            <w:r>
              <w:t>方米/年</w:t>
            </w:r>
            <w:r>
              <w:rPr>
                <w:rFonts w:hint="eastAsia"/>
              </w:rPr>
              <w:t>。</w:t>
            </w:r>
          </w:p>
          <w:p>
            <w:pPr>
              <w:adjustRightInd w:val="0"/>
              <w:snapToGrid w:val="0"/>
              <w:ind w:firstLine="480" w:firstLineChars="200"/>
            </w:pPr>
            <w:r>
              <w:t>（2）排水</w:t>
            </w:r>
          </w:p>
          <w:p>
            <w:pPr>
              <w:adjustRightInd w:val="0"/>
              <w:snapToGrid w:val="0"/>
              <w:ind w:firstLine="480" w:firstLineChars="200"/>
              <w:rPr>
                <w:color w:val="0000FF"/>
              </w:rPr>
            </w:pPr>
            <w:r>
              <w:t>项目废水不外排，</w:t>
            </w:r>
            <w:r>
              <w:rPr>
                <w:rFonts w:hint="eastAsia"/>
              </w:rPr>
              <w:t>生产</w:t>
            </w:r>
            <w:r>
              <w:rPr>
                <w:rFonts w:hint="eastAsia"/>
                <w:lang w:eastAsia="zh-CN"/>
              </w:rPr>
              <w:t>工艺</w:t>
            </w:r>
            <w:r>
              <w:t>废水收集后经</w:t>
            </w:r>
            <w:r>
              <w:rPr>
                <w:rFonts w:hint="eastAsia"/>
              </w:rPr>
              <w:t>废水</w:t>
            </w:r>
            <w:r>
              <w:t>处理设施处理后，回用于生产；</w:t>
            </w:r>
            <w:r>
              <w:rPr>
                <w:rFonts w:hint="default" w:ascii="Times New Roman" w:hAnsi="Times New Roman" w:eastAsia="宋体" w:cs="Times New Roman"/>
                <w:sz w:val="24"/>
                <w:szCs w:val="24"/>
                <w:lang w:eastAsia="zh-CN"/>
              </w:rPr>
              <w:t>洗车废水经洗车平台沉淀池处理后回用于</w:t>
            </w:r>
            <w:r>
              <w:rPr>
                <w:rFonts w:hint="eastAsia" w:cs="Times New Roman"/>
                <w:kern w:val="0"/>
                <w:sz w:val="24"/>
                <w:szCs w:val="24"/>
                <w:lang w:eastAsia="zh-CN" w:bidi="ar"/>
              </w:rPr>
              <w:t>车辆轮胎清洗</w:t>
            </w:r>
            <w:r>
              <w:rPr>
                <w:rFonts w:hint="default" w:ascii="Times New Roman" w:hAnsi="Times New Roman" w:eastAsia="宋体" w:cs="Times New Roman"/>
                <w:sz w:val="24"/>
                <w:szCs w:val="24"/>
                <w:lang w:eastAsia="zh-CN"/>
              </w:rPr>
              <w:t>；</w:t>
            </w:r>
            <w:r>
              <w:rPr>
                <w:rFonts w:ascii="Times New Roman" w:hAnsi="Times New Roman" w:eastAsia="宋体" w:cs="Times New Roman"/>
                <w:u w:val="single"/>
              </w:rPr>
              <w:t>厂</w:t>
            </w:r>
            <w:r>
              <w:rPr>
                <w:u w:val="single"/>
              </w:rPr>
              <w:t>区初期雨水</w:t>
            </w:r>
            <w:r>
              <w:rPr>
                <w:color w:val="auto"/>
                <w:sz w:val="24"/>
                <w:szCs w:val="22"/>
                <w:u w:val="single"/>
                <w:lang w:bidi="zh-CN"/>
              </w:rPr>
              <w:t>通过截排水沟将</w:t>
            </w:r>
            <w:r>
              <w:rPr>
                <w:rFonts w:hint="eastAsia"/>
                <w:color w:val="auto"/>
                <w:sz w:val="24"/>
                <w:szCs w:val="22"/>
                <w:u w:val="single"/>
                <w:lang w:bidi="zh-CN"/>
              </w:rPr>
              <w:t>厂区</w:t>
            </w:r>
            <w:r>
              <w:rPr>
                <w:color w:val="auto"/>
                <w:sz w:val="24"/>
                <w:szCs w:val="22"/>
                <w:u w:val="single"/>
                <w:lang w:bidi="zh-CN"/>
              </w:rPr>
              <w:t>汇集的地表径流收集至</w:t>
            </w:r>
            <w:r>
              <w:rPr>
                <w:rFonts w:hint="eastAsia"/>
                <w:u w:val="single"/>
              </w:rPr>
              <w:t>初期雨水收集池沉淀处理后回用于洒水降尘</w:t>
            </w:r>
            <w:r>
              <w:rPr>
                <w:u w:val="single"/>
              </w:rPr>
              <w:t>。</w:t>
            </w:r>
            <w:r>
              <w:t>生活污水</w:t>
            </w:r>
            <w:r>
              <w:rPr>
                <w:rFonts w:hint="eastAsia"/>
              </w:rPr>
              <w:t>（含食堂废水）</w:t>
            </w:r>
            <w:r>
              <w:t>经</w:t>
            </w:r>
            <w:r>
              <w:rPr>
                <w:rFonts w:hint="eastAsia"/>
              </w:rPr>
              <w:t>隔油</w:t>
            </w:r>
            <w:r>
              <w:t>化粪池收集处理后用于周边</w:t>
            </w:r>
            <w:r>
              <w:rPr>
                <w:rFonts w:hint="eastAsia"/>
              </w:rPr>
              <w:t>菜地</w:t>
            </w:r>
            <w:r>
              <w:t>灌溉。</w:t>
            </w:r>
          </w:p>
          <w:p>
            <w:pPr>
              <w:tabs>
                <w:tab w:val="left" w:pos="884"/>
              </w:tabs>
              <w:ind w:firstLine="480"/>
              <w:rPr>
                <w:b/>
                <w:bCs/>
              </w:rPr>
            </w:pPr>
            <w:r>
              <w:rPr>
                <w:rFonts w:hint="eastAsia"/>
                <w:b/>
                <w:bCs/>
              </w:rPr>
              <w:t>3、供热</w:t>
            </w:r>
          </w:p>
          <w:p>
            <w:pPr>
              <w:adjustRightInd w:val="0"/>
              <w:snapToGrid w:val="0"/>
              <w:ind w:firstLine="480" w:firstLineChars="200"/>
              <w:rPr>
                <w:color w:val="0000FF"/>
              </w:rPr>
            </w:pPr>
            <w:r>
              <w:rPr>
                <w:rFonts w:hint="eastAsia"/>
              </w:rPr>
              <w:t>本项目</w:t>
            </w:r>
            <w:r>
              <w:rPr>
                <w:spacing w:val="9"/>
              </w:rPr>
              <w:t>不设锅炉</w:t>
            </w:r>
            <w:r>
              <w:rPr>
                <w:rFonts w:hint="eastAsia"/>
                <w:spacing w:val="9"/>
              </w:rPr>
              <w:t>，</w:t>
            </w:r>
            <w:r>
              <w:rPr>
                <w:rFonts w:hint="eastAsia"/>
              </w:rPr>
              <w:t>供热主要为电能。</w:t>
            </w:r>
          </w:p>
          <w:p>
            <w:pPr>
              <w:pStyle w:val="30"/>
              <w:numPr>
                <w:ilvl w:val="1"/>
                <w:numId w:val="0"/>
              </w:numPr>
              <w:ind w:left="284"/>
            </w:pPr>
            <w:bookmarkStart w:id="34" w:name="_Toc21035"/>
            <w:r>
              <w:t>2.8项目用地现状</w:t>
            </w:r>
            <w:bookmarkEnd w:id="34"/>
          </w:p>
          <w:p>
            <w:pPr>
              <w:adjustRightInd w:val="0"/>
              <w:snapToGrid w:val="0"/>
              <w:ind w:firstLine="480" w:firstLineChars="200"/>
            </w:pPr>
            <w:r>
              <w:t>项目位于湖南省</w:t>
            </w:r>
            <w:r>
              <w:rPr>
                <w:rFonts w:hint="eastAsia"/>
              </w:rPr>
              <w:t>怀化市辰溪县火马冲镇沙堆村</w:t>
            </w:r>
            <w:r>
              <w:t>，占地面积为</w:t>
            </w:r>
            <w:r>
              <w:rPr>
                <w:rFonts w:hint="eastAsia"/>
              </w:rPr>
              <w:t>17032</w:t>
            </w:r>
            <w:r>
              <w:t>m</w:t>
            </w:r>
            <w:r>
              <w:rPr>
                <w:vertAlign w:val="superscript"/>
              </w:rPr>
              <w:t>2</w:t>
            </w:r>
            <w:r>
              <w:t>，项目不占用林地及基本农田</w:t>
            </w:r>
            <w:r>
              <w:rPr>
                <w:rFonts w:hint="eastAsia"/>
              </w:rPr>
              <w:t>。</w:t>
            </w:r>
          </w:p>
          <w:p>
            <w:pPr>
              <w:adjustRightInd w:val="0"/>
              <w:snapToGrid w:val="0"/>
              <w:ind w:firstLine="0" w:firstLineChars="0"/>
              <w:rPr>
                <w:rFonts w:hint="default" w:eastAsia="宋体"/>
                <w:color w:val="0000FF"/>
                <w:lang w:val="en-US" w:eastAsia="zh-CN"/>
              </w:rPr>
            </w:pPr>
            <w:r>
              <w:rPr>
                <w:rFonts w:hint="eastAsia"/>
                <w:color w:val="0000FF"/>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23" w:hRule="atLeast"/>
          <w:jc w:val="center"/>
        </w:trPr>
        <w:tc>
          <w:tcPr>
            <w:tcW w:w="414" w:type="dxa"/>
            <w:vAlign w:val="center"/>
          </w:tcPr>
          <w:p>
            <w:pPr>
              <w:widowControl/>
              <w:adjustRightInd w:val="0"/>
              <w:snapToGrid w:val="0"/>
              <w:spacing w:line="240" w:lineRule="auto"/>
              <w:jc w:val="center"/>
              <w:rPr>
                <w:color w:val="0000FF"/>
                <w:kern w:val="0"/>
                <w:szCs w:val="21"/>
              </w:rPr>
            </w:pPr>
            <w:r>
              <w:rPr>
                <w:kern w:val="0"/>
                <w:szCs w:val="21"/>
              </w:rPr>
              <w:t>工艺流程和产排污环节</w:t>
            </w:r>
          </w:p>
        </w:tc>
        <w:tc>
          <w:tcPr>
            <w:tcW w:w="8646" w:type="dxa"/>
          </w:tcPr>
          <w:p>
            <w:pPr>
              <w:pStyle w:val="30"/>
              <w:numPr>
                <w:ilvl w:val="1"/>
                <w:numId w:val="0"/>
              </w:numPr>
              <w:ind w:left="284"/>
            </w:pPr>
            <w:bookmarkStart w:id="35" w:name="_Toc68160360"/>
            <w:bookmarkStart w:id="36" w:name="_Toc19742"/>
            <w:r>
              <w:t>2.9工艺流程及产污环节</w:t>
            </w:r>
            <w:bookmarkEnd w:id="35"/>
            <w:bookmarkEnd w:id="36"/>
          </w:p>
          <w:p>
            <w:pPr>
              <w:pStyle w:val="35"/>
              <w:ind w:firstLine="481" w:firstLineChars="200"/>
              <w:jc w:val="both"/>
            </w:pPr>
            <w:bookmarkStart w:id="37" w:name="_Toc21895"/>
            <w:r>
              <w:rPr>
                <w:rFonts w:hint="eastAsia"/>
                <w:b/>
                <w:bCs/>
                <w:lang w:val="en-US" w:eastAsia="zh-CN"/>
              </w:rPr>
              <w:t>1</w:t>
            </w:r>
            <w:r>
              <w:rPr>
                <w:b/>
                <w:bCs/>
              </w:rPr>
              <w:t>、营运期工艺流程及产污环节</w:t>
            </w:r>
            <w:bookmarkEnd w:id="37"/>
          </w:p>
          <w:p>
            <w:pPr>
              <w:pStyle w:val="34"/>
              <w:numPr>
                <w:ilvl w:val="2"/>
                <w:numId w:val="0"/>
              </w:numPr>
              <w:ind w:firstLine="481" w:firstLineChars="200"/>
            </w:pPr>
            <w:r>
              <w:t>（1）本项目砂石生产工艺及产污流程见下图：</w:t>
            </w:r>
          </w:p>
          <w:p>
            <w:pPr>
              <w:pStyle w:val="34"/>
              <w:numPr>
                <w:ilvl w:val="0"/>
                <w:numId w:val="0"/>
              </w:numPr>
              <w:spacing w:line="240" w:lineRule="auto"/>
              <w:jc w:val="center"/>
              <w:rPr>
                <w:color w:val="0000FF"/>
              </w:rPr>
            </w:pPr>
            <w:r>
              <w:drawing>
                <wp:inline distT="0" distB="0" distL="114300" distR="114300">
                  <wp:extent cx="5343525" cy="2871470"/>
                  <wp:effectExtent l="0" t="0" r="9525"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5343525" cy="2871470"/>
                          </a:xfrm>
                          <a:prstGeom prst="rect">
                            <a:avLst/>
                          </a:prstGeom>
                          <a:noFill/>
                          <a:ln>
                            <a:noFill/>
                          </a:ln>
                        </pic:spPr>
                      </pic:pic>
                    </a:graphicData>
                  </a:graphic>
                </wp:inline>
              </w:drawing>
            </w:r>
          </w:p>
          <w:p>
            <w:pPr>
              <w:jc w:val="center"/>
            </w:pPr>
            <w:r>
              <w:rPr>
                <w:b/>
                <w:bCs/>
                <w:snapToGrid w:val="0"/>
                <w:kern w:val="0"/>
                <w:sz w:val="21"/>
                <w:szCs w:val="21"/>
              </w:rPr>
              <w:t>图2-</w:t>
            </w:r>
            <w:r>
              <w:rPr>
                <w:rFonts w:hint="eastAsia"/>
                <w:b/>
                <w:bCs/>
                <w:snapToGrid w:val="0"/>
                <w:kern w:val="0"/>
                <w:sz w:val="21"/>
                <w:szCs w:val="21"/>
                <w:lang w:val="en-US" w:eastAsia="zh-CN"/>
              </w:rPr>
              <w:t>1</w:t>
            </w:r>
            <w:r>
              <w:rPr>
                <w:b/>
                <w:bCs/>
                <w:snapToGrid w:val="0"/>
                <w:kern w:val="0"/>
                <w:sz w:val="21"/>
                <w:szCs w:val="21"/>
              </w:rPr>
              <w:t>生产工艺流程及产污环节图</w:t>
            </w:r>
          </w:p>
          <w:p>
            <w:pPr>
              <w:ind w:left="198" w:hanging="197" w:hangingChars="82"/>
              <w:jc w:val="left"/>
              <w:outlineLvl w:val="0"/>
              <w:rPr>
                <w:b/>
              </w:rPr>
            </w:pPr>
            <w:bookmarkStart w:id="38" w:name="_Toc11438"/>
            <w:r>
              <w:rPr>
                <w:b/>
              </w:rPr>
              <w:t>工艺流程简介：</w:t>
            </w:r>
            <w:bookmarkEnd w:id="38"/>
          </w:p>
          <w:p>
            <w:pPr>
              <w:ind w:firstLine="480" w:firstLineChars="200"/>
              <w:outlineLvl w:val="0"/>
            </w:pPr>
            <w:bookmarkStart w:id="39" w:name="_Toc5710"/>
            <w:r>
              <w:rPr>
                <w:rFonts w:hint="eastAsia"/>
                <w:u w:val="single"/>
                <w:lang w:eastAsia="zh-CN"/>
              </w:rPr>
              <w:t>原料</w:t>
            </w:r>
            <w:r>
              <w:rPr>
                <w:rFonts w:hint="eastAsia"/>
                <w:u w:val="single"/>
              </w:rPr>
              <w:t>鹅卵石</w:t>
            </w:r>
            <w:r>
              <w:rPr>
                <w:u w:val="single"/>
              </w:rPr>
              <w:t>通过汽车运输方式运至厂区，</w:t>
            </w:r>
            <w:r>
              <w:rPr>
                <w:rFonts w:hint="eastAsia"/>
                <w:u w:val="single"/>
              </w:rPr>
              <w:t>一般不暂存。破碎采用湿法工艺，</w:t>
            </w:r>
            <w:r>
              <w:rPr>
                <w:rFonts w:hint="default"/>
                <w:sz w:val="24"/>
                <w:szCs w:val="24"/>
                <w:u w:val="single"/>
              </w:rPr>
              <w:t>对</w:t>
            </w:r>
            <w:r>
              <w:rPr>
                <w:rFonts w:hint="default"/>
                <w:sz w:val="24"/>
                <w:szCs w:val="24"/>
                <w:u w:val="single"/>
                <w:lang w:eastAsia="zh-CN"/>
              </w:rPr>
              <w:t>破碎工序</w:t>
            </w:r>
            <w:r>
              <w:rPr>
                <w:rFonts w:hint="default"/>
                <w:sz w:val="24"/>
                <w:szCs w:val="24"/>
                <w:u w:val="single"/>
              </w:rPr>
              <w:t>设置</w:t>
            </w:r>
            <w:r>
              <w:rPr>
                <w:rFonts w:hint="default"/>
                <w:sz w:val="24"/>
                <w:szCs w:val="24"/>
                <w:u w:val="single"/>
                <w:lang w:eastAsia="zh-CN"/>
              </w:rPr>
              <w:t>三面</w:t>
            </w:r>
            <w:r>
              <w:rPr>
                <w:rFonts w:hint="default"/>
                <w:sz w:val="24"/>
                <w:szCs w:val="24"/>
                <w:u w:val="single"/>
              </w:rPr>
              <w:t>围挡</w:t>
            </w:r>
            <w:r>
              <w:rPr>
                <w:rFonts w:hint="default"/>
                <w:sz w:val="24"/>
                <w:szCs w:val="24"/>
                <w:u w:val="single"/>
                <w:lang w:eastAsia="zh-CN"/>
              </w:rPr>
              <w:t>，</w:t>
            </w:r>
            <w:r>
              <w:rPr>
                <w:rFonts w:hint="eastAsia"/>
                <w:u w:val="single"/>
              </w:rPr>
              <w:t>全程带水作业，将鹅卵石</w:t>
            </w:r>
            <w:r>
              <w:rPr>
                <w:u w:val="single"/>
              </w:rPr>
              <w:t>投入</w:t>
            </w:r>
            <w:r>
              <w:rPr>
                <w:rFonts w:hint="eastAsia"/>
                <w:u w:val="single"/>
              </w:rPr>
              <w:t>鄂破机一次</w:t>
            </w:r>
            <w:r>
              <w:rPr>
                <w:u w:val="single"/>
              </w:rPr>
              <w:t>破碎</w:t>
            </w:r>
            <w:r>
              <w:rPr>
                <w:rFonts w:hint="eastAsia"/>
                <w:u w:val="single"/>
              </w:rPr>
              <w:t>后通过皮带运输机输随水送至圆锥机二次破碎</w:t>
            </w:r>
            <w:r>
              <w:rPr>
                <w:u w:val="single"/>
              </w:rPr>
              <w:t>，经</w:t>
            </w:r>
            <w:r>
              <w:rPr>
                <w:rFonts w:hint="eastAsia"/>
                <w:u w:val="single"/>
              </w:rPr>
              <w:t>二次</w:t>
            </w:r>
            <w:r>
              <w:rPr>
                <w:u w:val="single"/>
              </w:rPr>
              <w:t>破碎后的石料通过传送带输</w:t>
            </w:r>
            <w:r>
              <w:rPr>
                <w:rFonts w:hint="eastAsia"/>
                <w:u w:val="single"/>
              </w:rPr>
              <w:t>随水</w:t>
            </w:r>
            <w:r>
              <w:rPr>
                <w:u w:val="single"/>
              </w:rPr>
              <w:t>送至振动筛进行筛分，</w:t>
            </w:r>
            <w:r>
              <w:rPr>
                <w:rFonts w:hint="eastAsia"/>
                <w:u w:val="single"/>
              </w:rPr>
              <w:t>振动筛按传送方向孔径依次从小到大，</w:t>
            </w:r>
            <w:r>
              <w:rPr>
                <w:u w:val="single"/>
              </w:rPr>
              <w:t>大于</w:t>
            </w:r>
            <w:r>
              <w:rPr>
                <w:rFonts w:hint="eastAsia"/>
                <w:u w:val="single"/>
              </w:rPr>
              <w:t>7</w:t>
            </w:r>
            <w:r>
              <w:rPr>
                <w:u w:val="single"/>
              </w:rPr>
              <w:t>mm粒径的不合格的石料</w:t>
            </w:r>
            <w:r>
              <w:rPr>
                <w:rFonts w:hint="eastAsia"/>
                <w:u w:val="single"/>
              </w:rPr>
              <w:t>随水</w:t>
            </w:r>
            <w:r>
              <w:rPr>
                <w:u w:val="single"/>
              </w:rPr>
              <w:t>返回</w:t>
            </w:r>
            <w:r>
              <w:rPr>
                <w:rFonts w:hint="eastAsia"/>
                <w:u w:val="single"/>
              </w:rPr>
              <w:t>圆锥机继续二次破碎</w:t>
            </w:r>
            <w:r>
              <w:rPr>
                <w:u w:val="single"/>
              </w:rPr>
              <w:t>，</w:t>
            </w:r>
            <w:r>
              <w:rPr>
                <w:rFonts w:hint="eastAsia"/>
                <w:u w:val="single"/>
              </w:rPr>
              <w:t>小于7</w:t>
            </w:r>
            <w:r>
              <w:rPr>
                <w:u w:val="single"/>
              </w:rPr>
              <w:t>mm</w:t>
            </w:r>
            <w:r>
              <w:rPr>
                <w:rFonts w:hint="eastAsia"/>
                <w:u w:val="single"/>
              </w:rPr>
              <w:t>粒径</w:t>
            </w:r>
            <w:r>
              <w:rPr>
                <w:u w:val="single"/>
              </w:rPr>
              <w:t>的</w:t>
            </w:r>
            <w:r>
              <w:rPr>
                <w:rFonts w:hint="eastAsia"/>
                <w:u w:val="single"/>
              </w:rPr>
              <w:t>石料通过皮带运输机输随水送至对锟制砂机制成粒径小于4mm的砂石料。其中，皮带运输机上装有可移动漏斗以及输水管，砂石破碎过程所含的水一部分自然蒸发，一部分与砂石一起进入制砂工序，故破碎过程中无废水产生。</w:t>
            </w:r>
          </w:p>
          <w:p>
            <w:pPr>
              <w:ind w:firstLine="480" w:firstLineChars="200"/>
              <w:outlineLvl w:val="0"/>
            </w:pPr>
            <w:r>
              <w:t>经破碎、筛分后的合格</w:t>
            </w:r>
            <w:r>
              <w:rPr>
                <w:rFonts w:hint="eastAsia"/>
              </w:rPr>
              <w:t>砂石料</w:t>
            </w:r>
            <w:r>
              <w:t>需要水洗的原料</w:t>
            </w:r>
            <w:r>
              <w:rPr>
                <w:rFonts w:hint="eastAsia"/>
              </w:rPr>
              <w:t>随水</w:t>
            </w:r>
            <w:r>
              <w:t>进入洗砂机，通过冲洗去除原料筛分过程中由于激烈碰撞以及本身带有的泥粉杂质，以提高砂子级配进而达到建筑用砂标准。经过洗砂后的水洗砂进入脱水机脱水，脱水后的水洗砂含水率为14%,含悬浮石粉的上层废水进入废水处理系统处理，</w:t>
            </w:r>
            <w:r>
              <w:rPr>
                <w:rFonts w:hint="eastAsia"/>
              </w:rPr>
              <w:t>砂石经脱水筛脱水后</w:t>
            </w:r>
            <w:r>
              <w:t>成品送至</w:t>
            </w:r>
            <w:r>
              <w:rPr>
                <w:rFonts w:hint="eastAsia"/>
              </w:rPr>
              <w:t>成品</w:t>
            </w:r>
            <w:r>
              <w:t>堆场暂存</w:t>
            </w:r>
            <w:r>
              <w:rPr>
                <w:rFonts w:hint="eastAsia"/>
              </w:rPr>
              <w:t>后外售</w:t>
            </w:r>
            <w:r>
              <w:t>。项目采用湿法作业，粉尘产生量较少。</w:t>
            </w:r>
            <w:bookmarkEnd w:id="39"/>
          </w:p>
          <w:p>
            <w:pPr>
              <w:pStyle w:val="34"/>
              <w:numPr>
                <w:ilvl w:val="2"/>
                <w:numId w:val="0"/>
              </w:numPr>
              <w:ind w:left="709"/>
            </w:pPr>
            <w:r>
              <w:t>（2）本项目厂区废水处理工艺及产污流程见下图：</w:t>
            </w:r>
          </w:p>
          <w:p>
            <w:pPr>
              <w:spacing w:line="240" w:lineRule="auto"/>
              <w:jc w:val="center"/>
              <w:rPr>
                <w:b/>
                <w:bCs/>
                <w:snapToGrid w:val="0"/>
                <w:color w:val="0000FF"/>
                <w:kern w:val="0"/>
                <w:sz w:val="21"/>
                <w:szCs w:val="21"/>
              </w:rPr>
            </w:pPr>
            <w:r>
              <w:drawing>
                <wp:inline distT="0" distB="0" distL="114300" distR="114300">
                  <wp:extent cx="5350510" cy="2508885"/>
                  <wp:effectExtent l="0" t="0" r="2540" b="571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4"/>
                          <a:stretch>
                            <a:fillRect/>
                          </a:stretch>
                        </pic:blipFill>
                        <pic:spPr>
                          <a:xfrm>
                            <a:off x="0" y="0"/>
                            <a:ext cx="5350510" cy="2508885"/>
                          </a:xfrm>
                          <a:prstGeom prst="rect">
                            <a:avLst/>
                          </a:prstGeom>
                          <a:noFill/>
                          <a:ln>
                            <a:noFill/>
                          </a:ln>
                        </pic:spPr>
                      </pic:pic>
                    </a:graphicData>
                  </a:graphic>
                </wp:inline>
              </w:drawing>
            </w:r>
          </w:p>
          <w:p>
            <w:pPr>
              <w:spacing w:line="240" w:lineRule="auto"/>
              <w:jc w:val="center"/>
              <w:rPr>
                <w:b/>
                <w:bCs/>
                <w:snapToGrid w:val="0"/>
                <w:kern w:val="0"/>
                <w:sz w:val="21"/>
                <w:szCs w:val="21"/>
              </w:rPr>
            </w:pPr>
            <w:r>
              <w:rPr>
                <w:b/>
                <w:bCs/>
                <w:snapToGrid w:val="0"/>
                <w:kern w:val="0"/>
                <w:sz w:val="21"/>
                <w:szCs w:val="21"/>
              </w:rPr>
              <w:t>图2-</w:t>
            </w:r>
            <w:r>
              <w:rPr>
                <w:rFonts w:hint="eastAsia"/>
                <w:b/>
                <w:bCs/>
                <w:snapToGrid w:val="0"/>
                <w:kern w:val="0"/>
                <w:sz w:val="21"/>
                <w:szCs w:val="21"/>
                <w:lang w:val="en-US" w:eastAsia="zh-CN"/>
              </w:rPr>
              <w:t>2</w:t>
            </w:r>
            <w:r>
              <w:rPr>
                <w:b/>
                <w:bCs/>
                <w:snapToGrid w:val="0"/>
                <w:kern w:val="0"/>
                <w:sz w:val="21"/>
                <w:szCs w:val="21"/>
              </w:rPr>
              <w:t xml:space="preserve"> 厂区</w:t>
            </w:r>
            <w:r>
              <w:rPr>
                <w:rFonts w:hint="eastAsia"/>
                <w:b/>
                <w:bCs/>
                <w:snapToGrid w:val="0"/>
                <w:kern w:val="0"/>
                <w:sz w:val="21"/>
                <w:szCs w:val="21"/>
                <w:lang w:eastAsia="zh-CN"/>
              </w:rPr>
              <w:t>生产工艺</w:t>
            </w:r>
            <w:r>
              <w:rPr>
                <w:b/>
                <w:bCs/>
                <w:snapToGrid w:val="0"/>
                <w:kern w:val="0"/>
                <w:sz w:val="21"/>
                <w:szCs w:val="21"/>
              </w:rPr>
              <w:t>废水处理工艺流程图</w:t>
            </w:r>
          </w:p>
          <w:p>
            <w:pPr>
              <w:adjustRightInd w:val="0"/>
              <w:snapToGrid w:val="0"/>
              <w:spacing w:line="240" w:lineRule="auto"/>
              <w:ind w:firstLine="480" w:firstLineChars="200"/>
              <w:jc w:val="center"/>
              <w:rPr>
                <w:bCs/>
                <w:color w:val="0000FF"/>
                <w:szCs w:val="21"/>
              </w:rPr>
            </w:pPr>
          </w:p>
          <w:p>
            <w:pPr>
              <w:ind w:left="198" w:hanging="197" w:hangingChars="82"/>
              <w:jc w:val="left"/>
              <w:outlineLvl w:val="0"/>
              <w:rPr>
                <w:b/>
              </w:rPr>
            </w:pPr>
            <w:bookmarkStart w:id="40" w:name="_Toc1207"/>
            <w:r>
              <w:rPr>
                <w:b/>
              </w:rPr>
              <w:t>工艺流程简述：</w:t>
            </w:r>
            <w:bookmarkEnd w:id="40"/>
          </w:p>
          <w:p>
            <w:pPr>
              <w:ind w:firstLine="480" w:firstLineChars="200"/>
              <w:jc w:val="both"/>
              <w:outlineLvl w:val="0"/>
            </w:pPr>
            <w:bookmarkStart w:id="41" w:name="_Toc30080"/>
            <w:r>
              <w:t>生产过程中产生的</w:t>
            </w:r>
            <w:r>
              <w:rPr>
                <w:rFonts w:hint="eastAsia"/>
                <w:lang w:eastAsia="zh-CN"/>
              </w:rPr>
              <w:t>生产工艺废水</w:t>
            </w:r>
            <w:r>
              <w:rPr>
                <w:rFonts w:hint="eastAsia"/>
              </w:rPr>
              <w:t>及脱水筛脱水产生的废水</w:t>
            </w:r>
            <w:r>
              <w:t>经排水沟收集汇入废水收集池，然后使用水泵抽至浓缩罐中，加入絮凝剂使废水中的悬浮物快速絮凝沉淀，沉淀泥浆废水沉降于下层，上清液直接清水池，下沉泥浆通过污泥泵送至板框压滤机，经重力楔形脱水、预压、压榨脱水成为泥饼，清水进入清水池回用于洗砂生产线，清水池中的水可直接回到洗砂系统中，不外排。</w:t>
            </w:r>
            <w:bookmarkEnd w:id="41"/>
          </w:p>
          <w:p>
            <w:pPr>
              <w:adjustRightInd w:val="0"/>
              <w:snapToGrid w:val="0"/>
              <w:ind w:firstLine="477" w:firstLineChars="200"/>
              <w:rPr>
                <w:b/>
                <w:spacing w:val="-1"/>
              </w:rPr>
            </w:pPr>
            <w:r>
              <w:rPr>
                <w:rFonts w:hint="eastAsia"/>
                <w:b/>
                <w:spacing w:val="-1"/>
              </w:rPr>
              <w:t>（3）物料平衡</w:t>
            </w:r>
          </w:p>
          <w:p>
            <w:pPr>
              <w:adjustRightInd w:val="0"/>
              <w:snapToGrid w:val="0"/>
              <w:ind w:firstLine="480" w:firstLineChars="200"/>
            </w:pPr>
            <w:r>
              <w:rPr>
                <w:rFonts w:hint="eastAsia"/>
              </w:rPr>
              <w:t>项目物料平衡见下表。</w:t>
            </w:r>
          </w:p>
          <w:p>
            <w:pPr>
              <w:adjustRightInd w:val="0"/>
              <w:snapToGrid w:val="0"/>
              <w:spacing w:line="240" w:lineRule="auto"/>
              <w:ind w:firstLine="437" w:firstLineChars="200"/>
              <w:jc w:val="center"/>
              <w:rPr>
                <w:b/>
                <w:bCs/>
                <w:snapToGrid w:val="0"/>
                <w:spacing w:val="4"/>
                <w:kern w:val="0"/>
                <w:sz w:val="21"/>
                <w:szCs w:val="18"/>
                <w:u w:val="single"/>
              </w:rPr>
            </w:pPr>
            <w:r>
              <w:rPr>
                <w:rFonts w:hint="eastAsia"/>
                <w:b/>
                <w:bCs/>
                <w:snapToGrid w:val="0"/>
                <w:spacing w:val="4"/>
                <w:kern w:val="0"/>
                <w:sz w:val="21"/>
                <w:szCs w:val="18"/>
                <w:u w:val="single"/>
              </w:rPr>
              <w:t>表2-5   物料平衡表  单位： （t/a）</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26"/>
              <w:gridCol w:w="1700"/>
              <w:gridCol w:w="1764"/>
              <w:gridCol w:w="826"/>
              <w:gridCol w:w="1939"/>
              <w:gridCol w:w="172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22" w:type="pct"/>
                  <w:gridSpan w:val="3"/>
                  <w:tcBorders>
                    <w:top w:val="single" w:color="auto" w:sz="4" w:space="0"/>
                    <w:left w:val="single" w:color="auto" w:sz="4" w:space="0"/>
                    <w:bottom w:val="single" w:color="auto" w:sz="6" w:space="0"/>
                    <w:right w:val="single" w:color="auto" w:sz="6" w:space="0"/>
                  </w:tcBorders>
                  <w:vAlign w:val="center"/>
                </w:tcPr>
                <w:p>
                  <w:pPr>
                    <w:widowControl/>
                    <w:spacing w:line="240" w:lineRule="auto"/>
                    <w:jc w:val="center"/>
                    <w:rPr>
                      <w:b/>
                      <w:sz w:val="21"/>
                      <w:szCs w:val="21"/>
                      <w:u w:val="single"/>
                    </w:rPr>
                  </w:pPr>
                  <w:r>
                    <w:rPr>
                      <w:rFonts w:hAnsi="宋体"/>
                      <w:b/>
                      <w:sz w:val="21"/>
                      <w:szCs w:val="21"/>
                      <w:u w:val="single"/>
                    </w:rPr>
                    <w:t>投入</w:t>
                  </w:r>
                </w:p>
              </w:tc>
              <w:tc>
                <w:tcPr>
                  <w:tcW w:w="2677" w:type="pct"/>
                  <w:gridSpan w:val="3"/>
                  <w:tcBorders>
                    <w:top w:val="single" w:color="auto" w:sz="4" w:space="0"/>
                    <w:left w:val="single" w:color="auto" w:sz="6" w:space="0"/>
                    <w:bottom w:val="single" w:color="auto" w:sz="6" w:space="0"/>
                    <w:right w:val="single" w:color="auto" w:sz="4" w:space="0"/>
                  </w:tcBorders>
                  <w:vAlign w:val="center"/>
                </w:tcPr>
                <w:p>
                  <w:pPr>
                    <w:widowControl/>
                    <w:spacing w:line="240" w:lineRule="auto"/>
                    <w:jc w:val="center"/>
                    <w:rPr>
                      <w:b/>
                      <w:sz w:val="21"/>
                      <w:szCs w:val="21"/>
                      <w:u w:val="single"/>
                    </w:rPr>
                  </w:pPr>
                  <w:r>
                    <w:rPr>
                      <w:rFonts w:hAnsi="宋体"/>
                      <w:b/>
                      <w:sz w:val="21"/>
                      <w:szCs w:val="21"/>
                      <w:u w:val="single"/>
                    </w:rPr>
                    <w:t>产出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6" w:hRule="atLeast"/>
                <w:jc w:val="center"/>
              </w:trPr>
              <w:tc>
                <w:tcPr>
                  <w:tcW w:w="1269" w:type="pct"/>
                  <w:gridSpan w:val="2"/>
                  <w:tcBorders>
                    <w:top w:val="single" w:color="auto" w:sz="6" w:space="0"/>
                    <w:left w:val="single" w:color="auto" w:sz="4" w:space="0"/>
                    <w:bottom w:val="single" w:color="auto" w:sz="6" w:space="0"/>
                    <w:right w:val="single" w:color="auto" w:sz="6" w:space="0"/>
                  </w:tcBorders>
                  <w:vAlign w:val="center"/>
                </w:tcPr>
                <w:p>
                  <w:pPr>
                    <w:widowControl/>
                    <w:spacing w:line="240" w:lineRule="auto"/>
                    <w:jc w:val="center"/>
                    <w:rPr>
                      <w:b/>
                      <w:sz w:val="21"/>
                      <w:szCs w:val="21"/>
                      <w:u w:val="single"/>
                    </w:rPr>
                  </w:pPr>
                  <w:r>
                    <w:rPr>
                      <w:rFonts w:hAnsi="宋体"/>
                      <w:b/>
                      <w:sz w:val="21"/>
                      <w:szCs w:val="21"/>
                      <w:u w:val="single"/>
                    </w:rPr>
                    <w:t>名称</w:t>
                  </w:r>
                </w:p>
              </w:tc>
              <w:tc>
                <w:tcPr>
                  <w:tcW w:w="1053" w:type="pct"/>
                  <w:tcBorders>
                    <w:top w:val="single" w:color="auto" w:sz="6" w:space="0"/>
                    <w:left w:val="single" w:color="auto" w:sz="6" w:space="0"/>
                    <w:bottom w:val="single" w:color="auto" w:sz="6" w:space="0"/>
                    <w:right w:val="single" w:color="auto" w:sz="6" w:space="0"/>
                  </w:tcBorders>
                  <w:vAlign w:val="center"/>
                </w:tcPr>
                <w:p>
                  <w:pPr>
                    <w:widowControl/>
                    <w:spacing w:line="240" w:lineRule="auto"/>
                    <w:jc w:val="center"/>
                    <w:rPr>
                      <w:b/>
                      <w:sz w:val="21"/>
                      <w:szCs w:val="21"/>
                      <w:u w:val="single"/>
                    </w:rPr>
                  </w:pPr>
                  <w:r>
                    <w:rPr>
                      <w:rFonts w:hAnsi="宋体"/>
                      <w:b/>
                      <w:sz w:val="21"/>
                      <w:szCs w:val="21"/>
                      <w:u w:val="single"/>
                    </w:rPr>
                    <w:t>数量</w:t>
                  </w:r>
                </w:p>
              </w:tc>
              <w:tc>
                <w:tcPr>
                  <w:tcW w:w="1650" w:type="pct"/>
                  <w:gridSpan w:val="2"/>
                  <w:tcBorders>
                    <w:top w:val="single" w:color="auto" w:sz="6" w:space="0"/>
                    <w:left w:val="single" w:color="auto" w:sz="6" w:space="0"/>
                    <w:bottom w:val="single" w:color="auto" w:sz="6" w:space="0"/>
                    <w:right w:val="single" w:color="auto" w:sz="6" w:space="0"/>
                  </w:tcBorders>
                  <w:vAlign w:val="center"/>
                </w:tcPr>
                <w:p>
                  <w:pPr>
                    <w:widowControl/>
                    <w:spacing w:line="240" w:lineRule="auto"/>
                    <w:jc w:val="center"/>
                    <w:rPr>
                      <w:b/>
                      <w:sz w:val="21"/>
                      <w:szCs w:val="21"/>
                      <w:u w:val="single"/>
                    </w:rPr>
                  </w:pPr>
                  <w:r>
                    <w:rPr>
                      <w:rFonts w:hAnsi="宋体"/>
                      <w:b/>
                      <w:sz w:val="21"/>
                      <w:szCs w:val="21"/>
                      <w:u w:val="single"/>
                    </w:rPr>
                    <w:t>名称</w:t>
                  </w:r>
                </w:p>
              </w:tc>
              <w:tc>
                <w:tcPr>
                  <w:tcW w:w="1027" w:type="pct"/>
                  <w:tcBorders>
                    <w:top w:val="single" w:color="auto" w:sz="6" w:space="0"/>
                    <w:left w:val="single" w:color="auto" w:sz="6" w:space="0"/>
                    <w:bottom w:val="single" w:color="auto" w:sz="6" w:space="0"/>
                    <w:right w:val="single" w:color="auto" w:sz="4" w:space="0"/>
                  </w:tcBorders>
                  <w:vAlign w:val="center"/>
                </w:tcPr>
                <w:p>
                  <w:pPr>
                    <w:widowControl/>
                    <w:spacing w:line="240" w:lineRule="auto"/>
                    <w:jc w:val="center"/>
                    <w:rPr>
                      <w:b/>
                      <w:sz w:val="21"/>
                      <w:szCs w:val="21"/>
                      <w:u w:val="single"/>
                    </w:rPr>
                  </w:pPr>
                  <w:r>
                    <w:rPr>
                      <w:rFonts w:hAnsi="宋体"/>
                      <w:b/>
                      <w:sz w:val="21"/>
                      <w:szCs w:val="21"/>
                      <w:u w:val="single"/>
                    </w:rPr>
                    <w:t>数量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79" w:hRule="atLeast"/>
                <w:jc w:val="center"/>
              </w:trPr>
              <w:tc>
                <w:tcPr>
                  <w:tcW w:w="254" w:type="pct"/>
                  <w:vMerge w:val="restart"/>
                  <w:tcBorders>
                    <w:top w:val="single" w:color="auto" w:sz="6" w:space="0"/>
                    <w:left w:val="single" w:color="auto" w:sz="4" w:space="0"/>
                    <w:right w:val="single" w:color="auto" w:sz="6" w:space="0"/>
                  </w:tcBorders>
                  <w:vAlign w:val="center"/>
                </w:tcPr>
                <w:p>
                  <w:pPr>
                    <w:widowControl/>
                    <w:spacing w:line="240" w:lineRule="auto"/>
                    <w:jc w:val="center"/>
                    <w:rPr>
                      <w:sz w:val="21"/>
                      <w:szCs w:val="21"/>
                      <w:u w:val="single"/>
                    </w:rPr>
                  </w:pPr>
                  <w:r>
                    <w:rPr>
                      <w:rFonts w:hAnsi="宋体"/>
                      <w:sz w:val="21"/>
                      <w:szCs w:val="21"/>
                      <w:u w:val="single"/>
                    </w:rPr>
                    <w:t>生产车间</w:t>
                  </w:r>
                </w:p>
              </w:tc>
              <w:tc>
                <w:tcPr>
                  <w:tcW w:w="1014" w:type="pct"/>
                  <w:tcBorders>
                    <w:top w:val="single" w:color="auto" w:sz="6" w:space="0"/>
                    <w:left w:val="single" w:color="auto" w:sz="4" w:space="0"/>
                    <w:right w:val="single" w:color="auto" w:sz="6" w:space="0"/>
                  </w:tcBorders>
                  <w:vAlign w:val="center"/>
                </w:tcPr>
                <w:p>
                  <w:pPr>
                    <w:widowControl/>
                    <w:spacing w:line="240" w:lineRule="auto"/>
                    <w:jc w:val="center"/>
                    <w:rPr>
                      <w:rFonts w:hint="eastAsia" w:eastAsia="宋体"/>
                      <w:sz w:val="21"/>
                      <w:szCs w:val="21"/>
                      <w:u w:val="single"/>
                      <w:lang w:eastAsia="zh-CN"/>
                    </w:rPr>
                  </w:pPr>
                  <w:r>
                    <w:rPr>
                      <w:rFonts w:hint="eastAsia"/>
                      <w:sz w:val="21"/>
                      <w:szCs w:val="21"/>
                      <w:u w:val="single"/>
                    </w:rPr>
                    <w:t>鹅卵石</w:t>
                  </w:r>
                  <w:r>
                    <w:rPr>
                      <w:rFonts w:hint="eastAsia"/>
                      <w:sz w:val="21"/>
                      <w:szCs w:val="21"/>
                      <w:u w:val="single"/>
                      <w:lang w:eastAsia="zh-CN"/>
                    </w:rPr>
                    <w:t>（湿）</w:t>
                  </w:r>
                </w:p>
              </w:tc>
              <w:tc>
                <w:tcPr>
                  <w:tcW w:w="1053" w:type="pct"/>
                  <w:tcBorders>
                    <w:top w:val="single" w:color="auto" w:sz="6" w:space="0"/>
                    <w:left w:val="single" w:color="auto" w:sz="6" w:space="0"/>
                    <w:bottom w:val="single" w:color="auto" w:sz="6" w:space="0"/>
                    <w:right w:val="single" w:color="auto" w:sz="6" w:space="0"/>
                  </w:tcBorders>
                  <w:vAlign w:val="center"/>
                </w:tcPr>
                <w:p>
                  <w:pPr>
                    <w:widowControl/>
                    <w:spacing w:line="240" w:lineRule="auto"/>
                    <w:jc w:val="center"/>
                    <w:rPr>
                      <w:sz w:val="21"/>
                      <w:szCs w:val="21"/>
                      <w:u w:val="single"/>
                    </w:rPr>
                  </w:pPr>
                  <w:r>
                    <w:rPr>
                      <w:rFonts w:hint="eastAsia"/>
                      <w:sz w:val="21"/>
                      <w:szCs w:val="21"/>
                      <w:u w:val="single"/>
                    </w:rPr>
                    <w:t>1250000</w:t>
                  </w:r>
                </w:p>
              </w:tc>
              <w:tc>
                <w:tcPr>
                  <w:tcW w:w="493" w:type="pct"/>
                  <w:vMerge w:val="restart"/>
                  <w:tcBorders>
                    <w:top w:val="single" w:color="auto" w:sz="6" w:space="0"/>
                    <w:left w:val="single" w:color="auto" w:sz="6" w:space="0"/>
                    <w:right w:val="single" w:color="auto" w:sz="6" w:space="0"/>
                  </w:tcBorders>
                  <w:vAlign w:val="center"/>
                </w:tcPr>
                <w:p>
                  <w:pPr>
                    <w:widowControl/>
                    <w:spacing w:line="240" w:lineRule="auto"/>
                    <w:jc w:val="center"/>
                    <w:rPr>
                      <w:sz w:val="21"/>
                      <w:szCs w:val="21"/>
                      <w:u w:val="single"/>
                    </w:rPr>
                  </w:pPr>
                  <w:r>
                    <w:rPr>
                      <w:sz w:val="21"/>
                      <w:szCs w:val="21"/>
                      <w:u w:val="single"/>
                    </w:rPr>
                    <w:t>产品</w:t>
                  </w:r>
                </w:p>
              </w:tc>
              <w:tc>
                <w:tcPr>
                  <w:tcW w:w="1157" w:type="pct"/>
                  <w:tcBorders>
                    <w:top w:val="single" w:color="auto" w:sz="6" w:space="0"/>
                    <w:left w:val="single" w:color="auto" w:sz="6" w:space="0"/>
                    <w:right w:val="single" w:color="auto" w:sz="6" w:space="0"/>
                  </w:tcBorders>
                  <w:vAlign w:val="center"/>
                </w:tcPr>
                <w:p>
                  <w:pPr>
                    <w:widowControl/>
                    <w:spacing w:line="240" w:lineRule="auto"/>
                    <w:jc w:val="center"/>
                    <w:rPr>
                      <w:sz w:val="21"/>
                      <w:szCs w:val="21"/>
                      <w:u w:val="single"/>
                    </w:rPr>
                  </w:pPr>
                  <w:r>
                    <w:rPr>
                      <w:rFonts w:hint="eastAsia"/>
                      <w:sz w:val="21"/>
                      <w:szCs w:val="21"/>
                      <w:u w:val="single"/>
                    </w:rPr>
                    <w:t>砂</w:t>
                  </w:r>
                  <w:r>
                    <w:rPr>
                      <w:sz w:val="21"/>
                      <w:szCs w:val="21"/>
                      <w:u w:val="single"/>
                    </w:rPr>
                    <w:t>料</w:t>
                  </w:r>
                </w:p>
              </w:tc>
              <w:tc>
                <w:tcPr>
                  <w:tcW w:w="1027" w:type="pct"/>
                  <w:tcBorders>
                    <w:top w:val="single" w:color="auto" w:sz="6" w:space="0"/>
                    <w:left w:val="single" w:color="auto" w:sz="6" w:space="0"/>
                    <w:right w:val="single" w:color="auto" w:sz="4" w:space="0"/>
                  </w:tcBorders>
                  <w:vAlign w:val="center"/>
                </w:tcPr>
                <w:p>
                  <w:pPr>
                    <w:widowControl/>
                    <w:spacing w:line="240" w:lineRule="auto"/>
                    <w:jc w:val="center"/>
                    <w:rPr>
                      <w:sz w:val="21"/>
                      <w:szCs w:val="21"/>
                      <w:u w:val="single"/>
                    </w:rPr>
                  </w:pPr>
                  <w:r>
                    <w:rPr>
                      <w:rFonts w:hint="eastAsia"/>
                      <w:sz w:val="21"/>
                      <w:szCs w:val="21"/>
                      <w:u w:val="single"/>
                    </w:rPr>
                    <w:t>1200000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40" w:hRule="atLeast"/>
                <w:jc w:val="center"/>
              </w:trPr>
              <w:tc>
                <w:tcPr>
                  <w:tcW w:w="254" w:type="pct"/>
                  <w:vMerge w:val="continue"/>
                  <w:tcBorders>
                    <w:left w:val="single" w:color="auto" w:sz="4" w:space="0"/>
                    <w:right w:val="single" w:color="auto" w:sz="6" w:space="0"/>
                  </w:tcBorders>
                  <w:vAlign w:val="center"/>
                </w:tcPr>
                <w:p>
                  <w:pPr>
                    <w:widowControl/>
                    <w:spacing w:line="240" w:lineRule="auto"/>
                    <w:jc w:val="center"/>
                    <w:rPr>
                      <w:sz w:val="21"/>
                      <w:szCs w:val="21"/>
                      <w:u w:val="single"/>
                    </w:rPr>
                  </w:pPr>
                </w:p>
              </w:tc>
              <w:tc>
                <w:tcPr>
                  <w:tcW w:w="1014" w:type="pct"/>
                  <w:tcBorders>
                    <w:top w:val="single" w:color="auto" w:sz="6" w:space="0"/>
                    <w:left w:val="single" w:color="auto" w:sz="4" w:space="0"/>
                    <w:bottom w:val="single" w:color="auto" w:sz="6" w:space="0"/>
                    <w:right w:val="single" w:color="auto" w:sz="6" w:space="0"/>
                  </w:tcBorders>
                  <w:vAlign w:val="center"/>
                </w:tcPr>
                <w:p>
                  <w:pPr>
                    <w:widowControl/>
                    <w:spacing w:line="240" w:lineRule="auto"/>
                    <w:jc w:val="center"/>
                    <w:rPr>
                      <w:sz w:val="21"/>
                      <w:szCs w:val="21"/>
                      <w:u w:val="single"/>
                    </w:rPr>
                  </w:pPr>
                  <w:r>
                    <w:rPr>
                      <w:rFonts w:hint="eastAsia" w:hAnsi="宋体"/>
                      <w:sz w:val="21"/>
                      <w:szCs w:val="21"/>
                      <w:u w:val="single"/>
                    </w:rPr>
                    <w:t>/</w:t>
                  </w:r>
                </w:p>
              </w:tc>
              <w:tc>
                <w:tcPr>
                  <w:tcW w:w="1053" w:type="pct"/>
                  <w:tcBorders>
                    <w:top w:val="single" w:color="auto" w:sz="6" w:space="0"/>
                    <w:left w:val="single" w:color="auto" w:sz="6" w:space="0"/>
                    <w:bottom w:val="single" w:color="auto" w:sz="6" w:space="0"/>
                    <w:right w:val="single" w:color="auto" w:sz="6" w:space="0"/>
                  </w:tcBorders>
                  <w:vAlign w:val="center"/>
                </w:tcPr>
                <w:p>
                  <w:pPr>
                    <w:widowControl/>
                    <w:spacing w:line="240" w:lineRule="auto"/>
                    <w:jc w:val="center"/>
                    <w:rPr>
                      <w:sz w:val="21"/>
                      <w:szCs w:val="21"/>
                      <w:u w:val="single"/>
                    </w:rPr>
                  </w:pPr>
                  <w:r>
                    <w:rPr>
                      <w:rFonts w:hint="eastAsia" w:hAnsi="宋体"/>
                      <w:sz w:val="21"/>
                      <w:szCs w:val="21"/>
                      <w:u w:val="single"/>
                    </w:rPr>
                    <w:t>/</w:t>
                  </w:r>
                </w:p>
              </w:tc>
              <w:tc>
                <w:tcPr>
                  <w:tcW w:w="493" w:type="pct"/>
                  <w:vMerge w:val="restart"/>
                  <w:tcBorders>
                    <w:top w:val="single" w:color="auto" w:sz="6" w:space="0"/>
                    <w:left w:val="single" w:color="auto" w:sz="6" w:space="0"/>
                    <w:right w:val="single" w:color="auto" w:sz="6" w:space="0"/>
                  </w:tcBorders>
                  <w:vAlign w:val="center"/>
                </w:tcPr>
                <w:p>
                  <w:pPr>
                    <w:widowControl/>
                    <w:spacing w:line="240" w:lineRule="auto"/>
                    <w:jc w:val="center"/>
                    <w:rPr>
                      <w:sz w:val="21"/>
                      <w:szCs w:val="21"/>
                      <w:u w:val="single"/>
                    </w:rPr>
                  </w:pPr>
                  <w:r>
                    <w:rPr>
                      <w:rFonts w:hint="eastAsia"/>
                      <w:sz w:val="21"/>
                      <w:szCs w:val="21"/>
                      <w:u w:val="single"/>
                    </w:rPr>
                    <w:t>污染物</w:t>
                  </w:r>
                </w:p>
              </w:tc>
              <w:tc>
                <w:tcPr>
                  <w:tcW w:w="1157" w:type="pct"/>
                  <w:tcBorders>
                    <w:top w:val="single" w:color="auto" w:sz="6" w:space="0"/>
                    <w:left w:val="single" w:color="auto" w:sz="6" w:space="0"/>
                    <w:bottom w:val="single" w:color="auto" w:sz="6" w:space="0"/>
                    <w:right w:val="single" w:color="auto" w:sz="6" w:space="0"/>
                  </w:tcBorders>
                  <w:vAlign w:val="center"/>
                </w:tcPr>
                <w:p>
                  <w:pPr>
                    <w:widowControl/>
                    <w:spacing w:line="240" w:lineRule="auto"/>
                    <w:jc w:val="center"/>
                    <w:rPr>
                      <w:sz w:val="21"/>
                      <w:szCs w:val="21"/>
                      <w:u w:val="single"/>
                    </w:rPr>
                  </w:pPr>
                  <w:r>
                    <w:rPr>
                      <w:rFonts w:hint="eastAsia"/>
                      <w:sz w:val="21"/>
                      <w:szCs w:val="21"/>
                      <w:u w:val="single"/>
                    </w:rPr>
                    <w:t>粉尘</w:t>
                  </w:r>
                </w:p>
              </w:tc>
              <w:tc>
                <w:tcPr>
                  <w:tcW w:w="1027" w:type="pct"/>
                  <w:tcBorders>
                    <w:top w:val="single" w:color="auto" w:sz="6" w:space="0"/>
                    <w:left w:val="single" w:color="auto" w:sz="6" w:space="0"/>
                    <w:bottom w:val="single" w:color="auto" w:sz="4" w:space="0"/>
                    <w:right w:val="single" w:color="auto" w:sz="4" w:space="0"/>
                  </w:tcBorders>
                  <w:vAlign w:val="center"/>
                </w:tcPr>
                <w:p>
                  <w:pPr>
                    <w:widowControl/>
                    <w:spacing w:line="240" w:lineRule="auto"/>
                    <w:jc w:val="center"/>
                    <w:rPr>
                      <w:rFonts w:hint="default" w:eastAsia="宋体"/>
                      <w:sz w:val="21"/>
                      <w:szCs w:val="21"/>
                      <w:u w:val="single"/>
                      <w:lang w:val="en-US" w:eastAsia="zh-CN"/>
                    </w:rPr>
                  </w:pPr>
                  <w:r>
                    <w:rPr>
                      <w:rFonts w:hint="eastAsia"/>
                      <w:sz w:val="21"/>
                      <w:szCs w:val="21"/>
                      <w:u w:val="single"/>
                      <w:lang w:val="en-US" w:eastAsia="zh-CN"/>
                    </w:rPr>
                    <w:t>0.294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4" w:type="pct"/>
                  <w:vMerge w:val="continue"/>
                  <w:tcBorders>
                    <w:left w:val="single" w:color="auto" w:sz="4" w:space="0"/>
                    <w:right w:val="single" w:color="auto" w:sz="6" w:space="0"/>
                  </w:tcBorders>
                  <w:vAlign w:val="center"/>
                </w:tcPr>
                <w:p>
                  <w:pPr>
                    <w:widowControl/>
                    <w:spacing w:line="240" w:lineRule="auto"/>
                    <w:jc w:val="center"/>
                    <w:rPr>
                      <w:sz w:val="21"/>
                      <w:szCs w:val="21"/>
                      <w:u w:val="single"/>
                    </w:rPr>
                  </w:pPr>
                </w:p>
              </w:tc>
              <w:tc>
                <w:tcPr>
                  <w:tcW w:w="1014" w:type="pct"/>
                  <w:tcBorders>
                    <w:top w:val="single" w:color="auto" w:sz="6" w:space="0"/>
                    <w:left w:val="single" w:color="auto" w:sz="4" w:space="0"/>
                    <w:bottom w:val="single" w:color="auto" w:sz="6" w:space="0"/>
                    <w:right w:val="single" w:color="auto" w:sz="6" w:space="0"/>
                  </w:tcBorders>
                  <w:vAlign w:val="center"/>
                </w:tcPr>
                <w:p>
                  <w:pPr>
                    <w:widowControl/>
                    <w:spacing w:line="240" w:lineRule="auto"/>
                    <w:jc w:val="center"/>
                    <w:rPr>
                      <w:sz w:val="21"/>
                      <w:szCs w:val="21"/>
                      <w:u w:val="single"/>
                    </w:rPr>
                  </w:pPr>
                  <w:r>
                    <w:rPr>
                      <w:rFonts w:hint="eastAsia" w:hAnsi="宋体"/>
                      <w:sz w:val="21"/>
                      <w:szCs w:val="21"/>
                      <w:u w:val="single"/>
                    </w:rPr>
                    <w:t>/</w:t>
                  </w:r>
                </w:p>
              </w:tc>
              <w:tc>
                <w:tcPr>
                  <w:tcW w:w="1053" w:type="pct"/>
                  <w:tcBorders>
                    <w:top w:val="single" w:color="auto" w:sz="6" w:space="0"/>
                    <w:left w:val="single" w:color="auto" w:sz="6" w:space="0"/>
                    <w:bottom w:val="single" w:color="auto" w:sz="6" w:space="0"/>
                    <w:right w:val="single" w:color="auto" w:sz="6" w:space="0"/>
                  </w:tcBorders>
                  <w:vAlign w:val="center"/>
                </w:tcPr>
                <w:p>
                  <w:pPr>
                    <w:widowControl/>
                    <w:spacing w:line="240" w:lineRule="auto"/>
                    <w:jc w:val="center"/>
                    <w:rPr>
                      <w:sz w:val="21"/>
                      <w:szCs w:val="21"/>
                      <w:u w:val="single"/>
                    </w:rPr>
                  </w:pPr>
                  <w:r>
                    <w:rPr>
                      <w:rFonts w:hint="eastAsia" w:hAnsi="宋体"/>
                      <w:sz w:val="21"/>
                      <w:szCs w:val="21"/>
                      <w:u w:val="single"/>
                    </w:rPr>
                    <w:t>/</w:t>
                  </w:r>
                </w:p>
              </w:tc>
              <w:tc>
                <w:tcPr>
                  <w:tcW w:w="493" w:type="pct"/>
                  <w:vMerge w:val="continue"/>
                  <w:tcBorders>
                    <w:left w:val="single" w:color="auto" w:sz="6" w:space="0"/>
                    <w:right w:val="single" w:color="auto" w:sz="6" w:space="0"/>
                  </w:tcBorders>
                  <w:vAlign w:val="center"/>
                </w:tcPr>
                <w:p>
                  <w:pPr>
                    <w:widowControl/>
                    <w:spacing w:line="240" w:lineRule="auto"/>
                    <w:jc w:val="center"/>
                    <w:rPr>
                      <w:sz w:val="21"/>
                      <w:szCs w:val="21"/>
                      <w:u w:val="single"/>
                    </w:rPr>
                  </w:pPr>
                </w:p>
              </w:tc>
              <w:tc>
                <w:tcPr>
                  <w:tcW w:w="1157" w:type="pct"/>
                  <w:tcBorders>
                    <w:top w:val="single" w:color="auto" w:sz="6" w:space="0"/>
                    <w:left w:val="single" w:color="auto" w:sz="6" w:space="0"/>
                    <w:bottom w:val="single" w:color="auto" w:sz="6" w:space="0"/>
                    <w:right w:val="single" w:color="auto" w:sz="6" w:space="0"/>
                  </w:tcBorders>
                  <w:vAlign w:val="center"/>
                </w:tcPr>
                <w:p>
                  <w:pPr>
                    <w:widowControl/>
                    <w:spacing w:line="240" w:lineRule="auto"/>
                    <w:jc w:val="center"/>
                    <w:rPr>
                      <w:sz w:val="21"/>
                      <w:szCs w:val="21"/>
                      <w:u w:val="single"/>
                    </w:rPr>
                  </w:pPr>
                  <w:r>
                    <w:rPr>
                      <w:rFonts w:hint="eastAsia"/>
                      <w:sz w:val="21"/>
                      <w:szCs w:val="21"/>
                      <w:u w:val="single"/>
                    </w:rPr>
                    <w:t>污泥（干重）</w:t>
                  </w:r>
                </w:p>
              </w:tc>
              <w:tc>
                <w:tcPr>
                  <w:tcW w:w="1027" w:type="pct"/>
                  <w:tcBorders>
                    <w:top w:val="single" w:color="auto" w:sz="4" w:space="0"/>
                    <w:left w:val="single" w:color="auto" w:sz="6" w:space="0"/>
                    <w:bottom w:val="single" w:color="auto" w:sz="4" w:space="0"/>
                    <w:right w:val="single" w:color="auto" w:sz="4" w:space="0"/>
                  </w:tcBorders>
                  <w:vAlign w:val="center"/>
                </w:tcPr>
                <w:p>
                  <w:pPr>
                    <w:widowControl/>
                    <w:spacing w:line="240" w:lineRule="auto"/>
                    <w:jc w:val="center"/>
                    <w:rPr>
                      <w:rFonts w:hint="default" w:eastAsia="宋体"/>
                      <w:sz w:val="21"/>
                      <w:szCs w:val="21"/>
                      <w:u w:val="single"/>
                      <w:lang w:val="en-US" w:eastAsia="zh-CN"/>
                    </w:rPr>
                  </w:pPr>
                  <w:r>
                    <w:rPr>
                      <w:rFonts w:hint="eastAsia"/>
                      <w:sz w:val="21"/>
                      <w:szCs w:val="21"/>
                      <w:u w:val="single"/>
                    </w:rPr>
                    <w:t>49988.</w:t>
                  </w:r>
                  <w:r>
                    <w:rPr>
                      <w:rFonts w:hint="eastAsia"/>
                      <w:sz w:val="21"/>
                      <w:szCs w:val="21"/>
                      <w:u w:val="single"/>
                      <w:lang w:val="en-US" w:eastAsia="zh-CN"/>
                    </w:rPr>
                    <w:t>04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4" w:type="pct"/>
                  <w:vMerge w:val="continue"/>
                  <w:tcBorders>
                    <w:left w:val="single" w:color="auto" w:sz="4" w:space="0"/>
                    <w:right w:val="single" w:color="auto" w:sz="6" w:space="0"/>
                  </w:tcBorders>
                  <w:vAlign w:val="center"/>
                </w:tcPr>
                <w:p>
                  <w:pPr>
                    <w:widowControl/>
                    <w:spacing w:line="240" w:lineRule="auto"/>
                    <w:jc w:val="center"/>
                    <w:rPr>
                      <w:sz w:val="21"/>
                      <w:szCs w:val="21"/>
                      <w:u w:val="single"/>
                    </w:rPr>
                  </w:pPr>
                </w:p>
              </w:tc>
              <w:tc>
                <w:tcPr>
                  <w:tcW w:w="1014" w:type="pct"/>
                  <w:tcBorders>
                    <w:top w:val="single" w:color="auto" w:sz="6" w:space="0"/>
                    <w:left w:val="single" w:color="auto" w:sz="4" w:space="0"/>
                    <w:bottom w:val="single" w:color="auto" w:sz="6" w:space="0"/>
                    <w:right w:val="single" w:color="auto" w:sz="6" w:space="0"/>
                  </w:tcBorders>
                  <w:vAlign w:val="center"/>
                </w:tcPr>
                <w:p>
                  <w:pPr>
                    <w:widowControl/>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hAnsi="宋体"/>
                      <w:sz w:val="21"/>
                      <w:szCs w:val="21"/>
                      <w:u w:val="single"/>
                    </w:rPr>
                    <w:t>/</w:t>
                  </w:r>
                </w:p>
              </w:tc>
              <w:tc>
                <w:tcPr>
                  <w:tcW w:w="1053" w:type="pct"/>
                  <w:tcBorders>
                    <w:top w:val="single" w:color="auto" w:sz="6" w:space="0"/>
                    <w:left w:val="single" w:color="auto" w:sz="6" w:space="0"/>
                    <w:bottom w:val="single" w:color="auto" w:sz="6" w:space="0"/>
                    <w:right w:val="single" w:color="auto" w:sz="6" w:space="0"/>
                  </w:tcBorders>
                  <w:vAlign w:val="center"/>
                </w:tcPr>
                <w:p>
                  <w:pPr>
                    <w:widowControl/>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hAnsi="宋体"/>
                      <w:sz w:val="21"/>
                      <w:szCs w:val="21"/>
                      <w:u w:val="single"/>
                    </w:rPr>
                    <w:t>/</w:t>
                  </w:r>
                </w:p>
              </w:tc>
              <w:tc>
                <w:tcPr>
                  <w:tcW w:w="493" w:type="pct"/>
                  <w:vMerge w:val="continue"/>
                  <w:tcBorders>
                    <w:left w:val="single" w:color="auto" w:sz="6" w:space="0"/>
                    <w:right w:val="single" w:color="auto" w:sz="6" w:space="0"/>
                  </w:tcBorders>
                  <w:vAlign w:val="center"/>
                </w:tcPr>
                <w:p>
                  <w:pPr>
                    <w:widowControl/>
                    <w:spacing w:line="240" w:lineRule="auto"/>
                    <w:jc w:val="center"/>
                    <w:rPr>
                      <w:sz w:val="21"/>
                      <w:szCs w:val="21"/>
                      <w:u w:val="single"/>
                    </w:rPr>
                  </w:pPr>
                </w:p>
              </w:tc>
              <w:tc>
                <w:tcPr>
                  <w:tcW w:w="1157" w:type="pct"/>
                  <w:tcBorders>
                    <w:top w:val="single" w:color="auto" w:sz="6" w:space="0"/>
                    <w:left w:val="single" w:color="auto" w:sz="6" w:space="0"/>
                    <w:bottom w:val="single" w:color="auto" w:sz="6" w:space="0"/>
                    <w:right w:val="single" w:color="auto" w:sz="6" w:space="0"/>
                  </w:tcBorders>
                  <w:vAlign w:val="center"/>
                </w:tcPr>
                <w:p>
                  <w:pPr>
                    <w:widowControl/>
                    <w:spacing w:line="240" w:lineRule="auto"/>
                    <w:jc w:val="center"/>
                    <w:rPr>
                      <w:rFonts w:hint="eastAsia" w:eastAsia="宋体"/>
                      <w:sz w:val="21"/>
                      <w:szCs w:val="21"/>
                      <w:u w:val="single"/>
                      <w:lang w:eastAsia="zh-CN"/>
                    </w:rPr>
                  </w:pPr>
                  <w:r>
                    <w:rPr>
                      <w:rFonts w:hint="eastAsia"/>
                      <w:sz w:val="21"/>
                      <w:szCs w:val="21"/>
                      <w:u w:val="single"/>
                      <w:lang w:eastAsia="zh-CN"/>
                    </w:rPr>
                    <w:t>蒸发量</w:t>
                  </w:r>
                </w:p>
              </w:tc>
              <w:tc>
                <w:tcPr>
                  <w:tcW w:w="1027" w:type="pct"/>
                  <w:tcBorders>
                    <w:top w:val="single" w:color="auto" w:sz="4" w:space="0"/>
                    <w:left w:val="single" w:color="auto" w:sz="6" w:space="0"/>
                    <w:bottom w:val="single" w:color="auto" w:sz="4" w:space="0"/>
                    <w:right w:val="single" w:color="auto" w:sz="4" w:space="0"/>
                  </w:tcBorders>
                  <w:vAlign w:val="center"/>
                </w:tcPr>
                <w:p>
                  <w:pPr>
                    <w:widowControl/>
                    <w:spacing w:line="240" w:lineRule="auto"/>
                    <w:jc w:val="center"/>
                    <w:rPr>
                      <w:rFonts w:hint="default" w:eastAsia="宋体"/>
                      <w:sz w:val="21"/>
                      <w:szCs w:val="21"/>
                      <w:u w:val="single"/>
                      <w:lang w:val="en-US" w:eastAsia="zh-CN"/>
                    </w:rPr>
                  </w:pPr>
                  <w:r>
                    <w:rPr>
                      <w:rFonts w:hint="eastAsia"/>
                      <w:sz w:val="21"/>
                      <w:szCs w:val="21"/>
                      <w:u w:val="single"/>
                      <w:lang w:val="en-US" w:eastAsia="zh-CN"/>
                    </w:rPr>
                    <w:t>11.666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69" w:type="pct"/>
                  <w:gridSpan w:val="2"/>
                  <w:tcBorders>
                    <w:left w:val="single" w:color="auto" w:sz="4" w:space="0"/>
                    <w:bottom w:val="single" w:color="auto" w:sz="6" w:space="0"/>
                    <w:right w:val="single" w:color="auto" w:sz="6" w:space="0"/>
                  </w:tcBorders>
                  <w:vAlign w:val="center"/>
                </w:tcPr>
                <w:p>
                  <w:pPr>
                    <w:widowControl/>
                    <w:spacing w:line="240" w:lineRule="auto"/>
                    <w:jc w:val="center"/>
                    <w:rPr>
                      <w:color w:val="0000FF"/>
                      <w:sz w:val="21"/>
                      <w:szCs w:val="21"/>
                      <w:u w:val="single"/>
                    </w:rPr>
                  </w:pPr>
                  <w:r>
                    <w:rPr>
                      <w:rFonts w:hAnsi="宋体"/>
                      <w:sz w:val="21"/>
                      <w:szCs w:val="21"/>
                      <w:u w:val="single"/>
                    </w:rPr>
                    <w:t>合计</w:t>
                  </w:r>
                </w:p>
              </w:tc>
              <w:tc>
                <w:tcPr>
                  <w:tcW w:w="1053" w:type="pct"/>
                  <w:tcBorders>
                    <w:top w:val="single" w:color="auto" w:sz="6" w:space="0"/>
                    <w:left w:val="single" w:color="auto" w:sz="6" w:space="0"/>
                    <w:bottom w:val="single" w:color="auto" w:sz="6" w:space="0"/>
                    <w:right w:val="single" w:color="auto" w:sz="6" w:space="0"/>
                  </w:tcBorders>
                  <w:vAlign w:val="center"/>
                </w:tcPr>
                <w:p>
                  <w:pPr>
                    <w:widowControl/>
                    <w:spacing w:line="240" w:lineRule="auto"/>
                    <w:jc w:val="center"/>
                    <w:rPr>
                      <w:color w:val="0000FF"/>
                      <w:sz w:val="21"/>
                      <w:szCs w:val="21"/>
                      <w:u w:val="single"/>
                    </w:rPr>
                  </w:pPr>
                  <w:r>
                    <w:rPr>
                      <w:rFonts w:hint="eastAsia"/>
                      <w:sz w:val="21"/>
                      <w:szCs w:val="21"/>
                      <w:u w:val="single"/>
                    </w:rPr>
                    <w:t>1250000</w:t>
                  </w:r>
                </w:p>
              </w:tc>
              <w:tc>
                <w:tcPr>
                  <w:tcW w:w="1650" w:type="pct"/>
                  <w:gridSpan w:val="2"/>
                  <w:tcBorders>
                    <w:top w:val="single" w:color="auto" w:sz="6" w:space="0"/>
                    <w:left w:val="single" w:color="auto" w:sz="6" w:space="0"/>
                    <w:bottom w:val="single" w:color="auto" w:sz="6" w:space="0"/>
                    <w:right w:val="single" w:color="auto" w:sz="6" w:space="0"/>
                  </w:tcBorders>
                  <w:vAlign w:val="center"/>
                </w:tcPr>
                <w:p>
                  <w:pPr>
                    <w:widowControl/>
                    <w:spacing w:line="240" w:lineRule="auto"/>
                    <w:jc w:val="center"/>
                    <w:rPr>
                      <w:sz w:val="21"/>
                      <w:szCs w:val="21"/>
                      <w:u w:val="single"/>
                    </w:rPr>
                  </w:pPr>
                  <w:r>
                    <w:rPr>
                      <w:rFonts w:hint="eastAsia"/>
                      <w:sz w:val="21"/>
                      <w:szCs w:val="21"/>
                      <w:u w:val="single"/>
                    </w:rPr>
                    <w:t>合计</w:t>
                  </w:r>
                </w:p>
              </w:tc>
              <w:tc>
                <w:tcPr>
                  <w:tcW w:w="1027" w:type="pct"/>
                  <w:tcBorders>
                    <w:top w:val="single" w:color="auto" w:sz="6" w:space="0"/>
                    <w:left w:val="single" w:color="auto" w:sz="6" w:space="0"/>
                    <w:bottom w:val="single" w:color="auto" w:sz="6" w:space="0"/>
                    <w:right w:val="single" w:color="auto" w:sz="4" w:space="0"/>
                  </w:tcBorders>
                  <w:vAlign w:val="center"/>
                </w:tcPr>
                <w:p>
                  <w:pPr>
                    <w:widowControl/>
                    <w:spacing w:line="240" w:lineRule="auto"/>
                    <w:jc w:val="center"/>
                    <w:rPr>
                      <w:sz w:val="21"/>
                      <w:szCs w:val="21"/>
                      <w:u w:val="single"/>
                    </w:rPr>
                  </w:pPr>
                  <w:r>
                    <w:rPr>
                      <w:rFonts w:hint="eastAsia"/>
                      <w:sz w:val="21"/>
                      <w:szCs w:val="21"/>
                      <w:u w:val="single"/>
                    </w:rPr>
                    <w:t>1250000</w:t>
                  </w:r>
                </w:p>
              </w:tc>
            </w:tr>
          </w:tbl>
          <w:p>
            <w:pPr>
              <w:pStyle w:val="26"/>
              <w:rPr>
                <w:rFonts w:hint="eastAsia" w:ascii="Times New Roman" w:hAnsi="Times New Roman" w:eastAsia="宋体" w:cs="Times New Roman"/>
                <w:color w:val="0000FF"/>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12" w:hRule="atLeast"/>
          <w:jc w:val="center"/>
        </w:trPr>
        <w:tc>
          <w:tcPr>
            <w:tcW w:w="414" w:type="dxa"/>
            <w:vAlign w:val="center"/>
          </w:tcPr>
          <w:p>
            <w:pPr>
              <w:widowControl/>
              <w:adjustRightInd w:val="0"/>
              <w:snapToGrid w:val="0"/>
              <w:spacing w:line="240" w:lineRule="auto"/>
              <w:jc w:val="center"/>
              <w:rPr>
                <w:kern w:val="0"/>
                <w:szCs w:val="21"/>
              </w:rPr>
            </w:pPr>
            <w:r>
              <w:rPr>
                <w:bCs/>
                <w:szCs w:val="21"/>
              </w:rPr>
              <w:t>与项目有关的原有环境污染问题</w:t>
            </w:r>
          </w:p>
        </w:tc>
        <w:tc>
          <w:tcPr>
            <w:tcW w:w="8646" w:type="dxa"/>
          </w:tcPr>
          <w:p>
            <w:pPr>
              <w:ind w:firstLine="480" w:firstLineChars="200"/>
            </w:pPr>
            <w:r>
              <w:rPr>
                <w:rFonts w:hint="eastAsia"/>
              </w:rPr>
              <w:t>1、</w:t>
            </w:r>
            <w:r>
              <w:t>与项目有关的原有环境污染问题：</w:t>
            </w:r>
          </w:p>
          <w:p>
            <w:pPr>
              <w:adjustRightInd w:val="0"/>
              <w:snapToGrid w:val="0"/>
              <w:spacing w:line="240" w:lineRule="auto"/>
              <w:ind w:firstLine="437" w:firstLineChars="200"/>
              <w:jc w:val="center"/>
            </w:pPr>
            <w:r>
              <w:rPr>
                <w:rFonts w:hint="eastAsia"/>
                <w:b/>
                <w:bCs/>
                <w:snapToGrid w:val="0"/>
                <w:spacing w:val="4"/>
                <w:kern w:val="0"/>
                <w:sz w:val="21"/>
                <w:szCs w:val="18"/>
              </w:rPr>
              <w:t>表2-6  项目存在的主要环境问题及拟改正措施</w:t>
            </w:r>
          </w:p>
          <w:tbl>
            <w:tblPr>
              <w:tblStyle w:val="23"/>
              <w:tblW w:w="84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1064"/>
              <w:gridCol w:w="2918"/>
              <w:gridCol w:w="3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2" w:type="dxa"/>
                  <w:vAlign w:val="center"/>
                </w:tcPr>
                <w:p>
                  <w:pPr>
                    <w:pStyle w:val="36"/>
                    <w:spacing w:line="240" w:lineRule="auto"/>
                    <w:ind w:firstLine="0" w:firstLineChars="0"/>
                    <w:jc w:val="center"/>
                    <w:rPr>
                      <w:rFonts w:ascii="Times New Roman"/>
                      <w:b/>
                      <w:bCs/>
                      <w:sz w:val="21"/>
                      <w:szCs w:val="21"/>
                    </w:rPr>
                  </w:pPr>
                  <w:r>
                    <w:rPr>
                      <w:rFonts w:hint="eastAsia" w:ascii="Times New Roman"/>
                      <w:b/>
                      <w:bCs/>
                      <w:sz w:val="21"/>
                      <w:szCs w:val="21"/>
                    </w:rPr>
                    <w:t>序号</w:t>
                  </w:r>
                </w:p>
              </w:tc>
              <w:tc>
                <w:tcPr>
                  <w:tcW w:w="1064" w:type="dxa"/>
                  <w:vAlign w:val="center"/>
                </w:tcPr>
                <w:p>
                  <w:pPr>
                    <w:pStyle w:val="36"/>
                    <w:spacing w:line="240" w:lineRule="auto"/>
                    <w:ind w:firstLine="0" w:firstLineChars="0"/>
                    <w:jc w:val="center"/>
                    <w:rPr>
                      <w:rFonts w:ascii="Times New Roman"/>
                      <w:b/>
                      <w:bCs/>
                      <w:sz w:val="21"/>
                      <w:szCs w:val="21"/>
                    </w:rPr>
                  </w:pPr>
                  <w:r>
                    <w:rPr>
                      <w:rFonts w:hint="eastAsia" w:ascii="Times New Roman"/>
                      <w:b/>
                      <w:bCs/>
                      <w:sz w:val="21"/>
                      <w:szCs w:val="21"/>
                    </w:rPr>
                    <w:t>问题类型</w:t>
                  </w:r>
                </w:p>
              </w:tc>
              <w:tc>
                <w:tcPr>
                  <w:tcW w:w="2918" w:type="dxa"/>
                  <w:vAlign w:val="center"/>
                </w:tcPr>
                <w:p>
                  <w:pPr>
                    <w:pStyle w:val="36"/>
                    <w:spacing w:line="240" w:lineRule="auto"/>
                    <w:ind w:firstLine="0" w:firstLineChars="0"/>
                    <w:jc w:val="center"/>
                    <w:rPr>
                      <w:rFonts w:ascii="Times New Roman"/>
                      <w:b/>
                      <w:bCs/>
                      <w:sz w:val="21"/>
                      <w:szCs w:val="21"/>
                    </w:rPr>
                  </w:pPr>
                  <w:r>
                    <w:rPr>
                      <w:rFonts w:hint="eastAsia" w:ascii="Times New Roman"/>
                      <w:b/>
                      <w:bCs/>
                      <w:sz w:val="21"/>
                      <w:szCs w:val="21"/>
                    </w:rPr>
                    <w:t>存在的主要环境问题</w:t>
                  </w:r>
                </w:p>
              </w:tc>
              <w:tc>
                <w:tcPr>
                  <w:tcW w:w="3796" w:type="dxa"/>
                  <w:vAlign w:val="center"/>
                </w:tcPr>
                <w:p>
                  <w:pPr>
                    <w:pStyle w:val="36"/>
                    <w:spacing w:line="240" w:lineRule="auto"/>
                    <w:ind w:firstLine="0" w:firstLineChars="0"/>
                    <w:jc w:val="center"/>
                    <w:rPr>
                      <w:rFonts w:ascii="Times New Roman"/>
                      <w:b/>
                      <w:bCs/>
                      <w:sz w:val="21"/>
                      <w:szCs w:val="21"/>
                    </w:rPr>
                  </w:pPr>
                  <w:r>
                    <w:rPr>
                      <w:rFonts w:hint="eastAsia" w:ascii="Times New Roman"/>
                      <w:b/>
                      <w:bCs/>
                      <w:sz w:val="21"/>
                      <w:szCs w:val="21"/>
                    </w:rPr>
                    <w:t>拟采取的改正措施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2" w:type="dxa"/>
                  <w:vAlign w:val="center"/>
                </w:tcPr>
                <w:p>
                  <w:pPr>
                    <w:pStyle w:val="36"/>
                    <w:spacing w:line="240" w:lineRule="auto"/>
                    <w:ind w:firstLine="0" w:firstLineChars="0"/>
                    <w:jc w:val="center"/>
                    <w:rPr>
                      <w:rFonts w:ascii="Times New Roman"/>
                      <w:sz w:val="21"/>
                      <w:szCs w:val="21"/>
                    </w:rPr>
                  </w:pPr>
                  <w:r>
                    <w:rPr>
                      <w:rFonts w:hint="eastAsia" w:ascii="Times New Roman"/>
                      <w:sz w:val="21"/>
                      <w:szCs w:val="21"/>
                    </w:rPr>
                    <w:t>1</w:t>
                  </w:r>
                </w:p>
              </w:tc>
              <w:tc>
                <w:tcPr>
                  <w:tcW w:w="1064" w:type="dxa"/>
                  <w:vAlign w:val="center"/>
                </w:tcPr>
                <w:p>
                  <w:pPr>
                    <w:pStyle w:val="36"/>
                    <w:spacing w:line="240" w:lineRule="auto"/>
                    <w:ind w:firstLine="0" w:firstLineChars="0"/>
                    <w:jc w:val="center"/>
                    <w:rPr>
                      <w:rFonts w:ascii="Times New Roman"/>
                      <w:sz w:val="21"/>
                      <w:szCs w:val="21"/>
                    </w:rPr>
                  </w:pPr>
                  <w:r>
                    <w:rPr>
                      <w:rFonts w:ascii="Times New Roman"/>
                      <w:sz w:val="21"/>
                      <w:szCs w:val="21"/>
                    </w:rPr>
                    <w:t>未办理环评手续</w:t>
                  </w:r>
                </w:p>
              </w:tc>
              <w:tc>
                <w:tcPr>
                  <w:tcW w:w="2918" w:type="dxa"/>
                  <w:vAlign w:val="center"/>
                </w:tcPr>
                <w:p>
                  <w:pPr>
                    <w:pStyle w:val="36"/>
                    <w:spacing w:line="240" w:lineRule="auto"/>
                    <w:ind w:firstLine="0" w:firstLineChars="0"/>
                    <w:rPr>
                      <w:rFonts w:ascii="Times New Roman"/>
                      <w:color w:val="0000FF"/>
                      <w:sz w:val="21"/>
                      <w:szCs w:val="21"/>
                    </w:rPr>
                  </w:pPr>
                  <w:r>
                    <w:rPr>
                      <w:rFonts w:hint="eastAsia" w:ascii="Times New Roman"/>
                      <w:sz w:val="21"/>
                      <w:szCs w:val="21"/>
                    </w:rPr>
                    <w:t>辰溪县广润砂石有限责任公司</w:t>
                  </w:r>
                  <w:r>
                    <w:rPr>
                      <w:rFonts w:hint="eastAsia" w:ascii="Times New Roman"/>
                      <w:color w:val="auto"/>
                      <w:sz w:val="21"/>
                      <w:szCs w:val="21"/>
                    </w:rPr>
                    <w:t>未办理环评手续。</w:t>
                  </w:r>
                </w:p>
              </w:tc>
              <w:tc>
                <w:tcPr>
                  <w:tcW w:w="3796" w:type="dxa"/>
                  <w:vAlign w:val="center"/>
                </w:tcPr>
                <w:p>
                  <w:pPr>
                    <w:pStyle w:val="36"/>
                    <w:spacing w:line="240" w:lineRule="auto"/>
                    <w:ind w:firstLine="0" w:firstLineChars="0"/>
                    <w:rPr>
                      <w:rFonts w:ascii="Times New Roman"/>
                      <w:color w:val="0000FF"/>
                      <w:sz w:val="21"/>
                      <w:szCs w:val="21"/>
                    </w:rPr>
                  </w:pPr>
                  <w:r>
                    <w:rPr>
                      <w:rFonts w:hint="eastAsia" w:ascii="Times New Roman"/>
                      <w:color w:val="auto"/>
                      <w:sz w:val="21"/>
                      <w:szCs w:val="21"/>
                    </w:rPr>
                    <w:t>辰溪县广润砂石有限责任公司</w:t>
                  </w:r>
                  <w:r>
                    <w:rPr>
                      <w:rFonts w:ascii="Times New Roman"/>
                      <w:color w:val="auto"/>
                      <w:sz w:val="21"/>
                      <w:szCs w:val="21"/>
                    </w:rPr>
                    <w:t>于202</w:t>
                  </w:r>
                  <w:r>
                    <w:rPr>
                      <w:rFonts w:hint="eastAsia" w:ascii="Times New Roman"/>
                      <w:color w:val="auto"/>
                      <w:sz w:val="21"/>
                      <w:szCs w:val="21"/>
                      <w:lang w:val="en-US" w:eastAsia="zh-CN"/>
                    </w:rPr>
                    <w:t>3</w:t>
                  </w:r>
                  <w:r>
                    <w:rPr>
                      <w:rFonts w:ascii="Times New Roman"/>
                      <w:color w:val="auto"/>
                      <w:sz w:val="21"/>
                      <w:szCs w:val="21"/>
                    </w:rPr>
                    <w:t>年</w:t>
                  </w:r>
                  <w:r>
                    <w:rPr>
                      <w:rFonts w:hint="eastAsia" w:ascii="Times New Roman"/>
                      <w:color w:val="auto"/>
                      <w:sz w:val="21"/>
                      <w:szCs w:val="21"/>
                      <w:lang w:val="en-US" w:eastAsia="zh-CN"/>
                    </w:rPr>
                    <w:t>7</w:t>
                  </w:r>
                  <w:r>
                    <w:rPr>
                      <w:rFonts w:ascii="Times New Roman"/>
                      <w:color w:val="auto"/>
                      <w:sz w:val="21"/>
                      <w:szCs w:val="21"/>
                    </w:rPr>
                    <w:t>月</w:t>
                  </w:r>
                  <w:r>
                    <w:rPr>
                      <w:rFonts w:hint="eastAsia" w:ascii="Times New Roman"/>
                      <w:color w:val="auto"/>
                      <w:sz w:val="21"/>
                      <w:szCs w:val="21"/>
                      <w:lang w:val="en-US" w:eastAsia="zh-CN"/>
                    </w:rPr>
                    <w:t>1</w:t>
                  </w:r>
                  <w:r>
                    <w:rPr>
                      <w:rFonts w:ascii="Times New Roman"/>
                      <w:color w:val="auto"/>
                      <w:sz w:val="21"/>
                      <w:szCs w:val="21"/>
                    </w:rPr>
                    <w:t>0日缴纳了相应的罚款</w:t>
                  </w:r>
                  <w:r>
                    <w:rPr>
                      <w:rFonts w:hint="eastAsia" w:ascii="Times New Roman"/>
                      <w:color w:val="auto"/>
                      <w:sz w:val="21"/>
                      <w:szCs w:val="21"/>
                    </w:rPr>
                    <w:t>，</w:t>
                  </w:r>
                  <w:r>
                    <w:rPr>
                      <w:rFonts w:ascii="Times New Roman"/>
                      <w:color w:val="auto"/>
                      <w:sz w:val="21"/>
                      <w:szCs w:val="21"/>
                    </w:rPr>
                    <w:t>并完善相关环评手续。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2" w:type="dxa"/>
                  <w:vAlign w:val="center"/>
                </w:tcPr>
                <w:p>
                  <w:pPr>
                    <w:pStyle w:val="36"/>
                    <w:spacing w:line="240" w:lineRule="auto"/>
                    <w:ind w:firstLine="0" w:firstLineChars="0"/>
                    <w:jc w:val="center"/>
                    <w:rPr>
                      <w:rFonts w:ascii="Times New Roman"/>
                      <w:sz w:val="21"/>
                      <w:szCs w:val="21"/>
                    </w:rPr>
                  </w:pPr>
                  <w:r>
                    <w:rPr>
                      <w:rFonts w:hint="eastAsia" w:ascii="Times New Roman"/>
                      <w:sz w:val="21"/>
                      <w:szCs w:val="21"/>
                    </w:rPr>
                    <w:t>2</w:t>
                  </w:r>
                </w:p>
              </w:tc>
              <w:tc>
                <w:tcPr>
                  <w:tcW w:w="1064" w:type="dxa"/>
                  <w:vAlign w:val="center"/>
                </w:tcPr>
                <w:p>
                  <w:pPr>
                    <w:pStyle w:val="36"/>
                    <w:spacing w:line="240" w:lineRule="auto"/>
                    <w:ind w:firstLine="0" w:firstLineChars="0"/>
                    <w:jc w:val="center"/>
                    <w:rPr>
                      <w:rFonts w:ascii="Times New Roman"/>
                      <w:sz w:val="21"/>
                      <w:szCs w:val="21"/>
                      <w:highlight w:val="none"/>
                      <w:u w:val="single"/>
                    </w:rPr>
                  </w:pPr>
                  <w:r>
                    <w:rPr>
                      <w:rFonts w:hint="eastAsia" w:ascii="Times New Roman"/>
                      <w:sz w:val="21"/>
                      <w:szCs w:val="21"/>
                      <w:highlight w:val="none"/>
                      <w:u w:val="single"/>
                    </w:rPr>
                    <w:t>废水</w:t>
                  </w:r>
                </w:p>
              </w:tc>
              <w:tc>
                <w:tcPr>
                  <w:tcW w:w="2918" w:type="dxa"/>
                  <w:vAlign w:val="center"/>
                </w:tcPr>
                <w:p>
                  <w:pPr>
                    <w:pStyle w:val="36"/>
                    <w:numPr>
                      <w:ilvl w:val="0"/>
                      <w:numId w:val="4"/>
                    </w:numPr>
                    <w:spacing w:line="240" w:lineRule="auto"/>
                    <w:ind w:firstLine="0" w:firstLineChars="0"/>
                    <w:rPr>
                      <w:rFonts w:ascii="Times New Roman"/>
                      <w:sz w:val="21"/>
                      <w:szCs w:val="21"/>
                      <w:highlight w:val="none"/>
                      <w:u w:val="single"/>
                    </w:rPr>
                  </w:pPr>
                  <w:r>
                    <w:rPr>
                      <w:rFonts w:hint="eastAsia" w:ascii="Times New Roman"/>
                      <w:sz w:val="21"/>
                      <w:szCs w:val="21"/>
                      <w:highlight w:val="none"/>
                      <w:u w:val="single"/>
                      <w:lang w:eastAsia="zh-CN"/>
                    </w:rPr>
                    <w:t>沉淀池均未加盖；</w:t>
                  </w:r>
                </w:p>
                <w:p>
                  <w:pPr>
                    <w:pStyle w:val="36"/>
                    <w:numPr>
                      <w:ilvl w:val="0"/>
                      <w:numId w:val="4"/>
                    </w:numPr>
                    <w:spacing w:line="240" w:lineRule="auto"/>
                    <w:ind w:firstLine="0" w:firstLineChars="0"/>
                    <w:rPr>
                      <w:rFonts w:ascii="Times New Roman"/>
                      <w:sz w:val="21"/>
                      <w:szCs w:val="21"/>
                      <w:highlight w:val="none"/>
                      <w:u w:val="single"/>
                    </w:rPr>
                  </w:pPr>
                  <w:r>
                    <w:rPr>
                      <w:rFonts w:hint="eastAsia" w:ascii="Times New Roman"/>
                      <w:sz w:val="21"/>
                      <w:szCs w:val="21"/>
                      <w:highlight w:val="none"/>
                      <w:u w:val="single"/>
                      <w:lang w:eastAsia="zh-CN"/>
                    </w:rPr>
                    <w:t>未设置洗车平台沉淀池；</w:t>
                  </w:r>
                </w:p>
                <w:p>
                  <w:pPr>
                    <w:pStyle w:val="36"/>
                    <w:numPr>
                      <w:ilvl w:val="0"/>
                      <w:numId w:val="4"/>
                    </w:numPr>
                    <w:spacing w:line="240" w:lineRule="auto"/>
                    <w:ind w:firstLine="0" w:firstLineChars="0"/>
                    <w:rPr>
                      <w:rFonts w:ascii="Times New Roman"/>
                      <w:sz w:val="21"/>
                      <w:szCs w:val="21"/>
                      <w:highlight w:val="none"/>
                      <w:u w:val="single"/>
                    </w:rPr>
                  </w:pPr>
                  <w:r>
                    <w:rPr>
                      <w:rFonts w:ascii="Times New Roman"/>
                      <w:sz w:val="21"/>
                      <w:szCs w:val="21"/>
                      <w:highlight w:val="none"/>
                      <w:u w:val="single"/>
                    </w:rPr>
                    <w:t>未设置初期雨水池收集处理</w:t>
                  </w:r>
                  <w:r>
                    <w:rPr>
                      <w:rFonts w:hint="eastAsia" w:ascii="Times New Roman"/>
                      <w:sz w:val="21"/>
                      <w:szCs w:val="21"/>
                      <w:highlight w:val="none"/>
                      <w:u w:val="single"/>
                    </w:rPr>
                    <w:t>初期雨水</w:t>
                  </w:r>
                  <w:r>
                    <w:rPr>
                      <w:rFonts w:ascii="Times New Roman"/>
                      <w:sz w:val="21"/>
                      <w:szCs w:val="21"/>
                      <w:highlight w:val="none"/>
                      <w:u w:val="single"/>
                    </w:rPr>
                    <w:t>。</w:t>
                  </w:r>
                </w:p>
              </w:tc>
              <w:tc>
                <w:tcPr>
                  <w:tcW w:w="3796" w:type="dxa"/>
                  <w:vAlign w:val="center"/>
                </w:tcPr>
                <w:p>
                  <w:pPr>
                    <w:numPr>
                      <w:ilvl w:val="0"/>
                      <w:numId w:val="5"/>
                    </w:numPr>
                    <w:spacing w:line="240" w:lineRule="auto"/>
                    <w:rPr>
                      <w:sz w:val="21"/>
                      <w:szCs w:val="21"/>
                      <w:highlight w:val="none"/>
                      <w:u w:val="single"/>
                    </w:rPr>
                  </w:pPr>
                  <w:r>
                    <w:rPr>
                      <w:rFonts w:hint="eastAsia"/>
                      <w:sz w:val="21"/>
                      <w:szCs w:val="21"/>
                      <w:highlight w:val="none"/>
                      <w:u w:val="single"/>
                      <w:lang w:eastAsia="zh-CN"/>
                    </w:rPr>
                    <w:t>厂区内所有沉淀池需加盖</w:t>
                  </w:r>
                  <w:r>
                    <w:rPr>
                      <w:rFonts w:hint="eastAsia"/>
                      <w:sz w:val="21"/>
                      <w:szCs w:val="21"/>
                      <w:highlight w:val="none"/>
                      <w:u w:val="single"/>
                    </w:rPr>
                    <w:t>；</w:t>
                  </w:r>
                </w:p>
                <w:p>
                  <w:pPr>
                    <w:numPr>
                      <w:ilvl w:val="0"/>
                      <w:numId w:val="5"/>
                    </w:numPr>
                    <w:spacing w:line="240" w:lineRule="auto"/>
                    <w:rPr>
                      <w:sz w:val="21"/>
                      <w:szCs w:val="21"/>
                      <w:highlight w:val="none"/>
                      <w:u w:val="single"/>
                    </w:rPr>
                  </w:pPr>
                  <w:r>
                    <w:rPr>
                      <w:rFonts w:hint="eastAsia"/>
                      <w:sz w:val="21"/>
                      <w:szCs w:val="21"/>
                      <w:highlight w:val="none"/>
                      <w:u w:val="single"/>
                      <w:lang w:eastAsia="zh-CN"/>
                    </w:rPr>
                    <w:t>本环评建议在厂区入口道路处设置一个</w:t>
                  </w:r>
                  <w:r>
                    <w:rPr>
                      <w:rFonts w:hint="eastAsia"/>
                      <w:sz w:val="21"/>
                      <w:szCs w:val="21"/>
                      <w:highlight w:val="none"/>
                      <w:u w:val="single"/>
                      <w:lang w:val="en-US" w:eastAsia="zh-CN"/>
                    </w:rPr>
                    <w:t>27m³的</w:t>
                  </w:r>
                  <w:r>
                    <w:rPr>
                      <w:rFonts w:hint="eastAsia"/>
                      <w:sz w:val="21"/>
                      <w:szCs w:val="21"/>
                      <w:highlight w:val="none"/>
                      <w:u w:val="single"/>
                      <w:lang w:eastAsia="zh-CN"/>
                    </w:rPr>
                    <w:t>洗车平台沉淀池；</w:t>
                  </w:r>
                </w:p>
                <w:p>
                  <w:pPr>
                    <w:numPr>
                      <w:ilvl w:val="0"/>
                      <w:numId w:val="5"/>
                    </w:numPr>
                    <w:spacing w:line="240" w:lineRule="auto"/>
                    <w:rPr>
                      <w:sz w:val="21"/>
                      <w:szCs w:val="21"/>
                      <w:highlight w:val="none"/>
                      <w:u w:val="single"/>
                    </w:rPr>
                  </w:pPr>
                  <w:r>
                    <w:rPr>
                      <w:sz w:val="21"/>
                      <w:szCs w:val="21"/>
                      <w:highlight w:val="none"/>
                      <w:u w:val="single"/>
                    </w:rPr>
                    <w:t>在厂区</w:t>
                  </w:r>
                  <w:r>
                    <w:rPr>
                      <w:rFonts w:hint="eastAsia"/>
                      <w:sz w:val="21"/>
                      <w:szCs w:val="21"/>
                      <w:highlight w:val="none"/>
                      <w:u w:val="single"/>
                    </w:rPr>
                    <w:t>东</w:t>
                  </w:r>
                  <w:r>
                    <w:rPr>
                      <w:sz w:val="21"/>
                      <w:szCs w:val="21"/>
                      <w:highlight w:val="none"/>
                      <w:u w:val="single"/>
                    </w:rPr>
                    <w:t>部设置一个</w:t>
                  </w:r>
                  <w:r>
                    <w:rPr>
                      <w:rFonts w:hint="eastAsia"/>
                      <w:sz w:val="21"/>
                      <w:szCs w:val="21"/>
                      <w:highlight w:val="none"/>
                      <w:u w:val="single"/>
                      <w:lang w:val="en-US" w:eastAsia="zh-CN"/>
                    </w:rPr>
                    <w:t>116m³的</w:t>
                  </w:r>
                  <w:r>
                    <w:rPr>
                      <w:sz w:val="21"/>
                      <w:szCs w:val="21"/>
                      <w:highlight w:val="none"/>
                      <w:u w:val="single"/>
                    </w:rPr>
                    <w:t>初期雨水沉淀池，同时</w:t>
                  </w:r>
                  <w:r>
                    <w:rPr>
                      <w:rFonts w:hint="default"/>
                      <w:sz w:val="21"/>
                      <w:szCs w:val="21"/>
                      <w:highlight w:val="none"/>
                      <w:u w:val="single"/>
                      <w:lang w:eastAsia="zh-CN"/>
                    </w:rPr>
                    <w:t>厂区初期雨水池</w:t>
                  </w:r>
                  <w:r>
                    <w:rPr>
                      <w:sz w:val="21"/>
                      <w:szCs w:val="21"/>
                      <w:highlight w:val="none"/>
                      <w:u w:val="single"/>
                    </w:rPr>
                    <w:t>排放口处设置自动或人工切换阀门</w:t>
                  </w:r>
                  <w:r>
                    <w:rPr>
                      <w:rFonts w:hint="default"/>
                      <w:sz w:val="21"/>
                      <w:szCs w:val="21"/>
                      <w:highlight w:val="none"/>
                      <w:u w:val="single"/>
                      <w:lang w:eastAsia="zh-CN"/>
                    </w:rPr>
                    <w:t>，</w:t>
                  </w:r>
                  <w:r>
                    <w:rPr>
                      <w:sz w:val="21"/>
                      <w:szCs w:val="21"/>
                      <w:highlight w:val="none"/>
                      <w:u w:val="single"/>
                    </w:rPr>
                    <w:t>雨水</w:t>
                  </w:r>
                  <w:r>
                    <w:rPr>
                      <w:rFonts w:hint="eastAsia"/>
                      <w:sz w:val="21"/>
                      <w:szCs w:val="21"/>
                      <w:highlight w:val="none"/>
                      <w:u w:val="single"/>
                    </w:rPr>
                    <w:t>经沉淀后可回用于生产、洒水降尘</w:t>
                  </w:r>
                  <w:r>
                    <w:rPr>
                      <w:sz w:val="21"/>
                      <w:szCs w:val="21"/>
                      <w:highlight w:val="none"/>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2" w:type="dxa"/>
                  <w:vAlign w:val="center"/>
                </w:tcPr>
                <w:p>
                  <w:pPr>
                    <w:pStyle w:val="36"/>
                    <w:spacing w:line="240" w:lineRule="auto"/>
                    <w:ind w:firstLine="0" w:firstLineChars="0"/>
                    <w:jc w:val="center"/>
                    <w:rPr>
                      <w:rFonts w:ascii="Times New Roman"/>
                      <w:sz w:val="21"/>
                      <w:szCs w:val="21"/>
                    </w:rPr>
                  </w:pPr>
                  <w:r>
                    <w:rPr>
                      <w:rFonts w:hint="eastAsia" w:ascii="Times New Roman"/>
                      <w:sz w:val="21"/>
                      <w:szCs w:val="21"/>
                    </w:rPr>
                    <w:t>3</w:t>
                  </w:r>
                </w:p>
              </w:tc>
              <w:tc>
                <w:tcPr>
                  <w:tcW w:w="1064" w:type="dxa"/>
                  <w:vAlign w:val="center"/>
                </w:tcPr>
                <w:p>
                  <w:pPr>
                    <w:pStyle w:val="36"/>
                    <w:spacing w:line="240" w:lineRule="auto"/>
                    <w:ind w:firstLine="0" w:firstLineChars="0"/>
                    <w:jc w:val="center"/>
                    <w:rPr>
                      <w:rFonts w:ascii="Times New Roman"/>
                      <w:sz w:val="21"/>
                      <w:szCs w:val="21"/>
                      <w:u w:val="single"/>
                    </w:rPr>
                  </w:pPr>
                  <w:r>
                    <w:rPr>
                      <w:rFonts w:hint="eastAsia" w:ascii="Times New Roman"/>
                      <w:sz w:val="21"/>
                      <w:szCs w:val="21"/>
                      <w:u w:val="single"/>
                    </w:rPr>
                    <w:t>废气</w:t>
                  </w:r>
                </w:p>
              </w:tc>
              <w:tc>
                <w:tcPr>
                  <w:tcW w:w="2918" w:type="dxa"/>
                  <w:vAlign w:val="center"/>
                </w:tcPr>
                <w:p>
                  <w:pPr>
                    <w:spacing w:line="240" w:lineRule="auto"/>
                    <w:rPr>
                      <w:color w:val="0000FF"/>
                      <w:sz w:val="21"/>
                      <w:szCs w:val="21"/>
                      <w:u w:val="single"/>
                    </w:rPr>
                  </w:pPr>
                  <w:r>
                    <w:rPr>
                      <w:rFonts w:hint="eastAsia"/>
                      <w:sz w:val="21"/>
                      <w:szCs w:val="21"/>
                      <w:u w:val="single"/>
                      <w:lang w:eastAsia="zh-CN"/>
                    </w:rPr>
                    <w:t>破碎工序</w:t>
                  </w:r>
                  <w:r>
                    <w:rPr>
                      <w:rFonts w:hint="eastAsia"/>
                      <w:sz w:val="21"/>
                      <w:szCs w:val="21"/>
                      <w:u w:val="single"/>
                    </w:rPr>
                    <w:t>未设置围挡</w:t>
                  </w:r>
                  <w:r>
                    <w:rPr>
                      <w:sz w:val="21"/>
                      <w:szCs w:val="21"/>
                      <w:u w:val="single"/>
                    </w:rPr>
                    <w:t>。</w:t>
                  </w:r>
                </w:p>
              </w:tc>
              <w:tc>
                <w:tcPr>
                  <w:tcW w:w="3796" w:type="dxa"/>
                  <w:vAlign w:val="center"/>
                </w:tcPr>
                <w:p>
                  <w:pPr>
                    <w:pStyle w:val="36"/>
                    <w:spacing w:line="240" w:lineRule="auto"/>
                    <w:ind w:firstLine="0" w:firstLineChars="0"/>
                    <w:rPr>
                      <w:rFonts w:ascii="Times New Roman"/>
                      <w:color w:val="0000FF"/>
                      <w:sz w:val="21"/>
                      <w:szCs w:val="21"/>
                      <w:u w:val="single"/>
                    </w:rPr>
                  </w:pPr>
                  <w:r>
                    <w:rPr>
                      <w:rFonts w:hint="eastAsia"/>
                      <w:sz w:val="21"/>
                      <w:szCs w:val="21"/>
                      <w:u w:val="single"/>
                    </w:rPr>
                    <w:t>对</w:t>
                  </w:r>
                  <w:r>
                    <w:rPr>
                      <w:rFonts w:hint="eastAsia"/>
                      <w:sz w:val="21"/>
                      <w:szCs w:val="21"/>
                      <w:lang w:eastAsia="zh-CN"/>
                    </w:rPr>
                    <w:t>破碎工序</w:t>
                  </w:r>
                  <w:r>
                    <w:rPr>
                      <w:rFonts w:hint="eastAsia"/>
                      <w:sz w:val="21"/>
                      <w:szCs w:val="21"/>
                      <w:u w:val="single"/>
                    </w:rPr>
                    <w:t>设置</w:t>
                  </w:r>
                  <w:r>
                    <w:rPr>
                      <w:rFonts w:hint="eastAsia"/>
                      <w:sz w:val="21"/>
                      <w:szCs w:val="21"/>
                      <w:u w:val="single"/>
                      <w:lang w:eastAsia="zh-CN"/>
                    </w:rPr>
                    <w:t>三面</w:t>
                  </w:r>
                  <w:r>
                    <w:rPr>
                      <w:rFonts w:hint="eastAsia"/>
                      <w:sz w:val="21"/>
                      <w:szCs w:val="21"/>
                      <w:u w:val="single"/>
                    </w:rPr>
                    <w:t>围挡</w:t>
                  </w:r>
                  <w:r>
                    <w:rPr>
                      <w:rFonts w:ascii="Times New Roman"/>
                      <w:sz w:val="21"/>
                      <w:szCs w:val="21"/>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2" w:type="dxa"/>
                  <w:vAlign w:val="center"/>
                </w:tcPr>
                <w:p>
                  <w:pPr>
                    <w:pStyle w:val="36"/>
                    <w:spacing w:line="240" w:lineRule="auto"/>
                    <w:ind w:firstLine="0" w:firstLineChars="0"/>
                    <w:jc w:val="center"/>
                    <w:rPr>
                      <w:rFonts w:ascii="Times New Roman"/>
                      <w:sz w:val="21"/>
                      <w:szCs w:val="21"/>
                    </w:rPr>
                  </w:pPr>
                  <w:r>
                    <w:rPr>
                      <w:rFonts w:hint="eastAsia" w:ascii="Times New Roman"/>
                      <w:sz w:val="21"/>
                      <w:szCs w:val="21"/>
                    </w:rPr>
                    <w:t>4</w:t>
                  </w:r>
                </w:p>
              </w:tc>
              <w:tc>
                <w:tcPr>
                  <w:tcW w:w="1064" w:type="dxa"/>
                  <w:vAlign w:val="center"/>
                </w:tcPr>
                <w:p>
                  <w:pPr>
                    <w:pStyle w:val="36"/>
                    <w:spacing w:line="240" w:lineRule="auto"/>
                    <w:ind w:firstLine="0" w:firstLineChars="0"/>
                    <w:jc w:val="center"/>
                    <w:rPr>
                      <w:rFonts w:ascii="Times New Roman"/>
                      <w:sz w:val="21"/>
                      <w:szCs w:val="21"/>
                    </w:rPr>
                  </w:pPr>
                  <w:r>
                    <w:rPr>
                      <w:rFonts w:hint="eastAsia" w:ascii="Times New Roman"/>
                      <w:sz w:val="21"/>
                      <w:szCs w:val="21"/>
                    </w:rPr>
                    <w:t>固废</w:t>
                  </w:r>
                </w:p>
              </w:tc>
              <w:tc>
                <w:tcPr>
                  <w:tcW w:w="2918" w:type="dxa"/>
                  <w:vAlign w:val="center"/>
                </w:tcPr>
                <w:p>
                  <w:pPr>
                    <w:pStyle w:val="36"/>
                    <w:spacing w:line="240" w:lineRule="auto"/>
                    <w:ind w:firstLine="0" w:firstLineChars="0"/>
                    <w:rPr>
                      <w:rFonts w:ascii="Times New Roman"/>
                      <w:sz w:val="21"/>
                      <w:szCs w:val="21"/>
                    </w:rPr>
                  </w:pPr>
                  <w:r>
                    <w:rPr>
                      <w:rFonts w:hint="eastAsia"/>
                      <w:sz w:val="21"/>
                      <w:szCs w:val="21"/>
                    </w:rPr>
                    <w:t>未设置危废暂存间，且未与有资质单位签订危废协议。</w:t>
                  </w:r>
                </w:p>
              </w:tc>
              <w:tc>
                <w:tcPr>
                  <w:tcW w:w="3796" w:type="dxa"/>
                  <w:vAlign w:val="center"/>
                </w:tcPr>
                <w:p>
                  <w:pPr>
                    <w:pStyle w:val="36"/>
                    <w:spacing w:line="240" w:lineRule="auto"/>
                    <w:ind w:firstLine="0" w:firstLineChars="0"/>
                    <w:rPr>
                      <w:rFonts w:ascii="Times New Roman"/>
                      <w:sz w:val="21"/>
                      <w:szCs w:val="21"/>
                    </w:rPr>
                  </w:pPr>
                  <w:r>
                    <w:rPr>
                      <w:rFonts w:hint="eastAsia" w:ascii="Times New Roman"/>
                      <w:sz w:val="21"/>
                      <w:szCs w:val="21"/>
                    </w:rPr>
                    <w:t>在仓库旁设置危废暂存间并设置围堰，后期将与有资质单位签订危废协议</w:t>
                  </w:r>
                  <w:r>
                    <w:rPr>
                      <w:rFonts w:ascii="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52" w:type="dxa"/>
                  <w:vAlign w:val="center"/>
                </w:tcPr>
                <w:p>
                  <w:pPr>
                    <w:pStyle w:val="36"/>
                    <w:spacing w:line="240" w:lineRule="auto"/>
                    <w:ind w:firstLine="0" w:firstLineChars="0"/>
                    <w:jc w:val="center"/>
                    <w:rPr>
                      <w:rFonts w:ascii="Times New Roman"/>
                      <w:sz w:val="21"/>
                      <w:szCs w:val="21"/>
                    </w:rPr>
                  </w:pPr>
                  <w:r>
                    <w:rPr>
                      <w:rFonts w:hint="eastAsia" w:ascii="Times New Roman"/>
                      <w:sz w:val="21"/>
                      <w:szCs w:val="21"/>
                    </w:rPr>
                    <w:t>5</w:t>
                  </w:r>
                </w:p>
              </w:tc>
              <w:tc>
                <w:tcPr>
                  <w:tcW w:w="1064" w:type="dxa"/>
                  <w:vAlign w:val="center"/>
                </w:tcPr>
                <w:p>
                  <w:pPr>
                    <w:pStyle w:val="36"/>
                    <w:spacing w:line="240" w:lineRule="auto"/>
                    <w:ind w:firstLine="0" w:firstLineChars="0"/>
                    <w:jc w:val="center"/>
                    <w:rPr>
                      <w:rFonts w:ascii="Times New Roman"/>
                      <w:sz w:val="21"/>
                      <w:szCs w:val="21"/>
                      <w:u w:val="single"/>
                    </w:rPr>
                  </w:pPr>
                  <w:r>
                    <w:rPr>
                      <w:rFonts w:hint="eastAsia" w:ascii="Times New Roman"/>
                      <w:sz w:val="21"/>
                      <w:szCs w:val="21"/>
                      <w:u w:val="single"/>
                    </w:rPr>
                    <w:t>其他</w:t>
                  </w:r>
                </w:p>
              </w:tc>
              <w:tc>
                <w:tcPr>
                  <w:tcW w:w="2918" w:type="dxa"/>
                  <w:vAlign w:val="center"/>
                </w:tcPr>
                <w:p>
                  <w:pPr>
                    <w:pStyle w:val="36"/>
                    <w:spacing w:line="240" w:lineRule="auto"/>
                    <w:ind w:firstLine="0" w:firstLineChars="0"/>
                    <w:rPr>
                      <w:sz w:val="21"/>
                      <w:szCs w:val="21"/>
                      <w:u w:val="single"/>
                    </w:rPr>
                  </w:pPr>
                  <w:r>
                    <w:rPr>
                      <w:rFonts w:hint="eastAsia"/>
                      <w:sz w:val="21"/>
                      <w:szCs w:val="21"/>
                      <w:u w:val="single"/>
                    </w:rPr>
                    <w:t>1、项目场地临近沅江，河边未修建围栏挡砂；</w:t>
                  </w:r>
                </w:p>
                <w:p>
                  <w:pPr>
                    <w:pStyle w:val="36"/>
                    <w:spacing w:line="240" w:lineRule="auto"/>
                    <w:ind w:firstLine="0" w:firstLineChars="0"/>
                    <w:rPr>
                      <w:sz w:val="21"/>
                      <w:szCs w:val="21"/>
                      <w:u w:val="single"/>
                    </w:rPr>
                  </w:pPr>
                  <w:r>
                    <w:rPr>
                      <w:rFonts w:hint="eastAsia"/>
                      <w:sz w:val="21"/>
                      <w:szCs w:val="21"/>
                      <w:u w:val="single"/>
                    </w:rPr>
                    <w:t>2、未签订</w:t>
                  </w:r>
                  <w:r>
                    <w:rPr>
                      <w:rFonts w:hint="eastAsia"/>
                      <w:sz w:val="21"/>
                      <w:szCs w:val="21"/>
                      <w:u w:val="single"/>
                      <w:lang w:val="en-US" w:eastAsia="zh-CN"/>
                    </w:rPr>
                    <w:t>污泥处置</w:t>
                  </w:r>
                  <w:r>
                    <w:rPr>
                      <w:rFonts w:hint="eastAsia"/>
                      <w:sz w:val="21"/>
                      <w:szCs w:val="21"/>
                      <w:u w:val="single"/>
                    </w:rPr>
                    <w:t>协议；</w:t>
                  </w:r>
                </w:p>
                <w:p>
                  <w:pPr>
                    <w:pStyle w:val="36"/>
                    <w:spacing w:line="240" w:lineRule="auto"/>
                    <w:ind w:firstLine="0" w:firstLineChars="0"/>
                    <w:rPr>
                      <w:sz w:val="21"/>
                      <w:szCs w:val="21"/>
                      <w:u w:val="single"/>
                    </w:rPr>
                  </w:pPr>
                  <w:r>
                    <w:rPr>
                      <w:rFonts w:hint="eastAsia"/>
                      <w:sz w:val="21"/>
                      <w:szCs w:val="21"/>
                      <w:u w:val="single"/>
                    </w:rPr>
                    <w:t>3、</w:t>
                  </w:r>
                  <w:r>
                    <w:rPr>
                      <w:rFonts w:hint="eastAsia" w:ascii="Times New Roman"/>
                      <w:sz w:val="21"/>
                      <w:szCs w:val="21"/>
                      <w:u w:val="single"/>
                    </w:rPr>
                    <w:t>项目未办理取水证明。</w:t>
                  </w:r>
                </w:p>
              </w:tc>
              <w:tc>
                <w:tcPr>
                  <w:tcW w:w="3796" w:type="dxa"/>
                  <w:vAlign w:val="center"/>
                </w:tcPr>
                <w:p>
                  <w:pPr>
                    <w:pStyle w:val="36"/>
                    <w:spacing w:line="240" w:lineRule="auto"/>
                    <w:ind w:firstLine="0" w:firstLineChars="0"/>
                    <w:rPr>
                      <w:rFonts w:ascii="Times New Roman"/>
                      <w:sz w:val="21"/>
                      <w:szCs w:val="21"/>
                      <w:u w:val="single"/>
                    </w:rPr>
                  </w:pPr>
                  <w:r>
                    <w:rPr>
                      <w:rFonts w:hint="eastAsia" w:ascii="Times New Roman"/>
                      <w:sz w:val="21"/>
                      <w:szCs w:val="21"/>
                      <w:u w:val="single"/>
                    </w:rPr>
                    <w:t>1、在河边修建挡砂围栏；</w:t>
                  </w:r>
                </w:p>
                <w:p>
                  <w:pPr>
                    <w:pStyle w:val="36"/>
                    <w:spacing w:line="240" w:lineRule="auto"/>
                    <w:ind w:firstLine="0" w:firstLineChars="0"/>
                    <w:rPr>
                      <w:rFonts w:hint="eastAsia" w:eastAsia="宋体"/>
                      <w:sz w:val="21"/>
                      <w:szCs w:val="21"/>
                      <w:u w:val="single"/>
                      <w:lang w:val="en-US" w:eastAsia="zh-CN"/>
                    </w:rPr>
                  </w:pPr>
                  <w:r>
                    <w:rPr>
                      <w:rFonts w:hint="eastAsia" w:ascii="Times New Roman"/>
                      <w:sz w:val="21"/>
                      <w:szCs w:val="21"/>
                      <w:u w:val="single"/>
                    </w:rPr>
                    <w:t>2、后期将与</w:t>
                  </w:r>
                  <w:r>
                    <w:rPr>
                      <w:rFonts w:hint="eastAsia"/>
                      <w:sz w:val="21"/>
                      <w:szCs w:val="21"/>
                      <w:u w:val="single"/>
                    </w:rPr>
                    <w:t>砖厂</w:t>
                  </w:r>
                  <w:r>
                    <w:rPr>
                      <w:rFonts w:hint="eastAsia"/>
                      <w:sz w:val="21"/>
                      <w:szCs w:val="21"/>
                      <w:u w:val="single"/>
                      <w:lang w:val="en-US" w:eastAsia="zh-CN"/>
                    </w:rPr>
                    <w:t>等环保手续合法单位</w:t>
                  </w:r>
                  <w:r>
                    <w:rPr>
                      <w:rFonts w:hint="eastAsia"/>
                      <w:sz w:val="21"/>
                      <w:szCs w:val="21"/>
                      <w:u w:val="single"/>
                    </w:rPr>
                    <w:t>签订</w:t>
                  </w:r>
                  <w:r>
                    <w:rPr>
                      <w:rFonts w:hint="eastAsia"/>
                      <w:sz w:val="21"/>
                      <w:szCs w:val="21"/>
                      <w:u w:val="single"/>
                      <w:lang w:val="en-US" w:eastAsia="zh-CN"/>
                    </w:rPr>
                    <w:t>污泥处置</w:t>
                  </w:r>
                  <w:r>
                    <w:rPr>
                      <w:rFonts w:hint="eastAsia"/>
                      <w:sz w:val="21"/>
                      <w:szCs w:val="21"/>
                      <w:u w:val="single"/>
                    </w:rPr>
                    <w:t>协议；</w:t>
                  </w:r>
                  <w:r>
                    <w:rPr>
                      <w:rFonts w:hint="eastAsia"/>
                      <w:sz w:val="21"/>
                      <w:szCs w:val="21"/>
                      <w:u w:val="single"/>
                      <w:lang w:val="en-US" w:eastAsia="zh-CN"/>
                    </w:rPr>
                    <w:t xml:space="preserve"> </w:t>
                  </w:r>
                </w:p>
                <w:p>
                  <w:pPr>
                    <w:pStyle w:val="36"/>
                    <w:spacing w:line="240" w:lineRule="auto"/>
                    <w:ind w:firstLine="0" w:firstLineChars="0"/>
                    <w:rPr>
                      <w:sz w:val="21"/>
                      <w:szCs w:val="21"/>
                      <w:u w:val="single"/>
                    </w:rPr>
                  </w:pPr>
                  <w:r>
                    <w:rPr>
                      <w:rFonts w:hint="eastAsia"/>
                      <w:sz w:val="21"/>
                      <w:szCs w:val="21"/>
                      <w:u w:val="single"/>
                    </w:rPr>
                    <w:t>3、本次环评建议项目后期办理取水证明。</w:t>
                  </w:r>
                </w:p>
              </w:tc>
            </w:tr>
          </w:tbl>
          <w:p>
            <w:pPr>
              <w:pStyle w:val="36"/>
              <w:ind w:firstLine="480"/>
              <w:rPr>
                <w:rFonts w:ascii="Times New Roman"/>
                <w:color w:val="0000FF"/>
              </w:rPr>
            </w:pPr>
          </w:p>
          <w:p>
            <w:pPr>
              <w:pStyle w:val="36"/>
              <w:ind w:firstLine="480"/>
              <w:rPr>
                <w:rFonts w:ascii="Times New Roman"/>
                <w:color w:val="0000FF"/>
              </w:rPr>
            </w:pPr>
          </w:p>
          <w:p>
            <w:pPr>
              <w:pStyle w:val="36"/>
              <w:ind w:firstLine="480"/>
              <w:rPr>
                <w:rFonts w:ascii="Times New Roman"/>
                <w:color w:val="0000FF"/>
              </w:rPr>
            </w:pPr>
          </w:p>
          <w:p>
            <w:pPr>
              <w:pStyle w:val="36"/>
              <w:ind w:firstLine="480"/>
              <w:rPr>
                <w:rFonts w:ascii="Times New Roman"/>
                <w:color w:val="0000FF"/>
              </w:rPr>
            </w:pPr>
          </w:p>
          <w:p>
            <w:pPr>
              <w:pStyle w:val="36"/>
              <w:ind w:firstLine="480"/>
              <w:rPr>
                <w:rFonts w:ascii="Times New Roman"/>
                <w:color w:val="0000FF"/>
              </w:rPr>
            </w:pPr>
          </w:p>
          <w:p>
            <w:pPr>
              <w:pStyle w:val="36"/>
              <w:ind w:firstLine="480"/>
              <w:rPr>
                <w:rFonts w:ascii="Times New Roman"/>
                <w:color w:val="0000FF"/>
              </w:rPr>
            </w:pPr>
          </w:p>
          <w:p>
            <w:pPr>
              <w:pStyle w:val="36"/>
              <w:ind w:firstLine="480"/>
              <w:rPr>
                <w:rFonts w:ascii="Times New Roman"/>
                <w:color w:val="0000FF"/>
              </w:rPr>
            </w:pPr>
          </w:p>
          <w:p>
            <w:pPr>
              <w:pStyle w:val="36"/>
              <w:ind w:firstLine="480"/>
              <w:rPr>
                <w:rFonts w:ascii="Times New Roman"/>
                <w:color w:val="0000FF"/>
              </w:rPr>
            </w:pPr>
          </w:p>
          <w:p>
            <w:pPr>
              <w:ind w:firstLine="480" w:firstLineChars="200"/>
              <w:rPr>
                <w:color w:val="0000FF"/>
              </w:rPr>
            </w:pPr>
          </w:p>
          <w:p>
            <w:pPr>
              <w:pStyle w:val="26"/>
              <w:rPr>
                <w:rFonts w:hint="default" w:ascii="Times New Roman" w:hAnsi="Times New Roman" w:eastAsia="宋体" w:cs="Times New Roman"/>
                <w:color w:val="0000FF"/>
              </w:rPr>
            </w:pPr>
          </w:p>
        </w:tc>
      </w:tr>
    </w:tbl>
    <w:p>
      <w:pPr>
        <w:widowControl/>
        <w:spacing w:before="100" w:beforeAutospacing="1" w:after="100" w:afterAutospacing="1" w:line="240" w:lineRule="auto"/>
        <w:jc w:val="center"/>
        <w:rPr>
          <w:snapToGrid w:val="0"/>
          <w:color w:val="0000FF"/>
          <w:kern w:val="0"/>
          <w:sz w:val="36"/>
          <w:szCs w:val="36"/>
        </w:rPr>
        <w:sectPr>
          <w:pgSz w:w="11906" w:h="16838"/>
          <w:pgMar w:top="1701" w:right="1531" w:bottom="1701" w:left="1531" w:header="851" w:footer="851" w:gutter="0"/>
          <w:cols w:space="720" w:num="1"/>
          <w:docGrid w:linePitch="312" w:charSpace="0"/>
        </w:sectPr>
      </w:pPr>
    </w:p>
    <w:p>
      <w:pPr>
        <w:pStyle w:val="31"/>
        <w:numPr>
          <w:ilvl w:val="0"/>
          <w:numId w:val="0"/>
        </w:numPr>
        <w:rPr>
          <w:snapToGrid w:val="0"/>
        </w:rPr>
      </w:pPr>
      <w:bookmarkStart w:id="42" w:name="_Toc68160363"/>
      <w:bookmarkStart w:id="43" w:name="_Toc26727"/>
      <w:r>
        <w:rPr>
          <w:b w:val="0"/>
          <w:snapToGrid w:val="0"/>
          <w:kern w:val="0"/>
          <w:sz w:val="30"/>
          <w:szCs w:val="30"/>
        </w:rPr>
        <w:t>三、区域环境质量现状、环境保护目标及评价标准</w:t>
      </w:r>
      <w:bookmarkEnd w:id="42"/>
      <w:bookmarkEnd w:id="43"/>
    </w:p>
    <w:tbl>
      <w:tblPr>
        <w:tblStyle w:val="22"/>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86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vAlign w:val="center"/>
          </w:tcPr>
          <w:p>
            <w:pPr>
              <w:adjustRightInd w:val="0"/>
              <w:snapToGrid w:val="0"/>
              <w:jc w:val="center"/>
              <w:rPr>
                <w:kern w:val="0"/>
                <w:szCs w:val="21"/>
              </w:rPr>
            </w:pPr>
            <w:r>
              <w:rPr>
                <w:kern w:val="0"/>
                <w:szCs w:val="21"/>
              </w:rPr>
              <w:t>区域</w:t>
            </w:r>
          </w:p>
          <w:p>
            <w:pPr>
              <w:adjustRightInd w:val="0"/>
              <w:snapToGrid w:val="0"/>
              <w:jc w:val="center"/>
              <w:rPr>
                <w:kern w:val="0"/>
                <w:szCs w:val="21"/>
              </w:rPr>
            </w:pPr>
            <w:r>
              <w:rPr>
                <w:kern w:val="0"/>
                <w:szCs w:val="21"/>
              </w:rPr>
              <w:t>环境</w:t>
            </w:r>
          </w:p>
          <w:p>
            <w:pPr>
              <w:adjustRightInd w:val="0"/>
              <w:snapToGrid w:val="0"/>
              <w:jc w:val="center"/>
              <w:rPr>
                <w:kern w:val="0"/>
                <w:szCs w:val="21"/>
              </w:rPr>
            </w:pPr>
            <w:r>
              <w:rPr>
                <w:kern w:val="0"/>
                <w:szCs w:val="21"/>
              </w:rPr>
              <w:t>质量</w:t>
            </w:r>
          </w:p>
          <w:p>
            <w:pPr>
              <w:adjustRightInd w:val="0"/>
              <w:snapToGrid w:val="0"/>
              <w:jc w:val="center"/>
              <w:rPr>
                <w:color w:val="0000FF"/>
                <w:kern w:val="0"/>
                <w:szCs w:val="21"/>
              </w:rPr>
            </w:pPr>
            <w:r>
              <w:rPr>
                <w:kern w:val="0"/>
                <w:szCs w:val="21"/>
              </w:rPr>
              <w:t>现状</w:t>
            </w:r>
          </w:p>
        </w:tc>
        <w:tc>
          <w:tcPr>
            <w:tcW w:w="8190" w:type="dxa"/>
          </w:tcPr>
          <w:p>
            <w:pPr>
              <w:pStyle w:val="30"/>
              <w:numPr>
                <w:ilvl w:val="1"/>
                <w:numId w:val="0"/>
              </w:numPr>
              <w:ind w:left="284"/>
              <w:jc w:val="both"/>
            </w:pPr>
            <w:bookmarkStart w:id="44" w:name="_Toc68160364"/>
            <w:bookmarkStart w:id="45" w:name="_Toc114"/>
            <w:r>
              <w:t>3.1大气环境质量现状</w:t>
            </w:r>
            <w:bookmarkEnd w:id="44"/>
            <w:bookmarkEnd w:id="45"/>
          </w:p>
          <w:p>
            <w:pPr>
              <w:autoSpaceDE w:val="0"/>
              <w:autoSpaceDN w:val="0"/>
              <w:adjustRightInd w:val="0"/>
              <w:snapToGrid w:val="0"/>
              <w:ind w:firstLine="480" w:firstLineChars="200"/>
            </w:pPr>
            <w:r>
              <w:t>（1）常规监测</w:t>
            </w:r>
          </w:p>
          <w:p>
            <w:pPr>
              <w:adjustRightInd w:val="0"/>
              <w:snapToGrid w:val="0"/>
              <w:ind w:firstLine="480" w:firstLineChars="200"/>
            </w:pPr>
            <w:r>
              <w:t>本项目所在区域为二类区，环境空气质量执行《环境空气质量标准》（GB3095-2012）中二级标准及其修改单。为了解项目所在区域的空气环境质量，本次评价采用怀化市生态环境局公开发布的《怀化市城市环境空气质量年报（202</w:t>
            </w:r>
            <w:r>
              <w:rPr>
                <w:rFonts w:hint="eastAsia"/>
                <w:lang w:val="en-US" w:eastAsia="zh-CN"/>
              </w:rPr>
              <w:t>3</w:t>
            </w:r>
            <w:r>
              <w:t>年）》中的数据和结论。</w:t>
            </w:r>
          </w:p>
          <w:p>
            <w:pPr>
              <w:ind w:firstLine="480" w:firstLineChars="200"/>
              <w:jc w:val="left"/>
              <w:rPr>
                <w:color w:val="0000FF"/>
              </w:rPr>
            </w:pPr>
            <w:r>
              <w:t>202</w:t>
            </w:r>
            <w:r>
              <w:rPr>
                <w:rFonts w:hint="eastAsia"/>
                <w:lang w:val="en-US" w:eastAsia="zh-CN"/>
              </w:rPr>
              <w:t>3</w:t>
            </w:r>
            <w:r>
              <w:t>年</w:t>
            </w:r>
            <w:r>
              <w:rPr>
                <w:rFonts w:hint="eastAsia"/>
              </w:rPr>
              <w:t>辰溪</w:t>
            </w:r>
            <w:r>
              <w:t>县环境空气质量监测结果见</w:t>
            </w:r>
            <w:r>
              <w:rPr>
                <w:rFonts w:hint="eastAsia"/>
              </w:rPr>
              <w:t>下表</w:t>
            </w:r>
            <w:r>
              <w:t>。</w:t>
            </w:r>
          </w:p>
          <w:p>
            <w:pPr>
              <w:adjustRightInd w:val="0"/>
              <w:snapToGrid w:val="0"/>
              <w:spacing w:line="240" w:lineRule="auto"/>
              <w:jc w:val="center"/>
              <w:rPr>
                <w:color w:val="0000FF"/>
              </w:rPr>
            </w:pPr>
            <w:r>
              <w:rPr>
                <w:b/>
                <w:bCs/>
                <w:sz w:val="21"/>
                <w:szCs w:val="21"/>
              </w:rPr>
              <w:t>表3-1　202</w:t>
            </w:r>
            <w:r>
              <w:rPr>
                <w:rFonts w:hint="eastAsia"/>
                <w:b/>
                <w:bCs/>
                <w:sz w:val="21"/>
                <w:szCs w:val="21"/>
                <w:lang w:val="en-US" w:eastAsia="zh-CN"/>
              </w:rPr>
              <w:t>3</w:t>
            </w:r>
            <w:r>
              <w:rPr>
                <w:b/>
                <w:bCs/>
                <w:sz w:val="21"/>
                <w:szCs w:val="21"/>
              </w:rPr>
              <w:t>年</w:t>
            </w:r>
            <w:r>
              <w:rPr>
                <w:rFonts w:hint="eastAsia"/>
                <w:b/>
                <w:bCs/>
                <w:sz w:val="21"/>
                <w:szCs w:val="21"/>
              </w:rPr>
              <w:t>辰溪</w:t>
            </w:r>
            <w:r>
              <w:rPr>
                <w:b/>
                <w:bCs/>
                <w:sz w:val="21"/>
                <w:szCs w:val="21"/>
              </w:rPr>
              <w:t>县环境空气质量监测结果［单位：ug/m</w:t>
            </w:r>
            <w:r>
              <w:rPr>
                <w:b/>
                <w:bCs/>
                <w:sz w:val="21"/>
                <w:szCs w:val="21"/>
                <w:vertAlign w:val="superscript"/>
              </w:rPr>
              <w:t>3</w:t>
            </w:r>
            <w:r>
              <w:rPr>
                <w:b/>
                <w:bCs/>
                <w:sz w:val="21"/>
                <w:szCs w:val="21"/>
              </w:rPr>
              <w:t>（CO mg/m</w:t>
            </w:r>
            <w:r>
              <w:rPr>
                <w:b/>
                <w:bCs/>
                <w:sz w:val="21"/>
                <w:szCs w:val="21"/>
                <w:vertAlign w:val="superscript"/>
              </w:rPr>
              <w:t>3</w:t>
            </w:r>
            <w:r>
              <w:rPr>
                <w:b/>
                <w:bCs/>
                <w:sz w:val="21"/>
                <w:szCs w:val="21"/>
              </w:rPr>
              <w:t>）］</w:t>
            </w:r>
          </w:p>
          <w:tbl>
            <w:tblPr>
              <w:tblStyle w:val="22"/>
              <w:tblW w:w="4998" w:type="pct"/>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autofit"/>
              <w:tblCellMar>
                <w:top w:w="0" w:type="dxa"/>
                <w:left w:w="108" w:type="dxa"/>
                <w:bottom w:w="0" w:type="dxa"/>
                <w:right w:w="108" w:type="dxa"/>
              </w:tblCellMar>
            </w:tblPr>
            <w:tblGrid>
              <w:gridCol w:w="1201"/>
              <w:gridCol w:w="825"/>
              <w:gridCol w:w="828"/>
              <w:gridCol w:w="836"/>
              <w:gridCol w:w="1870"/>
              <w:gridCol w:w="1914"/>
              <w:gridCol w:w="903"/>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jc w:val="center"/>
              </w:trPr>
              <w:tc>
                <w:tcPr>
                  <w:tcW w:w="1175" w:type="dxa"/>
                  <w:vAlign w:val="center"/>
                </w:tcPr>
                <w:p>
                  <w:pPr>
                    <w:pStyle w:val="37"/>
                    <w:spacing w:line="240" w:lineRule="exact"/>
                    <w:ind w:firstLine="0" w:firstLineChars="0"/>
                    <w:jc w:val="center"/>
                    <w:rPr>
                      <w:szCs w:val="21"/>
                    </w:rPr>
                  </w:pPr>
                  <w:r>
                    <w:rPr>
                      <w:b/>
                      <w:bCs/>
                      <w:szCs w:val="21"/>
                    </w:rPr>
                    <w:t>基本污染物</w:t>
                  </w:r>
                </w:p>
              </w:tc>
              <w:tc>
                <w:tcPr>
                  <w:tcW w:w="807" w:type="dxa"/>
                  <w:vAlign w:val="center"/>
                </w:tcPr>
                <w:p>
                  <w:pPr>
                    <w:pStyle w:val="37"/>
                    <w:spacing w:line="240" w:lineRule="exact"/>
                    <w:ind w:firstLine="0" w:firstLineChars="0"/>
                    <w:jc w:val="center"/>
                    <w:rPr>
                      <w:b/>
                      <w:bCs/>
                      <w:szCs w:val="21"/>
                    </w:rPr>
                  </w:pPr>
                  <w:r>
                    <w:rPr>
                      <w:b/>
                      <w:bCs/>
                      <w:szCs w:val="21"/>
                    </w:rPr>
                    <w:t>SO</w:t>
                  </w:r>
                  <w:r>
                    <w:rPr>
                      <w:b/>
                      <w:bCs/>
                      <w:szCs w:val="21"/>
                      <w:vertAlign w:val="subscript"/>
                    </w:rPr>
                    <w:t>2</w:t>
                  </w:r>
                </w:p>
              </w:tc>
              <w:tc>
                <w:tcPr>
                  <w:tcW w:w="810" w:type="dxa"/>
                  <w:vAlign w:val="center"/>
                </w:tcPr>
                <w:p>
                  <w:pPr>
                    <w:pStyle w:val="37"/>
                    <w:spacing w:line="240" w:lineRule="exact"/>
                    <w:ind w:firstLine="0" w:firstLineChars="0"/>
                    <w:jc w:val="center"/>
                    <w:rPr>
                      <w:b/>
                      <w:bCs/>
                      <w:szCs w:val="21"/>
                    </w:rPr>
                  </w:pPr>
                  <w:r>
                    <w:rPr>
                      <w:b/>
                      <w:bCs/>
                      <w:szCs w:val="21"/>
                    </w:rPr>
                    <w:t>NO</w:t>
                  </w:r>
                  <w:r>
                    <w:rPr>
                      <w:b/>
                      <w:bCs/>
                      <w:szCs w:val="21"/>
                      <w:vertAlign w:val="subscript"/>
                    </w:rPr>
                    <w:t>2</w:t>
                  </w:r>
                </w:p>
              </w:tc>
              <w:tc>
                <w:tcPr>
                  <w:tcW w:w="818" w:type="dxa"/>
                  <w:vAlign w:val="center"/>
                </w:tcPr>
                <w:p>
                  <w:pPr>
                    <w:pStyle w:val="37"/>
                    <w:spacing w:line="240" w:lineRule="exact"/>
                    <w:ind w:firstLine="0" w:firstLineChars="0"/>
                    <w:jc w:val="center"/>
                    <w:rPr>
                      <w:b/>
                      <w:bCs/>
                      <w:szCs w:val="21"/>
                    </w:rPr>
                  </w:pPr>
                  <w:r>
                    <w:rPr>
                      <w:b/>
                      <w:bCs/>
                      <w:szCs w:val="21"/>
                    </w:rPr>
                    <w:t>PM</w:t>
                  </w:r>
                  <w:r>
                    <w:rPr>
                      <w:b/>
                      <w:bCs/>
                      <w:szCs w:val="21"/>
                      <w:vertAlign w:val="subscript"/>
                    </w:rPr>
                    <w:t>10</w:t>
                  </w:r>
                </w:p>
              </w:tc>
              <w:tc>
                <w:tcPr>
                  <w:tcW w:w="1830" w:type="dxa"/>
                  <w:vAlign w:val="center"/>
                </w:tcPr>
                <w:p>
                  <w:pPr>
                    <w:pStyle w:val="37"/>
                    <w:spacing w:line="240" w:lineRule="exact"/>
                    <w:ind w:firstLine="0" w:firstLineChars="0"/>
                    <w:jc w:val="center"/>
                    <w:rPr>
                      <w:b/>
                      <w:bCs/>
                      <w:szCs w:val="21"/>
                    </w:rPr>
                  </w:pPr>
                  <w:r>
                    <w:rPr>
                      <w:b/>
                      <w:bCs/>
                      <w:szCs w:val="21"/>
                    </w:rPr>
                    <w:t>CO</w:t>
                  </w:r>
                </w:p>
              </w:tc>
              <w:tc>
                <w:tcPr>
                  <w:tcW w:w="1873" w:type="dxa"/>
                  <w:vAlign w:val="center"/>
                </w:tcPr>
                <w:p>
                  <w:pPr>
                    <w:pStyle w:val="37"/>
                    <w:spacing w:line="240" w:lineRule="exact"/>
                    <w:ind w:firstLine="0" w:firstLineChars="0"/>
                    <w:jc w:val="center"/>
                    <w:rPr>
                      <w:b/>
                      <w:bCs/>
                      <w:szCs w:val="21"/>
                    </w:rPr>
                  </w:pPr>
                  <w:r>
                    <w:rPr>
                      <w:b/>
                      <w:bCs/>
                      <w:szCs w:val="21"/>
                    </w:rPr>
                    <w:t>O</w:t>
                  </w:r>
                  <w:r>
                    <w:rPr>
                      <w:b/>
                      <w:bCs/>
                      <w:szCs w:val="21"/>
                      <w:vertAlign w:val="subscript"/>
                    </w:rPr>
                    <w:t>3</w:t>
                  </w:r>
                </w:p>
              </w:tc>
              <w:tc>
                <w:tcPr>
                  <w:tcW w:w="884" w:type="dxa"/>
                  <w:vAlign w:val="center"/>
                </w:tcPr>
                <w:p>
                  <w:pPr>
                    <w:pStyle w:val="37"/>
                    <w:spacing w:line="240" w:lineRule="exact"/>
                    <w:ind w:firstLine="0" w:firstLineChars="0"/>
                    <w:jc w:val="center"/>
                    <w:rPr>
                      <w:b/>
                      <w:bCs/>
                      <w:szCs w:val="21"/>
                    </w:rPr>
                  </w:pPr>
                  <w:r>
                    <w:rPr>
                      <w:b/>
                      <w:bCs/>
                      <w:szCs w:val="21"/>
                    </w:rPr>
                    <w:t>PM</w:t>
                  </w:r>
                  <w:r>
                    <w:rPr>
                      <w:b/>
                      <w:bCs/>
                      <w:szCs w:val="21"/>
                      <w:vertAlign w:val="subscript"/>
                    </w:rPr>
                    <w:t>2.5</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jc w:val="center"/>
              </w:trPr>
              <w:tc>
                <w:tcPr>
                  <w:tcW w:w="1175" w:type="dxa"/>
                  <w:vAlign w:val="center"/>
                </w:tcPr>
                <w:p>
                  <w:pPr>
                    <w:pStyle w:val="37"/>
                    <w:spacing w:line="240" w:lineRule="exact"/>
                    <w:ind w:firstLine="0" w:firstLineChars="0"/>
                    <w:jc w:val="center"/>
                    <w:rPr>
                      <w:szCs w:val="21"/>
                    </w:rPr>
                  </w:pPr>
                  <w:r>
                    <w:rPr>
                      <w:szCs w:val="21"/>
                    </w:rPr>
                    <w:t>年均值</w:t>
                  </w:r>
                </w:p>
              </w:tc>
              <w:tc>
                <w:tcPr>
                  <w:tcW w:w="807" w:type="dxa"/>
                  <w:vAlign w:val="center"/>
                </w:tcPr>
                <w:p>
                  <w:pPr>
                    <w:pStyle w:val="37"/>
                    <w:spacing w:line="240" w:lineRule="exact"/>
                    <w:ind w:firstLine="0" w:firstLineChars="0"/>
                    <w:jc w:val="center"/>
                    <w:rPr>
                      <w:szCs w:val="21"/>
                    </w:rPr>
                  </w:pPr>
                  <w:r>
                    <w:rPr>
                      <w:szCs w:val="21"/>
                    </w:rPr>
                    <w:t>7</w:t>
                  </w:r>
                </w:p>
              </w:tc>
              <w:tc>
                <w:tcPr>
                  <w:tcW w:w="810" w:type="dxa"/>
                  <w:vAlign w:val="center"/>
                </w:tcPr>
                <w:p>
                  <w:pPr>
                    <w:pStyle w:val="37"/>
                    <w:spacing w:line="240" w:lineRule="exact"/>
                    <w:ind w:firstLine="0" w:firstLineChars="0"/>
                    <w:jc w:val="center"/>
                    <w:rPr>
                      <w:rFonts w:hint="eastAsia" w:eastAsia="宋体"/>
                      <w:color w:val="0000FF"/>
                      <w:szCs w:val="21"/>
                      <w:lang w:eastAsia="zh-CN"/>
                    </w:rPr>
                  </w:pPr>
                  <w:r>
                    <w:rPr>
                      <w:rFonts w:hint="eastAsia"/>
                      <w:szCs w:val="21"/>
                      <w:lang w:val="en-US" w:eastAsia="zh-CN"/>
                    </w:rPr>
                    <w:t>8</w:t>
                  </w:r>
                </w:p>
              </w:tc>
              <w:tc>
                <w:tcPr>
                  <w:tcW w:w="818" w:type="dxa"/>
                  <w:vAlign w:val="center"/>
                </w:tcPr>
                <w:p>
                  <w:pPr>
                    <w:pStyle w:val="37"/>
                    <w:spacing w:line="240" w:lineRule="exact"/>
                    <w:ind w:firstLine="0" w:firstLineChars="0"/>
                    <w:jc w:val="center"/>
                    <w:rPr>
                      <w:rFonts w:hint="eastAsia" w:eastAsia="宋体"/>
                      <w:color w:val="0000FF"/>
                      <w:szCs w:val="21"/>
                      <w:lang w:eastAsia="zh-CN"/>
                    </w:rPr>
                  </w:pPr>
                  <w:r>
                    <w:rPr>
                      <w:szCs w:val="21"/>
                    </w:rPr>
                    <w:t>4</w:t>
                  </w:r>
                  <w:r>
                    <w:rPr>
                      <w:rFonts w:hint="eastAsia"/>
                      <w:szCs w:val="21"/>
                      <w:lang w:val="en-US" w:eastAsia="zh-CN"/>
                    </w:rPr>
                    <w:t>4</w:t>
                  </w:r>
                </w:p>
              </w:tc>
              <w:tc>
                <w:tcPr>
                  <w:tcW w:w="1830" w:type="dxa"/>
                  <w:vAlign w:val="center"/>
                </w:tcPr>
                <w:p>
                  <w:pPr>
                    <w:pStyle w:val="37"/>
                    <w:spacing w:line="240" w:lineRule="exact"/>
                    <w:ind w:firstLine="0" w:firstLineChars="0"/>
                    <w:jc w:val="center"/>
                    <w:rPr>
                      <w:color w:val="0000FF"/>
                      <w:szCs w:val="21"/>
                    </w:rPr>
                  </w:pPr>
                  <w:r>
                    <w:rPr>
                      <w:rFonts w:hint="eastAsia"/>
                      <w:szCs w:val="21"/>
                    </w:rPr>
                    <w:t>1.</w:t>
                  </w:r>
                  <w:r>
                    <w:rPr>
                      <w:rFonts w:hint="eastAsia"/>
                      <w:szCs w:val="21"/>
                      <w:lang w:val="en-US" w:eastAsia="zh-CN"/>
                    </w:rPr>
                    <w:t>3</w:t>
                  </w:r>
                  <w:r>
                    <w:rPr>
                      <w:szCs w:val="21"/>
                    </w:rPr>
                    <w:t>（年95%浓度）</w:t>
                  </w:r>
                </w:p>
              </w:tc>
              <w:tc>
                <w:tcPr>
                  <w:tcW w:w="1873" w:type="dxa"/>
                  <w:vAlign w:val="center"/>
                </w:tcPr>
                <w:p>
                  <w:pPr>
                    <w:pStyle w:val="37"/>
                    <w:spacing w:line="240" w:lineRule="exact"/>
                    <w:ind w:firstLine="0" w:firstLineChars="0"/>
                    <w:jc w:val="center"/>
                    <w:rPr>
                      <w:szCs w:val="21"/>
                    </w:rPr>
                  </w:pPr>
                  <w:r>
                    <w:rPr>
                      <w:szCs w:val="21"/>
                    </w:rPr>
                    <w:t>1</w:t>
                  </w:r>
                  <w:r>
                    <w:rPr>
                      <w:rFonts w:hint="eastAsia"/>
                      <w:szCs w:val="21"/>
                      <w:lang w:val="en-US" w:eastAsia="zh-CN"/>
                    </w:rPr>
                    <w:t>15</w:t>
                  </w:r>
                  <w:r>
                    <w:rPr>
                      <w:szCs w:val="21"/>
                    </w:rPr>
                    <w:t>（年90%浓度）</w:t>
                  </w:r>
                </w:p>
              </w:tc>
              <w:tc>
                <w:tcPr>
                  <w:tcW w:w="884" w:type="dxa"/>
                  <w:vAlign w:val="center"/>
                </w:tcPr>
                <w:p>
                  <w:pPr>
                    <w:pStyle w:val="37"/>
                    <w:spacing w:line="240" w:lineRule="exact"/>
                    <w:ind w:firstLine="0" w:firstLineChars="0"/>
                    <w:jc w:val="center"/>
                    <w:rPr>
                      <w:rFonts w:hint="default" w:eastAsia="宋体"/>
                      <w:szCs w:val="21"/>
                      <w:lang w:val="en-US" w:eastAsia="zh-CN"/>
                    </w:rPr>
                  </w:pPr>
                  <w:r>
                    <w:rPr>
                      <w:rFonts w:hint="eastAsia"/>
                      <w:szCs w:val="21"/>
                      <w:lang w:val="en-US" w:eastAsia="zh-CN"/>
                    </w:rPr>
                    <w:t>31</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jc w:val="center"/>
              </w:trPr>
              <w:tc>
                <w:tcPr>
                  <w:tcW w:w="1175" w:type="dxa"/>
                  <w:vAlign w:val="center"/>
                </w:tcPr>
                <w:p>
                  <w:pPr>
                    <w:pStyle w:val="37"/>
                    <w:spacing w:line="240" w:lineRule="exact"/>
                    <w:ind w:firstLine="0" w:firstLineChars="0"/>
                    <w:jc w:val="center"/>
                    <w:rPr>
                      <w:szCs w:val="21"/>
                    </w:rPr>
                  </w:pPr>
                  <w:r>
                    <w:rPr>
                      <w:szCs w:val="21"/>
                    </w:rPr>
                    <w:t>评价标准值</w:t>
                  </w:r>
                </w:p>
              </w:tc>
              <w:tc>
                <w:tcPr>
                  <w:tcW w:w="807" w:type="dxa"/>
                  <w:vAlign w:val="center"/>
                </w:tcPr>
                <w:p>
                  <w:pPr>
                    <w:pStyle w:val="37"/>
                    <w:spacing w:line="240" w:lineRule="exact"/>
                    <w:ind w:firstLine="0" w:firstLineChars="0"/>
                    <w:jc w:val="center"/>
                    <w:rPr>
                      <w:szCs w:val="21"/>
                    </w:rPr>
                  </w:pPr>
                  <w:r>
                    <w:rPr>
                      <w:szCs w:val="21"/>
                    </w:rPr>
                    <w:t>60</w:t>
                  </w:r>
                </w:p>
              </w:tc>
              <w:tc>
                <w:tcPr>
                  <w:tcW w:w="810" w:type="dxa"/>
                  <w:vAlign w:val="center"/>
                </w:tcPr>
                <w:p>
                  <w:pPr>
                    <w:pStyle w:val="37"/>
                    <w:spacing w:line="240" w:lineRule="exact"/>
                    <w:ind w:firstLine="0" w:firstLineChars="0"/>
                    <w:jc w:val="center"/>
                    <w:rPr>
                      <w:szCs w:val="21"/>
                    </w:rPr>
                  </w:pPr>
                  <w:r>
                    <w:rPr>
                      <w:szCs w:val="21"/>
                    </w:rPr>
                    <w:t>40</w:t>
                  </w:r>
                </w:p>
              </w:tc>
              <w:tc>
                <w:tcPr>
                  <w:tcW w:w="818" w:type="dxa"/>
                  <w:vAlign w:val="center"/>
                </w:tcPr>
                <w:p>
                  <w:pPr>
                    <w:pStyle w:val="37"/>
                    <w:spacing w:line="240" w:lineRule="exact"/>
                    <w:ind w:firstLine="0" w:firstLineChars="0"/>
                    <w:jc w:val="center"/>
                    <w:rPr>
                      <w:szCs w:val="21"/>
                    </w:rPr>
                  </w:pPr>
                  <w:r>
                    <w:rPr>
                      <w:szCs w:val="21"/>
                    </w:rPr>
                    <w:t>70</w:t>
                  </w:r>
                </w:p>
              </w:tc>
              <w:tc>
                <w:tcPr>
                  <w:tcW w:w="1830" w:type="dxa"/>
                  <w:vAlign w:val="center"/>
                </w:tcPr>
                <w:p>
                  <w:pPr>
                    <w:pStyle w:val="37"/>
                    <w:spacing w:line="240" w:lineRule="exact"/>
                    <w:ind w:firstLine="0" w:firstLineChars="0"/>
                    <w:jc w:val="center"/>
                    <w:rPr>
                      <w:szCs w:val="21"/>
                    </w:rPr>
                  </w:pPr>
                  <w:r>
                    <w:rPr>
                      <w:szCs w:val="21"/>
                    </w:rPr>
                    <w:t>4</w:t>
                  </w:r>
                </w:p>
              </w:tc>
              <w:tc>
                <w:tcPr>
                  <w:tcW w:w="1873" w:type="dxa"/>
                  <w:vAlign w:val="center"/>
                </w:tcPr>
                <w:p>
                  <w:pPr>
                    <w:pStyle w:val="37"/>
                    <w:spacing w:line="240" w:lineRule="exact"/>
                    <w:ind w:firstLine="0" w:firstLineChars="0"/>
                    <w:jc w:val="center"/>
                    <w:rPr>
                      <w:szCs w:val="21"/>
                    </w:rPr>
                  </w:pPr>
                  <w:r>
                    <w:rPr>
                      <w:szCs w:val="21"/>
                    </w:rPr>
                    <w:t>160</w:t>
                  </w:r>
                </w:p>
              </w:tc>
              <w:tc>
                <w:tcPr>
                  <w:tcW w:w="884" w:type="dxa"/>
                  <w:vAlign w:val="center"/>
                </w:tcPr>
                <w:p>
                  <w:pPr>
                    <w:pStyle w:val="37"/>
                    <w:spacing w:line="240" w:lineRule="exact"/>
                    <w:ind w:firstLine="0" w:firstLineChars="0"/>
                    <w:jc w:val="center"/>
                    <w:rPr>
                      <w:szCs w:val="21"/>
                    </w:rPr>
                  </w:pPr>
                  <w:r>
                    <w:rPr>
                      <w:szCs w:val="21"/>
                    </w:rPr>
                    <w:t>35</w:t>
                  </w:r>
                </w:p>
              </w:tc>
            </w:tr>
          </w:tbl>
          <w:p>
            <w:pPr>
              <w:jc w:val="left"/>
              <w:rPr>
                <w:color w:val="0000FF"/>
              </w:rPr>
            </w:pPr>
            <w:r>
              <w:rPr>
                <w:sz w:val="21"/>
                <w:szCs w:val="21"/>
              </w:rPr>
              <w:t>注：O3浓度为日最大8小时平均值。</w:t>
            </w:r>
          </w:p>
          <w:p>
            <w:pPr>
              <w:adjustRightInd w:val="0"/>
              <w:snapToGrid w:val="0"/>
              <w:ind w:firstLine="480" w:firstLineChars="200"/>
              <w:rPr>
                <w:color w:val="0000FF"/>
              </w:rPr>
            </w:pPr>
            <w:r>
              <w:t>从表中数据可知，202</w:t>
            </w:r>
            <w:r>
              <w:rPr>
                <w:rFonts w:hint="eastAsia"/>
                <w:lang w:val="en-US" w:eastAsia="zh-CN"/>
              </w:rPr>
              <w:t>3</w:t>
            </w:r>
            <w:r>
              <w:t>年</w:t>
            </w:r>
            <w:r>
              <w:rPr>
                <w:rFonts w:hint="eastAsia"/>
              </w:rPr>
              <w:t>辰溪</w:t>
            </w:r>
            <w:r>
              <w:t>县环境空气中常规6项指标的PM</w:t>
            </w:r>
            <w:r>
              <w:rPr>
                <w:vertAlign w:val="subscript"/>
              </w:rPr>
              <w:t>10</w:t>
            </w:r>
            <w:r>
              <w:t>年均值、SO</w:t>
            </w:r>
            <w:r>
              <w:rPr>
                <w:vertAlign w:val="subscript"/>
              </w:rPr>
              <w:t>2</w:t>
            </w:r>
            <w:r>
              <w:t>年均值、NO</w:t>
            </w:r>
            <w:r>
              <w:rPr>
                <w:vertAlign w:val="subscript"/>
              </w:rPr>
              <w:t>2</w:t>
            </w:r>
            <w:r>
              <w:t>年均值、CO24小时平均浓度第95百分位数、O</w:t>
            </w:r>
            <w:r>
              <w:rPr>
                <w:vertAlign w:val="subscript"/>
              </w:rPr>
              <w:t>3</w:t>
            </w:r>
            <w:r>
              <w:t>日最大8小时平均浓度第90百分位数以及PM</w:t>
            </w:r>
            <w:r>
              <w:rPr>
                <w:vertAlign w:val="subscript"/>
              </w:rPr>
              <w:t>2.5</w:t>
            </w:r>
            <w:r>
              <w:t>年均值均达到《环境空气质量标准》（GB3095-2012）中的二级标准要求，本项目所在区域环境空气质量为达标区。</w:t>
            </w:r>
          </w:p>
          <w:p>
            <w:pPr>
              <w:widowControl/>
              <w:ind w:firstLine="480" w:firstLineChars="200"/>
              <w:jc w:val="left"/>
            </w:pPr>
            <w:r>
              <w:t>（2）特征污染物</w:t>
            </w:r>
          </w:p>
          <w:p>
            <w:pPr>
              <w:adjustRightInd w:val="0"/>
              <w:snapToGrid w:val="0"/>
              <w:ind w:firstLine="480" w:firstLineChars="200"/>
            </w:pPr>
            <w:r>
              <w:t>为了解本项目特征污染物TSP区域浓度现状，本次评价引用《</w:t>
            </w:r>
            <w:r>
              <w:rPr>
                <w:rFonts w:hint="eastAsia"/>
              </w:rPr>
              <w:t>湖南蓝伯化工有限责任公司年产40万吨电石及配套氧化钙整合改造升级项目</w:t>
            </w:r>
            <w:r>
              <w:t>环境质量现状监测报告》中湖南</w:t>
            </w:r>
            <w:r>
              <w:rPr>
                <w:rFonts w:hint="eastAsia"/>
              </w:rPr>
              <w:t>昌旭环保科技</w:t>
            </w:r>
            <w:r>
              <w:t>有限公司于202</w:t>
            </w:r>
            <w:r>
              <w:rPr>
                <w:rFonts w:hint="eastAsia"/>
              </w:rPr>
              <w:t>3</w:t>
            </w:r>
            <w:r>
              <w:t>年</w:t>
            </w:r>
            <w:r>
              <w:rPr>
                <w:rFonts w:hint="eastAsia"/>
              </w:rPr>
              <w:t>4</w:t>
            </w:r>
            <w:r>
              <w:t>月</w:t>
            </w:r>
            <w:r>
              <w:rPr>
                <w:rFonts w:hint="eastAsia"/>
              </w:rPr>
              <w:t>1</w:t>
            </w:r>
            <w:r>
              <w:t>日-</w:t>
            </w:r>
            <w:r>
              <w:rPr>
                <w:rFonts w:hint="eastAsia"/>
              </w:rPr>
              <w:t>7</w:t>
            </w:r>
            <w:r>
              <w:t>日的大气监测数据，本次评价引用该监测</w:t>
            </w:r>
            <w:r>
              <w:rPr>
                <w:rFonts w:hint="eastAsia"/>
              </w:rPr>
              <w:t>报告</w:t>
            </w:r>
            <w:r>
              <w:t>中</w:t>
            </w:r>
            <w:r>
              <w:rPr>
                <w:rFonts w:hint="eastAsia"/>
              </w:rPr>
              <w:t>龙船坪居民散户</w:t>
            </w:r>
            <w:r>
              <w:t>监测点位的监测数据，该点位于本项目西南面1.</w:t>
            </w:r>
            <w:r>
              <w:rPr>
                <w:rFonts w:hint="eastAsia"/>
              </w:rPr>
              <w:t>6</w:t>
            </w:r>
            <w:r>
              <w:t>km，</w:t>
            </w:r>
            <w:r>
              <w:rPr>
                <w:rFonts w:hint="eastAsia"/>
              </w:rPr>
              <w:t>在5km范围内，</w:t>
            </w:r>
            <w:r>
              <w:t>且监测时间在三年有效期内，</w:t>
            </w:r>
            <w:r>
              <w:rPr>
                <w:rFonts w:ascii="Times New Roman" w:hAnsi="Courier New"/>
              </w:rPr>
              <w:t>地形、气候条件与本项目相近，</w:t>
            </w:r>
            <w:r>
              <w:rPr>
                <w:rFonts w:hint="eastAsia" w:ascii="Times New Roman" w:hAnsi="Courier New"/>
              </w:rPr>
              <w:t>其</w:t>
            </w:r>
            <w:r>
              <w:rPr>
                <w:rFonts w:ascii="Times New Roman" w:hAnsi="Courier New"/>
              </w:rPr>
              <w:t>监测时间</w:t>
            </w:r>
            <w:r>
              <w:rPr>
                <w:rFonts w:hint="eastAsia" w:ascii="Times New Roman" w:hAnsi="Courier New"/>
              </w:rPr>
              <w:t>均</w:t>
            </w:r>
            <w:r>
              <w:rPr>
                <w:rFonts w:ascii="Times New Roman" w:hAnsi="Courier New"/>
              </w:rPr>
              <w:t>在3年有效期范围内，</w:t>
            </w:r>
            <w:r>
              <w:rPr>
                <w:rFonts w:hint="eastAsia" w:ascii="Times New Roman" w:hAnsi="Courier New"/>
              </w:rPr>
              <w:t>项目建设以来当地环境变化不大，</w:t>
            </w:r>
            <w:r>
              <w:rPr>
                <w:rFonts w:ascii="Times New Roman" w:hAnsi="Courier New"/>
              </w:rPr>
              <w:t>数据引用合理</w:t>
            </w:r>
            <w:r>
              <w:rPr>
                <w:rFonts w:hint="eastAsia" w:ascii="Times New Roman" w:hAnsi="Courier New"/>
              </w:rPr>
              <w:t>，符合《建设项目环境影响报告表编制技术指南》（污染影响类）（试行）大气环境监测数据引用规定</w:t>
            </w:r>
            <w:r>
              <w:rPr>
                <w:rFonts w:hint="eastAsia" w:ascii="Times New Roman" w:hAnsi="Courier New"/>
                <w:lang w:eastAsia="zh-CN"/>
              </w:rPr>
              <w:t>。</w:t>
            </w:r>
            <w:r>
              <w:t>监测结果见</w:t>
            </w:r>
            <w:r>
              <w:rPr>
                <w:rFonts w:hint="eastAsia"/>
              </w:rPr>
              <w:t>下表</w:t>
            </w:r>
            <w:r>
              <w:t>。</w:t>
            </w:r>
          </w:p>
          <w:p>
            <w:pPr>
              <w:spacing w:line="240" w:lineRule="auto"/>
              <w:ind w:firstLine="421" w:firstLineChars="200"/>
              <w:jc w:val="center"/>
            </w:pPr>
            <w:r>
              <w:rPr>
                <w:b/>
                <w:bCs/>
                <w:sz w:val="21"/>
                <w:szCs w:val="21"/>
              </w:rPr>
              <w:t>表3-2 特征因子检测结果一览表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2"/>
              <w:gridCol w:w="2374"/>
              <w:gridCol w:w="905"/>
              <w:gridCol w:w="1404"/>
              <w:gridCol w:w="1404"/>
              <w:gridCol w:w="1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4" w:type="pct"/>
                  <w:vAlign w:val="center"/>
                </w:tcPr>
                <w:p>
                  <w:pPr>
                    <w:spacing w:line="240" w:lineRule="auto"/>
                    <w:jc w:val="center"/>
                    <w:rPr>
                      <w:b/>
                      <w:bCs/>
                      <w:sz w:val="21"/>
                      <w:szCs w:val="21"/>
                    </w:rPr>
                  </w:pPr>
                  <w:r>
                    <w:rPr>
                      <w:b/>
                      <w:bCs/>
                      <w:sz w:val="21"/>
                      <w:szCs w:val="21"/>
                    </w:rPr>
                    <w:t>采样日期</w:t>
                  </w:r>
                </w:p>
              </w:tc>
              <w:tc>
                <w:tcPr>
                  <w:tcW w:w="1441" w:type="pct"/>
                  <w:vAlign w:val="center"/>
                </w:tcPr>
                <w:p>
                  <w:pPr>
                    <w:spacing w:line="240" w:lineRule="auto"/>
                    <w:jc w:val="center"/>
                    <w:rPr>
                      <w:b/>
                      <w:bCs/>
                      <w:sz w:val="21"/>
                      <w:szCs w:val="21"/>
                    </w:rPr>
                  </w:pPr>
                  <w:r>
                    <w:rPr>
                      <w:b/>
                      <w:bCs/>
                      <w:sz w:val="21"/>
                      <w:szCs w:val="21"/>
                    </w:rPr>
                    <w:t>检测点位</w:t>
                  </w:r>
                </w:p>
              </w:tc>
              <w:tc>
                <w:tcPr>
                  <w:tcW w:w="564" w:type="pct"/>
                  <w:vAlign w:val="center"/>
                </w:tcPr>
                <w:p>
                  <w:pPr>
                    <w:spacing w:line="240" w:lineRule="auto"/>
                    <w:jc w:val="center"/>
                    <w:rPr>
                      <w:b/>
                      <w:bCs/>
                      <w:sz w:val="21"/>
                      <w:szCs w:val="21"/>
                    </w:rPr>
                  </w:pPr>
                  <w:r>
                    <w:rPr>
                      <w:b/>
                      <w:bCs/>
                      <w:sz w:val="21"/>
                      <w:szCs w:val="21"/>
                    </w:rPr>
                    <w:t>检测项目</w:t>
                  </w:r>
                </w:p>
              </w:tc>
              <w:tc>
                <w:tcPr>
                  <w:tcW w:w="825" w:type="pct"/>
                  <w:vAlign w:val="center"/>
                </w:tcPr>
                <w:p>
                  <w:pPr>
                    <w:spacing w:line="240" w:lineRule="auto"/>
                    <w:jc w:val="center"/>
                    <w:rPr>
                      <w:b/>
                      <w:bCs/>
                      <w:sz w:val="21"/>
                      <w:szCs w:val="21"/>
                    </w:rPr>
                  </w:pPr>
                  <w:r>
                    <w:rPr>
                      <w:b/>
                      <w:bCs/>
                      <w:sz w:val="21"/>
                      <w:szCs w:val="21"/>
                    </w:rPr>
                    <w:t>检测结果（mg/m</w:t>
                  </w:r>
                  <w:r>
                    <w:rPr>
                      <w:b/>
                      <w:bCs/>
                      <w:sz w:val="21"/>
                      <w:szCs w:val="21"/>
                      <w:vertAlign w:val="superscript"/>
                    </w:rPr>
                    <w:t>3</w:t>
                  </w:r>
                  <w:r>
                    <w:rPr>
                      <w:b/>
                      <w:bCs/>
                      <w:sz w:val="21"/>
                      <w:szCs w:val="21"/>
                    </w:rPr>
                    <w:t>）</w:t>
                  </w:r>
                </w:p>
              </w:tc>
              <w:tc>
                <w:tcPr>
                  <w:tcW w:w="782" w:type="pct"/>
                  <w:vAlign w:val="center"/>
                </w:tcPr>
                <w:p>
                  <w:pPr>
                    <w:spacing w:line="240" w:lineRule="auto"/>
                    <w:jc w:val="center"/>
                    <w:rPr>
                      <w:b/>
                      <w:bCs/>
                      <w:sz w:val="21"/>
                      <w:szCs w:val="21"/>
                    </w:rPr>
                  </w:pPr>
                  <w:r>
                    <w:rPr>
                      <w:b/>
                      <w:bCs/>
                      <w:sz w:val="21"/>
                      <w:szCs w:val="21"/>
                    </w:rPr>
                    <w:t>参考限值（mg/m</w:t>
                  </w:r>
                  <w:r>
                    <w:rPr>
                      <w:b/>
                      <w:bCs/>
                      <w:sz w:val="21"/>
                      <w:szCs w:val="21"/>
                      <w:vertAlign w:val="superscript"/>
                    </w:rPr>
                    <w:t>3</w:t>
                  </w:r>
                  <w:r>
                    <w:rPr>
                      <w:b/>
                      <w:bCs/>
                      <w:sz w:val="21"/>
                      <w:szCs w:val="21"/>
                    </w:rPr>
                    <w:t>）</w:t>
                  </w:r>
                </w:p>
              </w:tc>
              <w:tc>
                <w:tcPr>
                  <w:tcW w:w="701" w:type="pct"/>
                  <w:vAlign w:val="center"/>
                </w:tcPr>
                <w:p>
                  <w:pPr>
                    <w:spacing w:line="240" w:lineRule="auto"/>
                    <w:jc w:val="center"/>
                    <w:rPr>
                      <w:b/>
                      <w:bCs/>
                      <w:sz w:val="21"/>
                      <w:szCs w:val="21"/>
                    </w:rPr>
                  </w:pPr>
                  <w:r>
                    <w:rPr>
                      <w:b/>
                      <w:bCs/>
                      <w:sz w:val="21"/>
                      <w:szCs w:val="21"/>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4" w:type="pct"/>
                  <w:vAlign w:val="center"/>
                </w:tcPr>
                <w:p>
                  <w:pPr>
                    <w:spacing w:line="240" w:lineRule="auto"/>
                    <w:jc w:val="center"/>
                    <w:rPr>
                      <w:sz w:val="21"/>
                      <w:szCs w:val="21"/>
                    </w:rPr>
                  </w:pPr>
                  <w:r>
                    <w:rPr>
                      <w:sz w:val="21"/>
                      <w:szCs w:val="21"/>
                    </w:rPr>
                    <w:t>202</w:t>
                  </w:r>
                  <w:r>
                    <w:rPr>
                      <w:rFonts w:hint="eastAsia"/>
                      <w:sz w:val="21"/>
                      <w:szCs w:val="21"/>
                    </w:rPr>
                    <w:t>3</w:t>
                  </w:r>
                  <w:r>
                    <w:rPr>
                      <w:sz w:val="21"/>
                      <w:szCs w:val="21"/>
                    </w:rPr>
                    <w:t>.</w:t>
                  </w:r>
                  <w:r>
                    <w:rPr>
                      <w:rFonts w:hint="eastAsia"/>
                      <w:sz w:val="21"/>
                      <w:szCs w:val="21"/>
                    </w:rPr>
                    <w:t>4</w:t>
                  </w:r>
                  <w:r>
                    <w:rPr>
                      <w:sz w:val="21"/>
                      <w:szCs w:val="21"/>
                    </w:rPr>
                    <w:t>.</w:t>
                  </w:r>
                  <w:r>
                    <w:rPr>
                      <w:rFonts w:hint="eastAsia"/>
                      <w:sz w:val="21"/>
                      <w:szCs w:val="21"/>
                    </w:rPr>
                    <w:t>1</w:t>
                  </w:r>
                </w:p>
              </w:tc>
              <w:tc>
                <w:tcPr>
                  <w:tcW w:w="1441" w:type="pct"/>
                  <w:vMerge w:val="restart"/>
                  <w:vAlign w:val="center"/>
                </w:tcPr>
                <w:p>
                  <w:pPr>
                    <w:spacing w:line="240" w:lineRule="auto"/>
                    <w:jc w:val="center"/>
                    <w:rPr>
                      <w:sz w:val="21"/>
                      <w:szCs w:val="21"/>
                    </w:rPr>
                  </w:pPr>
                  <w:r>
                    <w:rPr>
                      <w:sz w:val="21"/>
                      <w:szCs w:val="21"/>
                    </w:rPr>
                    <w:t>G</w:t>
                  </w:r>
                  <w:r>
                    <w:rPr>
                      <w:rFonts w:hint="eastAsia"/>
                      <w:sz w:val="21"/>
                      <w:szCs w:val="21"/>
                    </w:rPr>
                    <w:t>1龙船坪居民散户上风向</w:t>
                  </w:r>
                </w:p>
              </w:tc>
              <w:tc>
                <w:tcPr>
                  <w:tcW w:w="564" w:type="pct"/>
                  <w:vMerge w:val="restart"/>
                  <w:vAlign w:val="center"/>
                </w:tcPr>
                <w:p>
                  <w:pPr>
                    <w:spacing w:line="240" w:lineRule="auto"/>
                    <w:jc w:val="center"/>
                    <w:rPr>
                      <w:sz w:val="21"/>
                      <w:szCs w:val="21"/>
                    </w:rPr>
                  </w:pPr>
                  <w:r>
                    <w:rPr>
                      <w:sz w:val="21"/>
                      <w:szCs w:val="21"/>
                    </w:rPr>
                    <w:t>TSP</w:t>
                  </w:r>
                </w:p>
              </w:tc>
              <w:tc>
                <w:tcPr>
                  <w:tcW w:w="825" w:type="pct"/>
                  <w:vAlign w:val="center"/>
                </w:tcPr>
                <w:p>
                  <w:pPr>
                    <w:spacing w:line="240" w:lineRule="auto"/>
                    <w:jc w:val="center"/>
                    <w:rPr>
                      <w:sz w:val="21"/>
                      <w:szCs w:val="21"/>
                    </w:rPr>
                  </w:pPr>
                  <w:r>
                    <w:rPr>
                      <w:rFonts w:hint="eastAsia"/>
                      <w:sz w:val="21"/>
                      <w:szCs w:val="21"/>
                    </w:rPr>
                    <w:t>0.098</w:t>
                  </w:r>
                </w:p>
              </w:tc>
              <w:tc>
                <w:tcPr>
                  <w:tcW w:w="782" w:type="pct"/>
                  <w:vAlign w:val="center"/>
                </w:tcPr>
                <w:p>
                  <w:pPr>
                    <w:spacing w:line="240" w:lineRule="auto"/>
                    <w:jc w:val="center"/>
                    <w:rPr>
                      <w:sz w:val="21"/>
                      <w:szCs w:val="21"/>
                    </w:rPr>
                  </w:pPr>
                  <w:r>
                    <w:rPr>
                      <w:sz w:val="21"/>
                      <w:szCs w:val="21"/>
                    </w:rPr>
                    <w:t>0.3</w:t>
                  </w:r>
                </w:p>
              </w:tc>
              <w:tc>
                <w:tcPr>
                  <w:tcW w:w="701" w:type="pct"/>
                  <w:vAlign w:val="center"/>
                </w:tcPr>
                <w:p>
                  <w:pPr>
                    <w:spacing w:line="240" w:lineRule="auto"/>
                    <w:jc w:val="center"/>
                    <w:rPr>
                      <w:sz w:val="21"/>
                      <w:szCs w:val="21"/>
                    </w:rPr>
                  </w:pPr>
                  <w:r>
                    <w:rPr>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4" w:type="pct"/>
                  <w:vAlign w:val="center"/>
                </w:tcPr>
                <w:p>
                  <w:pPr>
                    <w:spacing w:line="240" w:lineRule="auto"/>
                    <w:jc w:val="center"/>
                    <w:rPr>
                      <w:sz w:val="21"/>
                      <w:szCs w:val="21"/>
                    </w:rPr>
                  </w:pPr>
                  <w:r>
                    <w:rPr>
                      <w:sz w:val="21"/>
                      <w:szCs w:val="21"/>
                    </w:rPr>
                    <w:t>202</w:t>
                  </w:r>
                  <w:r>
                    <w:rPr>
                      <w:rFonts w:hint="eastAsia"/>
                      <w:sz w:val="21"/>
                      <w:szCs w:val="21"/>
                    </w:rPr>
                    <w:t>3</w:t>
                  </w:r>
                  <w:r>
                    <w:rPr>
                      <w:sz w:val="21"/>
                      <w:szCs w:val="21"/>
                    </w:rPr>
                    <w:t>.</w:t>
                  </w:r>
                  <w:r>
                    <w:rPr>
                      <w:rFonts w:hint="eastAsia"/>
                      <w:sz w:val="21"/>
                      <w:szCs w:val="21"/>
                    </w:rPr>
                    <w:t>4</w:t>
                  </w:r>
                  <w:r>
                    <w:rPr>
                      <w:sz w:val="21"/>
                      <w:szCs w:val="21"/>
                    </w:rPr>
                    <w:t>.</w:t>
                  </w:r>
                  <w:r>
                    <w:rPr>
                      <w:rFonts w:hint="eastAsia"/>
                      <w:sz w:val="21"/>
                      <w:szCs w:val="21"/>
                    </w:rPr>
                    <w:t>2</w:t>
                  </w:r>
                </w:p>
              </w:tc>
              <w:tc>
                <w:tcPr>
                  <w:tcW w:w="1441" w:type="pct"/>
                  <w:vMerge w:val="continue"/>
                  <w:vAlign w:val="center"/>
                </w:tcPr>
                <w:p>
                  <w:pPr>
                    <w:spacing w:line="240" w:lineRule="auto"/>
                    <w:jc w:val="center"/>
                    <w:rPr>
                      <w:sz w:val="21"/>
                      <w:szCs w:val="21"/>
                    </w:rPr>
                  </w:pPr>
                </w:p>
              </w:tc>
              <w:tc>
                <w:tcPr>
                  <w:tcW w:w="564" w:type="pct"/>
                  <w:vMerge w:val="continue"/>
                  <w:vAlign w:val="center"/>
                </w:tcPr>
                <w:p>
                  <w:pPr>
                    <w:spacing w:line="240" w:lineRule="auto"/>
                    <w:jc w:val="center"/>
                    <w:rPr>
                      <w:sz w:val="21"/>
                      <w:szCs w:val="21"/>
                    </w:rPr>
                  </w:pPr>
                </w:p>
              </w:tc>
              <w:tc>
                <w:tcPr>
                  <w:tcW w:w="825" w:type="pct"/>
                  <w:vAlign w:val="center"/>
                </w:tcPr>
                <w:p>
                  <w:pPr>
                    <w:spacing w:line="240" w:lineRule="auto"/>
                    <w:jc w:val="center"/>
                    <w:rPr>
                      <w:sz w:val="21"/>
                      <w:szCs w:val="21"/>
                    </w:rPr>
                  </w:pPr>
                  <w:r>
                    <w:rPr>
                      <w:rFonts w:hint="eastAsia"/>
                      <w:sz w:val="21"/>
                      <w:szCs w:val="21"/>
                    </w:rPr>
                    <w:t>0.092</w:t>
                  </w:r>
                </w:p>
              </w:tc>
              <w:tc>
                <w:tcPr>
                  <w:tcW w:w="782" w:type="pct"/>
                  <w:vAlign w:val="center"/>
                </w:tcPr>
                <w:p>
                  <w:pPr>
                    <w:spacing w:line="240" w:lineRule="auto"/>
                    <w:jc w:val="center"/>
                    <w:rPr>
                      <w:sz w:val="21"/>
                      <w:szCs w:val="21"/>
                    </w:rPr>
                  </w:pPr>
                  <w:r>
                    <w:rPr>
                      <w:sz w:val="21"/>
                      <w:szCs w:val="21"/>
                    </w:rPr>
                    <w:t>0.3</w:t>
                  </w:r>
                </w:p>
              </w:tc>
              <w:tc>
                <w:tcPr>
                  <w:tcW w:w="701" w:type="pct"/>
                  <w:vAlign w:val="center"/>
                </w:tcPr>
                <w:p>
                  <w:pPr>
                    <w:spacing w:line="240" w:lineRule="auto"/>
                    <w:jc w:val="center"/>
                    <w:rPr>
                      <w:sz w:val="21"/>
                      <w:szCs w:val="21"/>
                    </w:rPr>
                  </w:pPr>
                  <w:r>
                    <w:rPr>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4" w:type="pct"/>
                  <w:vAlign w:val="center"/>
                </w:tcPr>
                <w:p>
                  <w:pPr>
                    <w:spacing w:line="240" w:lineRule="auto"/>
                    <w:jc w:val="center"/>
                    <w:rPr>
                      <w:sz w:val="21"/>
                      <w:szCs w:val="21"/>
                    </w:rPr>
                  </w:pPr>
                  <w:r>
                    <w:rPr>
                      <w:sz w:val="21"/>
                      <w:szCs w:val="21"/>
                    </w:rPr>
                    <w:t>202</w:t>
                  </w:r>
                  <w:r>
                    <w:rPr>
                      <w:rFonts w:hint="eastAsia"/>
                      <w:sz w:val="21"/>
                      <w:szCs w:val="21"/>
                    </w:rPr>
                    <w:t>3</w:t>
                  </w:r>
                  <w:r>
                    <w:rPr>
                      <w:sz w:val="21"/>
                      <w:szCs w:val="21"/>
                    </w:rPr>
                    <w:t>.</w:t>
                  </w:r>
                  <w:r>
                    <w:rPr>
                      <w:rFonts w:hint="eastAsia"/>
                      <w:sz w:val="21"/>
                      <w:szCs w:val="21"/>
                    </w:rPr>
                    <w:t>4</w:t>
                  </w:r>
                  <w:r>
                    <w:rPr>
                      <w:sz w:val="21"/>
                      <w:szCs w:val="21"/>
                    </w:rPr>
                    <w:t>.</w:t>
                  </w:r>
                  <w:r>
                    <w:rPr>
                      <w:rFonts w:hint="eastAsia"/>
                      <w:sz w:val="21"/>
                      <w:szCs w:val="21"/>
                    </w:rPr>
                    <w:t>3</w:t>
                  </w:r>
                </w:p>
              </w:tc>
              <w:tc>
                <w:tcPr>
                  <w:tcW w:w="1441" w:type="pct"/>
                  <w:vMerge w:val="continue"/>
                  <w:vAlign w:val="center"/>
                </w:tcPr>
                <w:p>
                  <w:pPr>
                    <w:spacing w:line="240" w:lineRule="auto"/>
                    <w:jc w:val="center"/>
                    <w:rPr>
                      <w:sz w:val="21"/>
                      <w:szCs w:val="21"/>
                    </w:rPr>
                  </w:pPr>
                </w:p>
              </w:tc>
              <w:tc>
                <w:tcPr>
                  <w:tcW w:w="564" w:type="pct"/>
                  <w:vMerge w:val="continue"/>
                  <w:vAlign w:val="center"/>
                </w:tcPr>
                <w:p>
                  <w:pPr>
                    <w:spacing w:line="240" w:lineRule="auto"/>
                    <w:jc w:val="center"/>
                    <w:rPr>
                      <w:sz w:val="21"/>
                      <w:szCs w:val="21"/>
                    </w:rPr>
                  </w:pPr>
                </w:p>
              </w:tc>
              <w:tc>
                <w:tcPr>
                  <w:tcW w:w="825" w:type="pct"/>
                  <w:vAlign w:val="center"/>
                </w:tcPr>
                <w:p>
                  <w:pPr>
                    <w:spacing w:line="240" w:lineRule="auto"/>
                    <w:jc w:val="center"/>
                    <w:rPr>
                      <w:sz w:val="21"/>
                      <w:szCs w:val="21"/>
                    </w:rPr>
                  </w:pPr>
                  <w:r>
                    <w:rPr>
                      <w:rFonts w:hint="eastAsia"/>
                      <w:sz w:val="21"/>
                      <w:szCs w:val="21"/>
                    </w:rPr>
                    <w:t>0.091</w:t>
                  </w:r>
                </w:p>
              </w:tc>
              <w:tc>
                <w:tcPr>
                  <w:tcW w:w="782" w:type="pct"/>
                  <w:vAlign w:val="center"/>
                </w:tcPr>
                <w:p>
                  <w:pPr>
                    <w:spacing w:line="240" w:lineRule="auto"/>
                    <w:jc w:val="center"/>
                    <w:rPr>
                      <w:sz w:val="21"/>
                      <w:szCs w:val="21"/>
                    </w:rPr>
                  </w:pPr>
                  <w:r>
                    <w:rPr>
                      <w:sz w:val="21"/>
                      <w:szCs w:val="21"/>
                    </w:rPr>
                    <w:t>0.3</w:t>
                  </w:r>
                </w:p>
              </w:tc>
              <w:tc>
                <w:tcPr>
                  <w:tcW w:w="701" w:type="pct"/>
                  <w:vAlign w:val="center"/>
                </w:tcPr>
                <w:p>
                  <w:pPr>
                    <w:spacing w:line="240" w:lineRule="auto"/>
                    <w:jc w:val="center"/>
                    <w:rPr>
                      <w:sz w:val="21"/>
                      <w:szCs w:val="21"/>
                    </w:rPr>
                  </w:pPr>
                  <w:r>
                    <w:rPr>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4" w:type="pct"/>
                  <w:vAlign w:val="center"/>
                </w:tcPr>
                <w:p>
                  <w:pPr>
                    <w:spacing w:line="240" w:lineRule="auto"/>
                    <w:jc w:val="center"/>
                    <w:rPr>
                      <w:sz w:val="21"/>
                      <w:szCs w:val="21"/>
                    </w:rPr>
                  </w:pPr>
                  <w:r>
                    <w:rPr>
                      <w:sz w:val="21"/>
                      <w:szCs w:val="21"/>
                    </w:rPr>
                    <w:t>202</w:t>
                  </w:r>
                  <w:r>
                    <w:rPr>
                      <w:rFonts w:hint="eastAsia"/>
                      <w:sz w:val="21"/>
                      <w:szCs w:val="21"/>
                    </w:rPr>
                    <w:t>3</w:t>
                  </w:r>
                  <w:r>
                    <w:rPr>
                      <w:sz w:val="21"/>
                      <w:szCs w:val="21"/>
                    </w:rPr>
                    <w:t>.</w:t>
                  </w:r>
                  <w:r>
                    <w:rPr>
                      <w:rFonts w:hint="eastAsia"/>
                      <w:sz w:val="21"/>
                      <w:szCs w:val="21"/>
                    </w:rPr>
                    <w:t>4</w:t>
                  </w:r>
                  <w:r>
                    <w:rPr>
                      <w:sz w:val="21"/>
                      <w:szCs w:val="21"/>
                    </w:rPr>
                    <w:t>.</w:t>
                  </w:r>
                  <w:r>
                    <w:rPr>
                      <w:rFonts w:hint="eastAsia"/>
                      <w:sz w:val="21"/>
                      <w:szCs w:val="21"/>
                    </w:rPr>
                    <w:t>4</w:t>
                  </w:r>
                </w:p>
              </w:tc>
              <w:tc>
                <w:tcPr>
                  <w:tcW w:w="1441" w:type="pct"/>
                  <w:vMerge w:val="continue"/>
                  <w:vAlign w:val="center"/>
                </w:tcPr>
                <w:p>
                  <w:pPr>
                    <w:spacing w:line="240" w:lineRule="auto"/>
                    <w:jc w:val="center"/>
                    <w:rPr>
                      <w:sz w:val="21"/>
                      <w:szCs w:val="21"/>
                    </w:rPr>
                  </w:pPr>
                </w:p>
              </w:tc>
              <w:tc>
                <w:tcPr>
                  <w:tcW w:w="564" w:type="pct"/>
                  <w:vMerge w:val="continue"/>
                  <w:vAlign w:val="center"/>
                </w:tcPr>
                <w:p>
                  <w:pPr>
                    <w:spacing w:line="240" w:lineRule="auto"/>
                    <w:jc w:val="center"/>
                    <w:rPr>
                      <w:sz w:val="21"/>
                      <w:szCs w:val="21"/>
                    </w:rPr>
                  </w:pPr>
                </w:p>
              </w:tc>
              <w:tc>
                <w:tcPr>
                  <w:tcW w:w="825" w:type="pct"/>
                  <w:vAlign w:val="center"/>
                </w:tcPr>
                <w:p>
                  <w:pPr>
                    <w:spacing w:line="240" w:lineRule="auto"/>
                    <w:jc w:val="center"/>
                    <w:rPr>
                      <w:sz w:val="21"/>
                      <w:szCs w:val="21"/>
                    </w:rPr>
                  </w:pPr>
                  <w:r>
                    <w:rPr>
                      <w:rFonts w:hint="eastAsia"/>
                      <w:sz w:val="21"/>
                      <w:szCs w:val="21"/>
                    </w:rPr>
                    <w:t>0.089</w:t>
                  </w:r>
                </w:p>
              </w:tc>
              <w:tc>
                <w:tcPr>
                  <w:tcW w:w="782" w:type="pct"/>
                  <w:vAlign w:val="center"/>
                </w:tcPr>
                <w:p>
                  <w:pPr>
                    <w:spacing w:line="240" w:lineRule="auto"/>
                    <w:jc w:val="center"/>
                    <w:rPr>
                      <w:sz w:val="21"/>
                      <w:szCs w:val="21"/>
                    </w:rPr>
                  </w:pPr>
                  <w:r>
                    <w:rPr>
                      <w:sz w:val="21"/>
                      <w:szCs w:val="21"/>
                    </w:rPr>
                    <w:t>0.3</w:t>
                  </w:r>
                </w:p>
              </w:tc>
              <w:tc>
                <w:tcPr>
                  <w:tcW w:w="701" w:type="pct"/>
                  <w:vAlign w:val="center"/>
                </w:tcPr>
                <w:p>
                  <w:pPr>
                    <w:spacing w:line="240" w:lineRule="auto"/>
                    <w:jc w:val="center"/>
                    <w:rPr>
                      <w:sz w:val="21"/>
                      <w:szCs w:val="21"/>
                    </w:rPr>
                  </w:pPr>
                  <w:r>
                    <w:rPr>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4" w:type="pct"/>
                  <w:vAlign w:val="center"/>
                </w:tcPr>
                <w:p>
                  <w:pPr>
                    <w:spacing w:line="240" w:lineRule="auto"/>
                    <w:jc w:val="center"/>
                    <w:rPr>
                      <w:sz w:val="21"/>
                      <w:szCs w:val="21"/>
                    </w:rPr>
                  </w:pPr>
                  <w:r>
                    <w:rPr>
                      <w:sz w:val="21"/>
                      <w:szCs w:val="21"/>
                    </w:rPr>
                    <w:t>202</w:t>
                  </w:r>
                  <w:r>
                    <w:rPr>
                      <w:rFonts w:hint="eastAsia"/>
                      <w:sz w:val="21"/>
                      <w:szCs w:val="21"/>
                    </w:rPr>
                    <w:t>3</w:t>
                  </w:r>
                  <w:r>
                    <w:rPr>
                      <w:sz w:val="21"/>
                      <w:szCs w:val="21"/>
                    </w:rPr>
                    <w:t>.</w:t>
                  </w:r>
                  <w:r>
                    <w:rPr>
                      <w:rFonts w:hint="eastAsia"/>
                      <w:sz w:val="21"/>
                      <w:szCs w:val="21"/>
                    </w:rPr>
                    <w:t>4</w:t>
                  </w:r>
                  <w:r>
                    <w:rPr>
                      <w:sz w:val="21"/>
                      <w:szCs w:val="21"/>
                    </w:rPr>
                    <w:t>.</w:t>
                  </w:r>
                  <w:r>
                    <w:rPr>
                      <w:rFonts w:hint="eastAsia"/>
                      <w:sz w:val="21"/>
                      <w:szCs w:val="21"/>
                    </w:rPr>
                    <w:t>5</w:t>
                  </w:r>
                </w:p>
              </w:tc>
              <w:tc>
                <w:tcPr>
                  <w:tcW w:w="1441" w:type="pct"/>
                  <w:vMerge w:val="continue"/>
                  <w:vAlign w:val="center"/>
                </w:tcPr>
                <w:p>
                  <w:pPr>
                    <w:spacing w:line="240" w:lineRule="auto"/>
                    <w:jc w:val="center"/>
                    <w:rPr>
                      <w:sz w:val="21"/>
                      <w:szCs w:val="21"/>
                    </w:rPr>
                  </w:pPr>
                </w:p>
              </w:tc>
              <w:tc>
                <w:tcPr>
                  <w:tcW w:w="564" w:type="pct"/>
                  <w:vMerge w:val="continue"/>
                  <w:vAlign w:val="center"/>
                </w:tcPr>
                <w:p>
                  <w:pPr>
                    <w:spacing w:line="240" w:lineRule="auto"/>
                    <w:jc w:val="center"/>
                    <w:rPr>
                      <w:sz w:val="21"/>
                      <w:szCs w:val="21"/>
                    </w:rPr>
                  </w:pPr>
                </w:p>
              </w:tc>
              <w:tc>
                <w:tcPr>
                  <w:tcW w:w="825" w:type="pct"/>
                  <w:vAlign w:val="center"/>
                </w:tcPr>
                <w:p>
                  <w:pPr>
                    <w:spacing w:line="240" w:lineRule="auto"/>
                    <w:jc w:val="center"/>
                    <w:rPr>
                      <w:sz w:val="21"/>
                      <w:szCs w:val="21"/>
                    </w:rPr>
                  </w:pPr>
                  <w:r>
                    <w:rPr>
                      <w:rFonts w:hint="eastAsia"/>
                      <w:sz w:val="21"/>
                      <w:szCs w:val="21"/>
                    </w:rPr>
                    <w:t>0.093</w:t>
                  </w:r>
                </w:p>
              </w:tc>
              <w:tc>
                <w:tcPr>
                  <w:tcW w:w="782" w:type="pct"/>
                  <w:vAlign w:val="center"/>
                </w:tcPr>
                <w:p>
                  <w:pPr>
                    <w:spacing w:line="240" w:lineRule="auto"/>
                    <w:jc w:val="center"/>
                    <w:rPr>
                      <w:sz w:val="21"/>
                      <w:szCs w:val="21"/>
                    </w:rPr>
                  </w:pPr>
                  <w:r>
                    <w:rPr>
                      <w:sz w:val="21"/>
                      <w:szCs w:val="21"/>
                    </w:rPr>
                    <w:t>0.3</w:t>
                  </w:r>
                </w:p>
              </w:tc>
              <w:tc>
                <w:tcPr>
                  <w:tcW w:w="701" w:type="pct"/>
                  <w:vAlign w:val="center"/>
                </w:tcPr>
                <w:p>
                  <w:pPr>
                    <w:spacing w:line="240" w:lineRule="auto"/>
                    <w:jc w:val="center"/>
                    <w:rPr>
                      <w:sz w:val="21"/>
                      <w:szCs w:val="21"/>
                    </w:rPr>
                  </w:pPr>
                  <w:r>
                    <w:rPr>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4" w:type="pct"/>
                  <w:vAlign w:val="center"/>
                </w:tcPr>
                <w:p>
                  <w:pPr>
                    <w:spacing w:line="240" w:lineRule="auto"/>
                    <w:jc w:val="center"/>
                    <w:rPr>
                      <w:sz w:val="21"/>
                      <w:szCs w:val="21"/>
                    </w:rPr>
                  </w:pPr>
                  <w:r>
                    <w:rPr>
                      <w:sz w:val="21"/>
                      <w:szCs w:val="21"/>
                    </w:rPr>
                    <w:t>202</w:t>
                  </w:r>
                  <w:r>
                    <w:rPr>
                      <w:rFonts w:hint="eastAsia"/>
                      <w:sz w:val="21"/>
                      <w:szCs w:val="21"/>
                    </w:rPr>
                    <w:t>3</w:t>
                  </w:r>
                  <w:r>
                    <w:rPr>
                      <w:sz w:val="21"/>
                      <w:szCs w:val="21"/>
                    </w:rPr>
                    <w:t>.</w:t>
                  </w:r>
                  <w:r>
                    <w:rPr>
                      <w:rFonts w:hint="eastAsia"/>
                      <w:sz w:val="21"/>
                      <w:szCs w:val="21"/>
                    </w:rPr>
                    <w:t>4</w:t>
                  </w:r>
                  <w:r>
                    <w:rPr>
                      <w:sz w:val="21"/>
                      <w:szCs w:val="21"/>
                    </w:rPr>
                    <w:t>.</w:t>
                  </w:r>
                  <w:r>
                    <w:rPr>
                      <w:rFonts w:hint="eastAsia"/>
                      <w:sz w:val="21"/>
                      <w:szCs w:val="21"/>
                    </w:rPr>
                    <w:t>6</w:t>
                  </w:r>
                </w:p>
              </w:tc>
              <w:tc>
                <w:tcPr>
                  <w:tcW w:w="1441" w:type="pct"/>
                  <w:vMerge w:val="continue"/>
                  <w:vAlign w:val="center"/>
                </w:tcPr>
                <w:p>
                  <w:pPr>
                    <w:spacing w:line="240" w:lineRule="auto"/>
                    <w:jc w:val="center"/>
                    <w:rPr>
                      <w:sz w:val="21"/>
                      <w:szCs w:val="21"/>
                    </w:rPr>
                  </w:pPr>
                </w:p>
              </w:tc>
              <w:tc>
                <w:tcPr>
                  <w:tcW w:w="564" w:type="pct"/>
                  <w:vMerge w:val="continue"/>
                  <w:vAlign w:val="center"/>
                </w:tcPr>
                <w:p>
                  <w:pPr>
                    <w:spacing w:line="240" w:lineRule="auto"/>
                    <w:jc w:val="center"/>
                    <w:rPr>
                      <w:sz w:val="21"/>
                      <w:szCs w:val="21"/>
                    </w:rPr>
                  </w:pPr>
                </w:p>
              </w:tc>
              <w:tc>
                <w:tcPr>
                  <w:tcW w:w="825" w:type="pct"/>
                  <w:vAlign w:val="center"/>
                </w:tcPr>
                <w:p>
                  <w:pPr>
                    <w:spacing w:line="240" w:lineRule="auto"/>
                    <w:jc w:val="center"/>
                    <w:rPr>
                      <w:sz w:val="21"/>
                      <w:szCs w:val="21"/>
                    </w:rPr>
                  </w:pPr>
                  <w:r>
                    <w:rPr>
                      <w:rFonts w:hint="eastAsia"/>
                      <w:sz w:val="21"/>
                      <w:szCs w:val="21"/>
                    </w:rPr>
                    <w:t>0.096</w:t>
                  </w:r>
                </w:p>
              </w:tc>
              <w:tc>
                <w:tcPr>
                  <w:tcW w:w="782" w:type="pct"/>
                  <w:vAlign w:val="center"/>
                </w:tcPr>
                <w:p>
                  <w:pPr>
                    <w:spacing w:line="240" w:lineRule="auto"/>
                    <w:jc w:val="center"/>
                    <w:rPr>
                      <w:sz w:val="21"/>
                      <w:szCs w:val="21"/>
                    </w:rPr>
                  </w:pPr>
                  <w:r>
                    <w:rPr>
                      <w:sz w:val="21"/>
                      <w:szCs w:val="21"/>
                    </w:rPr>
                    <w:t>0.3</w:t>
                  </w:r>
                </w:p>
              </w:tc>
              <w:tc>
                <w:tcPr>
                  <w:tcW w:w="701" w:type="pct"/>
                  <w:vAlign w:val="center"/>
                </w:tcPr>
                <w:p>
                  <w:pPr>
                    <w:spacing w:line="240" w:lineRule="auto"/>
                    <w:jc w:val="center"/>
                    <w:rPr>
                      <w:sz w:val="21"/>
                      <w:szCs w:val="21"/>
                    </w:rPr>
                  </w:pPr>
                  <w:r>
                    <w:rPr>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4" w:type="pct"/>
                  <w:vAlign w:val="center"/>
                </w:tcPr>
                <w:p>
                  <w:pPr>
                    <w:spacing w:line="240" w:lineRule="auto"/>
                    <w:jc w:val="center"/>
                    <w:rPr>
                      <w:sz w:val="21"/>
                      <w:szCs w:val="21"/>
                    </w:rPr>
                  </w:pPr>
                  <w:r>
                    <w:rPr>
                      <w:sz w:val="21"/>
                      <w:szCs w:val="21"/>
                    </w:rPr>
                    <w:t>202</w:t>
                  </w:r>
                  <w:r>
                    <w:rPr>
                      <w:rFonts w:hint="eastAsia"/>
                      <w:sz w:val="21"/>
                      <w:szCs w:val="21"/>
                    </w:rPr>
                    <w:t>3</w:t>
                  </w:r>
                  <w:r>
                    <w:rPr>
                      <w:sz w:val="21"/>
                      <w:szCs w:val="21"/>
                    </w:rPr>
                    <w:t>.</w:t>
                  </w:r>
                  <w:r>
                    <w:rPr>
                      <w:rFonts w:hint="eastAsia"/>
                      <w:sz w:val="21"/>
                      <w:szCs w:val="21"/>
                    </w:rPr>
                    <w:t>4</w:t>
                  </w:r>
                  <w:r>
                    <w:rPr>
                      <w:sz w:val="21"/>
                      <w:szCs w:val="21"/>
                    </w:rPr>
                    <w:t>.</w:t>
                  </w:r>
                  <w:r>
                    <w:rPr>
                      <w:rFonts w:hint="eastAsia"/>
                      <w:sz w:val="21"/>
                      <w:szCs w:val="21"/>
                    </w:rPr>
                    <w:t>7</w:t>
                  </w:r>
                </w:p>
              </w:tc>
              <w:tc>
                <w:tcPr>
                  <w:tcW w:w="1441" w:type="pct"/>
                  <w:vMerge w:val="continue"/>
                  <w:vAlign w:val="center"/>
                </w:tcPr>
                <w:p>
                  <w:pPr>
                    <w:spacing w:line="240" w:lineRule="auto"/>
                    <w:jc w:val="center"/>
                    <w:rPr>
                      <w:sz w:val="21"/>
                      <w:szCs w:val="21"/>
                    </w:rPr>
                  </w:pPr>
                </w:p>
              </w:tc>
              <w:tc>
                <w:tcPr>
                  <w:tcW w:w="564" w:type="pct"/>
                  <w:vMerge w:val="continue"/>
                  <w:vAlign w:val="center"/>
                </w:tcPr>
                <w:p>
                  <w:pPr>
                    <w:spacing w:line="240" w:lineRule="auto"/>
                    <w:jc w:val="center"/>
                    <w:rPr>
                      <w:sz w:val="21"/>
                      <w:szCs w:val="21"/>
                    </w:rPr>
                  </w:pPr>
                </w:p>
              </w:tc>
              <w:tc>
                <w:tcPr>
                  <w:tcW w:w="825" w:type="pct"/>
                  <w:vAlign w:val="center"/>
                </w:tcPr>
                <w:p>
                  <w:pPr>
                    <w:spacing w:line="240" w:lineRule="auto"/>
                    <w:jc w:val="center"/>
                    <w:rPr>
                      <w:sz w:val="21"/>
                      <w:szCs w:val="21"/>
                    </w:rPr>
                  </w:pPr>
                  <w:r>
                    <w:rPr>
                      <w:rFonts w:hint="eastAsia"/>
                      <w:sz w:val="21"/>
                      <w:szCs w:val="21"/>
                    </w:rPr>
                    <w:t>0.090</w:t>
                  </w:r>
                </w:p>
              </w:tc>
              <w:tc>
                <w:tcPr>
                  <w:tcW w:w="782" w:type="pct"/>
                  <w:vAlign w:val="center"/>
                </w:tcPr>
                <w:p>
                  <w:pPr>
                    <w:spacing w:line="240" w:lineRule="auto"/>
                    <w:jc w:val="center"/>
                    <w:rPr>
                      <w:sz w:val="21"/>
                      <w:szCs w:val="21"/>
                    </w:rPr>
                  </w:pPr>
                  <w:r>
                    <w:rPr>
                      <w:sz w:val="21"/>
                      <w:szCs w:val="21"/>
                    </w:rPr>
                    <w:t>0.3</w:t>
                  </w:r>
                </w:p>
              </w:tc>
              <w:tc>
                <w:tcPr>
                  <w:tcW w:w="701" w:type="pct"/>
                  <w:vAlign w:val="center"/>
                </w:tcPr>
                <w:p>
                  <w:pPr>
                    <w:spacing w:line="240" w:lineRule="auto"/>
                    <w:jc w:val="center"/>
                    <w:rPr>
                      <w:sz w:val="21"/>
                      <w:szCs w:val="21"/>
                    </w:rPr>
                  </w:pPr>
                  <w:r>
                    <w:rPr>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4" w:type="pct"/>
                  <w:vAlign w:val="center"/>
                </w:tcPr>
                <w:p>
                  <w:pPr>
                    <w:spacing w:line="240" w:lineRule="auto"/>
                    <w:jc w:val="center"/>
                    <w:rPr>
                      <w:sz w:val="21"/>
                      <w:szCs w:val="21"/>
                    </w:rPr>
                  </w:pPr>
                  <w:r>
                    <w:rPr>
                      <w:sz w:val="21"/>
                      <w:szCs w:val="21"/>
                    </w:rPr>
                    <w:t>备注</w:t>
                  </w:r>
                </w:p>
              </w:tc>
              <w:tc>
                <w:tcPr>
                  <w:tcW w:w="4315" w:type="pct"/>
                  <w:gridSpan w:val="5"/>
                  <w:vAlign w:val="center"/>
                </w:tcPr>
                <w:p>
                  <w:pPr>
                    <w:spacing w:line="240" w:lineRule="auto"/>
                    <w:jc w:val="left"/>
                    <w:rPr>
                      <w:sz w:val="21"/>
                      <w:szCs w:val="21"/>
                    </w:rPr>
                  </w:pPr>
                  <w:r>
                    <w:rPr>
                      <w:sz w:val="21"/>
                      <w:szCs w:val="21"/>
                    </w:rPr>
                    <w:t>限值参照《环境空气质量标准》GB3095-2012 表2中总悬浮颗粒物（TSP）24小时平均浓度要求。</w:t>
                  </w:r>
                </w:p>
              </w:tc>
            </w:tr>
          </w:tbl>
          <w:p>
            <w:pPr>
              <w:ind w:firstLine="480" w:firstLineChars="200"/>
            </w:pPr>
            <w:r>
              <w:t>由上表可知，本项目建设区域TSP能达到《环境空气质量标准》（GB3095-2012）表 2 中限值要求。</w:t>
            </w:r>
          </w:p>
          <w:p>
            <w:pPr>
              <w:pStyle w:val="30"/>
              <w:numPr>
                <w:ilvl w:val="1"/>
                <w:numId w:val="0"/>
              </w:numPr>
              <w:ind w:left="284"/>
            </w:pPr>
            <w:bookmarkStart w:id="46" w:name="_Toc68160367"/>
            <w:bookmarkStart w:id="47" w:name="_Toc26262"/>
            <w:r>
              <w:t>3.2地表水环境</w:t>
            </w:r>
            <w:bookmarkEnd w:id="46"/>
            <w:bookmarkEnd w:id="47"/>
          </w:p>
          <w:p>
            <w:pPr>
              <w:adjustRightInd w:val="0"/>
              <w:snapToGrid w:val="0"/>
              <w:ind w:firstLine="480" w:firstLineChars="200"/>
              <w:rPr>
                <w:color w:val="0000FF"/>
              </w:rPr>
            </w:pPr>
            <w:r>
              <w:rPr>
                <w:szCs w:val="32"/>
              </w:rPr>
              <w:t>评价区域内与本项目有关的主要地表水系为项目</w:t>
            </w:r>
            <w:r>
              <w:rPr>
                <w:rFonts w:hint="eastAsia"/>
                <w:szCs w:val="32"/>
              </w:rPr>
              <w:t>北</w:t>
            </w:r>
            <w:r>
              <w:rPr>
                <w:szCs w:val="32"/>
              </w:rPr>
              <w:t>面的</w:t>
            </w:r>
            <w:r>
              <w:rPr>
                <w:rFonts w:hint="eastAsia"/>
                <w:szCs w:val="32"/>
              </w:rPr>
              <w:t>沅江</w:t>
            </w:r>
            <w:r>
              <w:rPr>
                <w:szCs w:val="32"/>
              </w:rPr>
              <w:t>。根据怀化市环境保护局网站公布的《怀化市水环境质量年报（202</w:t>
            </w:r>
            <w:r>
              <w:rPr>
                <w:rFonts w:hint="eastAsia"/>
                <w:szCs w:val="32"/>
                <w:lang w:val="en-US" w:eastAsia="zh-CN"/>
              </w:rPr>
              <w:t>3</w:t>
            </w:r>
            <w:r>
              <w:rPr>
                <w:szCs w:val="32"/>
              </w:rPr>
              <w:t>年）》，</w:t>
            </w:r>
            <w:r>
              <w:rPr>
                <w:rFonts w:hint="eastAsia"/>
              </w:rPr>
              <w:t>沅江</w:t>
            </w:r>
            <w:r>
              <w:t>流域</w:t>
            </w:r>
            <w:r>
              <w:rPr>
                <w:rFonts w:hint="eastAsia"/>
              </w:rPr>
              <w:t>辰溪县</w:t>
            </w:r>
            <w:r>
              <w:t>境内省控</w:t>
            </w:r>
            <w:r>
              <w:rPr>
                <w:rFonts w:hint="eastAsia"/>
              </w:rPr>
              <w:t>大洑潭</w:t>
            </w:r>
            <w:r>
              <w:t>断面水质全年满足II类水质。本项目废水主要来自</w:t>
            </w:r>
            <w:r>
              <w:rPr>
                <w:rFonts w:hint="eastAsia"/>
              </w:rPr>
              <w:t>生产废水、初期雨水及生活污水。</w:t>
            </w:r>
            <w:r>
              <w:t>项目生活污水经</w:t>
            </w:r>
            <w:r>
              <w:rPr>
                <w:rFonts w:hint="eastAsia"/>
              </w:rPr>
              <w:t>隔油</w:t>
            </w:r>
            <w:r>
              <w:t>化粪池处理用于</w:t>
            </w:r>
            <w:r>
              <w:rPr>
                <w:rFonts w:hint="eastAsia"/>
              </w:rPr>
              <w:t>菜地</w:t>
            </w:r>
            <w:r>
              <w:t>浇灌，生产废水</w:t>
            </w:r>
            <w:r>
              <w:rPr>
                <w:rFonts w:hint="eastAsia"/>
              </w:rPr>
              <w:t>、初期雨水</w:t>
            </w:r>
            <w:r>
              <w:t>循环利用不外排。</w:t>
            </w:r>
          </w:p>
          <w:p>
            <w:pPr>
              <w:adjustRightInd w:val="0"/>
              <w:snapToGrid w:val="0"/>
              <w:spacing w:line="240" w:lineRule="auto"/>
              <w:jc w:val="center"/>
              <w:rPr>
                <w:color w:val="0000FF"/>
              </w:rPr>
            </w:pPr>
            <w:r>
              <w:rPr>
                <w:b/>
                <w:bCs/>
                <w:sz w:val="21"/>
                <w:szCs w:val="21"/>
              </w:rPr>
              <w:t>表3-</w:t>
            </w:r>
            <w:r>
              <w:rPr>
                <w:rFonts w:hint="eastAsia"/>
                <w:b/>
                <w:bCs/>
                <w:sz w:val="21"/>
                <w:szCs w:val="21"/>
              </w:rPr>
              <w:t>3</w:t>
            </w:r>
            <w:r>
              <w:rPr>
                <w:b/>
                <w:bCs/>
                <w:sz w:val="21"/>
                <w:szCs w:val="21"/>
              </w:rPr>
              <w:t xml:space="preserve">  </w:t>
            </w:r>
            <w:r>
              <w:rPr>
                <w:b/>
                <w:sz w:val="21"/>
                <w:szCs w:val="18"/>
              </w:rPr>
              <w:t>202</w:t>
            </w:r>
            <w:r>
              <w:rPr>
                <w:rFonts w:hint="eastAsia"/>
                <w:b/>
                <w:sz w:val="21"/>
                <w:szCs w:val="18"/>
                <w:lang w:val="en-US" w:eastAsia="zh-CN"/>
              </w:rPr>
              <w:t>3</w:t>
            </w:r>
            <w:r>
              <w:rPr>
                <w:b/>
                <w:sz w:val="21"/>
                <w:szCs w:val="18"/>
              </w:rPr>
              <w:t>年怀化市部分断面水质状况</w:t>
            </w:r>
          </w:p>
          <w:p>
            <w:pPr>
              <w:autoSpaceDE w:val="0"/>
              <w:autoSpaceDN w:val="0"/>
              <w:ind w:left="480" w:hanging="480" w:hangingChars="200"/>
            </w:pPr>
            <w:r>
              <w:drawing>
                <wp:inline distT="0" distB="0" distL="114300" distR="114300">
                  <wp:extent cx="5341620" cy="5571490"/>
                  <wp:effectExtent l="0" t="0" r="11430" b="1016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5"/>
                          <a:stretch>
                            <a:fillRect/>
                          </a:stretch>
                        </pic:blipFill>
                        <pic:spPr>
                          <a:xfrm>
                            <a:off x="0" y="0"/>
                            <a:ext cx="5341620" cy="5571490"/>
                          </a:xfrm>
                          <a:prstGeom prst="rect">
                            <a:avLst/>
                          </a:prstGeom>
                          <a:noFill/>
                          <a:ln>
                            <a:noFill/>
                          </a:ln>
                        </pic:spPr>
                      </pic:pic>
                    </a:graphicData>
                  </a:graphic>
                </wp:inline>
              </w:drawing>
            </w:r>
          </w:p>
          <w:p>
            <w:pPr>
              <w:autoSpaceDE w:val="0"/>
              <w:autoSpaceDN w:val="0"/>
              <w:ind w:firstLine="480" w:firstLineChars="200"/>
              <w:rPr>
                <w:color w:val="0000FF"/>
              </w:rPr>
            </w:pPr>
            <w:r>
              <w:rPr>
                <w:szCs w:val="32"/>
              </w:rPr>
              <w:t>由上表统计结果可知：项目所在区域</w:t>
            </w:r>
            <w:r>
              <w:rPr>
                <w:rFonts w:hint="eastAsia"/>
                <w:szCs w:val="32"/>
              </w:rPr>
              <w:t>大洑潭</w:t>
            </w:r>
            <w:r>
              <w:rPr>
                <w:szCs w:val="32"/>
              </w:rPr>
              <w:t>断面</w:t>
            </w:r>
            <w:r>
              <w:rPr>
                <w:rFonts w:hint="eastAsia"/>
                <w:szCs w:val="32"/>
              </w:rPr>
              <w:t>水质</w:t>
            </w:r>
            <w:r>
              <w:rPr>
                <w:szCs w:val="32"/>
              </w:rPr>
              <w:t>符合《地表水环境质量标准》（GB3838—2002）Ⅲ类水质要求。项目所在区域水环境质量达标。</w:t>
            </w:r>
          </w:p>
          <w:p>
            <w:pPr>
              <w:pStyle w:val="30"/>
              <w:numPr>
                <w:ilvl w:val="1"/>
                <w:numId w:val="0"/>
              </w:numPr>
              <w:ind w:left="284"/>
            </w:pPr>
            <w:bookmarkStart w:id="48" w:name="_Toc68160368"/>
            <w:bookmarkStart w:id="49" w:name="_Toc15372"/>
            <w:r>
              <w:t>3.3声环境</w:t>
            </w:r>
            <w:bookmarkEnd w:id="48"/>
            <w:bookmarkEnd w:id="49"/>
          </w:p>
          <w:p>
            <w:pPr>
              <w:ind w:firstLine="480" w:firstLineChars="200"/>
            </w:pPr>
            <w:bookmarkStart w:id="50" w:name="_Toc11254"/>
            <w:r>
              <w:t>为了解项目所在区域的声环境质量现状情况，评价委托湖南昌旭环保科技有限公司于202</w:t>
            </w:r>
            <w:r>
              <w:rPr>
                <w:rFonts w:hint="eastAsia"/>
              </w:rPr>
              <w:t>3</w:t>
            </w:r>
            <w:r>
              <w:t>年</w:t>
            </w:r>
            <w:r>
              <w:rPr>
                <w:rFonts w:hint="eastAsia"/>
              </w:rPr>
              <w:t>6</w:t>
            </w:r>
            <w:r>
              <w:t>月</w:t>
            </w:r>
            <w:r>
              <w:rPr>
                <w:rFonts w:hint="eastAsia"/>
              </w:rPr>
              <w:t>30</w:t>
            </w:r>
            <w:r>
              <w:t>日对项目厂界及厂界50米范围内敏感点声环境质量进行监测</w:t>
            </w:r>
            <w:r>
              <w:rPr>
                <w:rFonts w:hint="eastAsia"/>
                <w:lang w:eastAsia="zh-CN"/>
              </w:rPr>
              <w:t>，监测时厂区</w:t>
            </w:r>
            <w:r>
              <w:rPr>
                <w:rFonts w:hint="default" w:ascii="Times New Roman" w:hAnsi="Times New Roman" w:eastAsia="宋体" w:cs="Times New Roman"/>
                <w:color w:val="auto"/>
                <w:sz w:val="24"/>
                <w:szCs w:val="40"/>
                <w:u w:val="none" w:color="auto"/>
              </w:rPr>
              <w:t>生产工况正常</w:t>
            </w:r>
            <w:r>
              <w:t>。监测结果见</w:t>
            </w:r>
            <w:r>
              <w:rPr>
                <w:rFonts w:hint="eastAsia"/>
              </w:rPr>
              <w:t>下表</w:t>
            </w:r>
            <w:r>
              <w:t>。</w:t>
            </w:r>
          </w:p>
          <w:p>
            <w:pPr>
              <w:adjustRightInd w:val="0"/>
              <w:snapToGrid w:val="0"/>
              <w:ind w:firstLine="482"/>
            </w:pPr>
            <w:r>
              <w:t>（1）监测点位布设</w:t>
            </w:r>
          </w:p>
          <w:p>
            <w:pPr>
              <w:pStyle w:val="26"/>
              <w:snapToGrid w:val="0"/>
              <w:ind w:firstLine="482"/>
              <w:rPr>
                <w:rFonts w:hint="default" w:ascii="Times New Roman" w:hAnsi="Times New Roman" w:eastAsia="宋体" w:cs="Times New Roman"/>
                <w:color w:val="auto"/>
              </w:rPr>
            </w:pPr>
            <w:r>
              <w:rPr>
                <w:rFonts w:hint="default" w:ascii="Times New Roman" w:hAnsi="Times New Roman" w:eastAsia="宋体" w:cs="Times New Roman"/>
                <w:color w:val="auto"/>
              </w:rPr>
              <w:t>监测点位见下表。</w:t>
            </w:r>
          </w:p>
          <w:p>
            <w:pPr>
              <w:pStyle w:val="26"/>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表3-</w:t>
            </w:r>
            <w:r>
              <w:rPr>
                <w:rFonts w:ascii="Times New Roman" w:hAnsi="Times New Roman" w:eastAsia="宋体" w:cs="Times New Roman"/>
                <w:b/>
                <w:color w:val="auto"/>
                <w:sz w:val="21"/>
                <w:szCs w:val="21"/>
              </w:rPr>
              <w:t>4</w:t>
            </w:r>
            <w:r>
              <w:rPr>
                <w:rFonts w:hint="default" w:ascii="Times New Roman" w:hAnsi="Times New Roman" w:eastAsia="宋体" w:cs="Times New Roman"/>
                <w:b/>
                <w:color w:val="auto"/>
                <w:sz w:val="21"/>
                <w:szCs w:val="21"/>
              </w:rPr>
              <w:t xml:space="preserve"> 项目声环境监测点位一栏表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232"/>
              <w:gridCol w:w="5022"/>
              <w:gridCol w:w="212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90" w:hRule="atLeast"/>
                <w:jc w:val="center"/>
              </w:trPr>
              <w:tc>
                <w:tcPr>
                  <w:tcW w:w="735" w:type="pct"/>
                  <w:tcBorders>
                    <w:bottom w:val="single" w:color="auto" w:sz="6" w:space="0"/>
                    <w:right w:val="single" w:color="auto" w:sz="6" w:space="0"/>
                  </w:tcBorders>
                  <w:vAlign w:val="center"/>
                </w:tcPr>
                <w:p>
                  <w:pPr>
                    <w:pStyle w:val="7"/>
                    <w:spacing w:line="240" w:lineRule="auto"/>
                    <w:ind w:firstLine="0"/>
                    <w:jc w:val="center"/>
                    <w:rPr>
                      <w:rFonts w:eastAsia="宋体"/>
                      <w:w w:val="100"/>
                      <w:kern w:val="2"/>
                      <w:sz w:val="21"/>
                      <w:szCs w:val="21"/>
                    </w:rPr>
                  </w:pPr>
                  <w:r>
                    <w:rPr>
                      <w:rFonts w:eastAsia="宋体"/>
                      <w:w w:val="100"/>
                      <w:kern w:val="2"/>
                      <w:sz w:val="21"/>
                      <w:szCs w:val="21"/>
                    </w:rPr>
                    <w:t>序号</w:t>
                  </w:r>
                </w:p>
              </w:tc>
              <w:tc>
                <w:tcPr>
                  <w:tcW w:w="2997" w:type="pct"/>
                  <w:tcBorders>
                    <w:left w:val="single" w:color="auto" w:sz="6" w:space="0"/>
                    <w:bottom w:val="single" w:color="auto" w:sz="6" w:space="0"/>
                    <w:right w:val="single" w:color="auto" w:sz="6" w:space="0"/>
                  </w:tcBorders>
                  <w:vAlign w:val="center"/>
                </w:tcPr>
                <w:p>
                  <w:pPr>
                    <w:pStyle w:val="7"/>
                    <w:spacing w:line="240" w:lineRule="auto"/>
                    <w:ind w:firstLine="0"/>
                    <w:jc w:val="center"/>
                    <w:rPr>
                      <w:rFonts w:eastAsia="宋体"/>
                      <w:w w:val="100"/>
                      <w:kern w:val="2"/>
                      <w:sz w:val="21"/>
                      <w:szCs w:val="21"/>
                    </w:rPr>
                  </w:pPr>
                  <w:r>
                    <w:rPr>
                      <w:rFonts w:eastAsia="宋体"/>
                      <w:w w:val="100"/>
                      <w:kern w:val="2"/>
                      <w:sz w:val="21"/>
                      <w:szCs w:val="21"/>
                    </w:rPr>
                    <w:t>监测点</w:t>
                  </w:r>
                </w:p>
              </w:tc>
              <w:tc>
                <w:tcPr>
                  <w:tcW w:w="1267" w:type="pct"/>
                  <w:tcBorders>
                    <w:left w:val="single" w:color="auto" w:sz="6" w:space="0"/>
                    <w:bottom w:val="single" w:color="auto" w:sz="6" w:space="0"/>
                  </w:tcBorders>
                  <w:vAlign w:val="center"/>
                </w:tcPr>
                <w:p>
                  <w:pPr>
                    <w:pStyle w:val="7"/>
                    <w:spacing w:line="240" w:lineRule="auto"/>
                    <w:ind w:firstLine="0"/>
                    <w:jc w:val="center"/>
                    <w:rPr>
                      <w:rFonts w:eastAsia="宋体"/>
                      <w:w w:val="100"/>
                      <w:kern w:val="2"/>
                      <w:sz w:val="21"/>
                      <w:szCs w:val="21"/>
                    </w:rPr>
                  </w:pPr>
                  <w:r>
                    <w:rPr>
                      <w:rFonts w:eastAsia="宋体"/>
                      <w:w w:val="100"/>
                      <w:kern w:val="2"/>
                      <w:sz w:val="21"/>
                      <w:szCs w:val="21"/>
                    </w:rPr>
                    <w:t>监测内容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735" w:type="pct"/>
                  <w:tcBorders>
                    <w:top w:val="single" w:color="auto" w:sz="6" w:space="0"/>
                    <w:bottom w:val="single" w:color="auto" w:sz="6" w:space="0"/>
                    <w:right w:val="single" w:color="auto" w:sz="6" w:space="0"/>
                  </w:tcBorders>
                  <w:vAlign w:val="center"/>
                </w:tcPr>
                <w:p>
                  <w:pPr>
                    <w:pStyle w:val="7"/>
                    <w:spacing w:line="240" w:lineRule="auto"/>
                    <w:ind w:firstLine="0"/>
                    <w:jc w:val="center"/>
                    <w:rPr>
                      <w:rFonts w:eastAsia="宋体"/>
                      <w:w w:val="100"/>
                      <w:kern w:val="2"/>
                      <w:sz w:val="21"/>
                      <w:szCs w:val="21"/>
                    </w:rPr>
                  </w:pPr>
                  <w:r>
                    <w:rPr>
                      <w:rFonts w:eastAsia="宋体"/>
                      <w:w w:val="100"/>
                      <w:kern w:val="2"/>
                      <w:sz w:val="21"/>
                      <w:szCs w:val="21"/>
                    </w:rPr>
                    <w:t>N1</w:t>
                  </w:r>
                </w:p>
              </w:tc>
              <w:tc>
                <w:tcPr>
                  <w:tcW w:w="2997" w:type="pct"/>
                  <w:tcBorders>
                    <w:top w:val="single" w:color="auto" w:sz="6" w:space="0"/>
                    <w:left w:val="single" w:color="auto" w:sz="6" w:space="0"/>
                    <w:bottom w:val="single" w:color="auto" w:sz="6" w:space="0"/>
                    <w:right w:val="single" w:color="auto" w:sz="6" w:space="0"/>
                  </w:tcBorders>
                  <w:vAlign w:val="center"/>
                </w:tcPr>
                <w:p>
                  <w:pPr>
                    <w:topLinePunct/>
                    <w:adjustRightInd w:val="0"/>
                    <w:snapToGrid w:val="0"/>
                    <w:spacing w:line="240" w:lineRule="auto"/>
                    <w:jc w:val="center"/>
                    <w:rPr>
                      <w:sz w:val="21"/>
                      <w:szCs w:val="21"/>
                    </w:rPr>
                  </w:pPr>
                  <w:r>
                    <w:rPr>
                      <w:rFonts w:hint="eastAsia"/>
                      <w:bCs/>
                      <w:sz w:val="21"/>
                      <w:szCs w:val="21"/>
                    </w:rPr>
                    <w:t>厂界外</w:t>
                  </w:r>
                  <w:r>
                    <w:rPr>
                      <w:bCs/>
                      <w:sz w:val="21"/>
                      <w:szCs w:val="21"/>
                    </w:rPr>
                    <w:t>北侧1米处</w:t>
                  </w:r>
                </w:p>
              </w:tc>
              <w:tc>
                <w:tcPr>
                  <w:tcW w:w="1267" w:type="pct"/>
                  <w:tcBorders>
                    <w:top w:val="single" w:color="auto" w:sz="6" w:space="0"/>
                    <w:left w:val="single" w:color="auto" w:sz="6" w:space="0"/>
                    <w:bottom w:val="single" w:color="auto" w:sz="6" w:space="0"/>
                  </w:tcBorders>
                  <w:vAlign w:val="center"/>
                </w:tcPr>
                <w:p>
                  <w:pPr>
                    <w:pStyle w:val="7"/>
                    <w:spacing w:line="240" w:lineRule="auto"/>
                    <w:ind w:firstLine="0"/>
                    <w:jc w:val="center"/>
                    <w:rPr>
                      <w:rFonts w:eastAsia="宋体"/>
                      <w:w w:val="100"/>
                      <w:kern w:val="2"/>
                      <w:sz w:val="21"/>
                      <w:szCs w:val="21"/>
                    </w:rPr>
                  </w:pPr>
                  <w:r>
                    <w:rPr>
                      <w:rFonts w:eastAsia="宋体"/>
                      <w:w w:val="100"/>
                      <w:kern w:val="2"/>
                      <w:sz w:val="21"/>
                      <w:szCs w:val="21"/>
                    </w:rPr>
                    <w:t>边界噪声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735" w:type="pct"/>
                  <w:tcBorders>
                    <w:top w:val="single" w:color="auto" w:sz="6" w:space="0"/>
                    <w:bottom w:val="single" w:color="auto" w:sz="6" w:space="0"/>
                    <w:right w:val="single" w:color="auto" w:sz="6" w:space="0"/>
                  </w:tcBorders>
                  <w:vAlign w:val="center"/>
                </w:tcPr>
                <w:p>
                  <w:pPr>
                    <w:pStyle w:val="7"/>
                    <w:spacing w:line="240" w:lineRule="auto"/>
                    <w:ind w:firstLine="0"/>
                    <w:jc w:val="center"/>
                    <w:rPr>
                      <w:rFonts w:eastAsia="宋体"/>
                      <w:w w:val="100"/>
                      <w:kern w:val="2"/>
                      <w:sz w:val="21"/>
                      <w:szCs w:val="21"/>
                    </w:rPr>
                  </w:pPr>
                  <w:r>
                    <w:rPr>
                      <w:rFonts w:eastAsia="宋体"/>
                      <w:w w:val="100"/>
                      <w:kern w:val="2"/>
                      <w:sz w:val="21"/>
                      <w:szCs w:val="21"/>
                    </w:rPr>
                    <w:t>N2</w:t>
                  </w:r>
                </w:p>
              </w:tc>
              <w:tc>
                <w:tcPr>
                  <w:tcW w:w="2997" w:type="pct"/>
                  <w:tcBorders>
                    <w:top w:val="single" w:color="auto" w:sz="6" w:space="0"/>
                    <w:left w:val="single" w:color="auto" w:sz="6" w:space="0"/>
                    <w:bottom w:val="single" w:color="auto" w:sz="6" w:space="0"/>
                    <w:right w:val="single" w:color="auto" w:sz="6" w:space="0"/>
                  </w:tcBorders>
                  <w:vAlign w:val="center"/>
                </w:tcPr>
                <w:p>
                  <w:pPr>
                    <w:topLinePunct/>
                    <w:adjustRightInd w:val="0"/>
                    <w:snapToGrid w:val="0"/>
                    <w:spacing w:line="240" w:lineRule="auto"/>
                    <w:jc w:val="center"/>
                    <w:rPr>
                      <w:sz w:val="21"/>
                      <w:szCs w:val="21"/>
                    </w:rPr>
                  </w:pPr>
                  <w:r>
                    <w:rPr>
                      <w:rFonts w:hint="eastAsia"/>
                      <w:bCs/>
                      <w:sz w:val="21"/>
                      <w:szCs w:val="21"/>
                    </w:rPr>
                    <w:t>厂界外西</w:t>
                  </w:r>
                  <w:r>
                    <w:rPr>
                      <w:bCs/>
                      <w:sz w:val="21"/>
                      <w:szCs w:val="21"/>
                    </w:rPr>
                    <w:t>侧1米处</w:t>
                  </w:r>
                </w:p>
              </w:tc>
              <w:tc>
                <w:tcPr>
                  <w:tcW w:w="1267" w:type="pct"/>
                  <w:tcBorders>
                    <w:top w:val="single" w:color="auto" w:sz="6" w:space="0"/>
                    <w:left w:val="single" w:color="auto" w:sz="6" w:space="0"/>
                    <w:bottom w:val="single" w:color="auto" w:sz="6" w:space="0"/>
                  </w:tcBorders>
                  <w:vAlign w:val="center"/>
                </w:tcPr>
                <w:p>
                  <w:pPr>
                    <w:pStyle w:val="7"/>
                    <w:spacing w:line="240" w:lineRule="auto"/>
                    <w:ind w:firstLine="0"/>
                    <w:jc w:val="center"/>
                    <w:rPr>
                      <w:rFonts w:eastAsia="宋体"/>
                      <w:w w:val="100"/>
                      <w:kern w:val="2"/>
                      <w:sz w:val="21"/>
                      <w:szCs w:val="21"/>
                    </w:rPr>
                  </w:pPr>
                  <w:r>
                    <w:rPr>
                      <w:rFonts w:eastAsia="宋体"/>
                      <w:w w:val="100"/>
                      <w:kern w:val="2"/>
                      <w:sz w:val="21"/>
                      <w:szCs w:val="21"/>
                    </w:rPr>
                    <w:t>边界噪声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735" w:type="pct"/>
                  <w:tcBorders>
                    <w:top w:val="single" w:color="auto" w:sz="6" w:space="0"/>
                    <w:bottom w:val="single" w:color="auto" w:sz="6" w:space="0"/>
                    <w:right w:val="single" w:color="auto" w:sz="6" w:space="0"/>
                  </w:tcBorders>
                  <w:vAlign w:val="center"/>
                </w:tcPr>
                <w:p>
                  <w:pPr>
                    <w:pStyle w:val="7"/>
                    <w:spacing w:line="240" w:lineRule="auto"/>
                    <w:ind w:firstLine="0"/>
                    <w:jc w:val="center"/>
                    <w:rPr>
                      <w:rFonts w:eastAsia="宋体"/>
                      <w:w w:val="100"/>
                      <w:kern w:val="2"/>
                      <w:sz w:val="21"/>
                      <w:szCs w:val="21"/>
                    </w:rPr>
                  </w:pPr>
                  <w:r>
                    <w:rPr>
                      <w:rFonts w:eastAsia="宋体"/>
                      <w:w w:val="100"/>
                      <w:kern w:val="2"/>
                      <w:sz w:val="21"/>
                      <w:szCs w:val="21"/>
                    </w:rPr>
                    <w:t>N3</w:t>
                  </w:r>
                </w:p>
              </w:tc>
              <w:tc>
                <w:tcPr>
                  <w:tcW w:w="2997" w:type="pct"/>
                  <w:tcBorders>
                    <w:top w:val="single" w:color="auto" w:sz="6" w:space="0"/>
                    <w:left w:val="single" w:color="auto" w:sz="6" w:space="0"/>
                    <w:bottom w:val="single" w:color="auto" w:sz="6" w:space="0"/>
                    <w:right w:val="single" w:color="auto" w:sz="6" w:space="0"/>
                  </w:tcBorders>
                  <w:vAlign w:val="center"/>
                </w:tcPr>
                <w:p>
                  <w:pPr>
                    <w:topLinePunct/>
                    <w:adjustRightInd w:val="0"/>
                    <w:snapToGrid w:val="0"/>
                    <w:spacing w:line="240" w:lineRule="auto"/>
                    <w:jc w:val="center"/>
                    <w:rPr>
                      <w:sz w:val="21"/>
                      <w:szCs w:val="21"/>
                    </w:rPr>
                  </w:pPr>
                  <w:r>
                    <w:rPr>
                      <w:rFonts w:hint="eastAsia"/>
                      <w:bCs/>
                      <w:sz w:val="21"/>
                      <w:szCs w:val="21"/>
                    </w:rPr>
                    <w:t>厂界外南</w:t>
                  </w:r>
                  <w:r>
                    <w:rPr>
                      <w:bCs/>
                      <w:sz w:val="21"/>
                      <w:szCs w:val="21"/>
                    </w:rPr>
                    <w:t>侧1米处</w:t>
                  </w:r>
                </w:p>
              </w:tc>
              <w:tc>
                <w:tcPr>
                  <w:tcW w:w="1267" w:type="pct"/>
                  <w:tcBorders>
                    <w:top w:val="single" w:color="auto" w:sz="6" w:space="0"/>
                    <w:left w:val="single" w:color="auto" w:sz="6" w:space="0"/>
                    <w:bottom w:val="single" w:color="auto" w:sz="6" w:space="0"/>
                  </w:tcBorders>
                  <w:vAlign w:val="center"/>
                </w:tcPr>
                <w:p>
                  <w:pPr>
                    <w:pStyle w:val="7"/>
                    <w:spacing w:line="240" w:lineRule="auto"/>
                    <w:ind w:firstLine="0"/>
                    <w:jc w:val="center"/>
                    <w:rPr>
                      <w:rFonts w:eastAsia="宋体"/>
                      <w:w w:val="100"/>
                      <w:kern w:val="2"/>
                      <w:sz w:val="21"/>
                      <w:szCs w:val="21"/>
                    </w:rPr>
                  </w:pPr>
                  <w:r>
                    <w:rPr>
                      <w:rFonts w:eastAsia="宋体"/>
                      <w:w w:val="100"/>
                      <w:kern w:val="2"/>
                      <w:sz w:val="21"/>
                      <w:szCs w:val="21"/>
                    </w:rPr>
                    <w:t>边界噪声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735" w:type="pct"/>
                  <w:tcBorders>
                    <w:top w:val="single" w:color="auto" w:sz="6" w:space="0"/>
                    <w:bottom w:val="single" w:color="auto" w:sz="6" w:space="0"/>
                    <w:right w:val="single" w:color="auto" w:sz="6" w:space="0"/>
                  </w:tcBorders>
                  <w:vAlign w:val="center"/>
                </w:tcPr>
                <w:p>
                  <w:pPr>
                    <w:pStyle w:val="7"/>
                    <w:spacing w:line="240" w:lineRule="auto"/>
                    <w:ind w:firstLine="0"/>
                    <w:jc w:val="center"/>
                    <w:rPr>
                      <w:rFonts w:eastAsia="宋体"/>
                      <w:w w:val="100"/>
                      <w:kern w:val="2"/>
                      <w:sz w:val="21"/>
                      <w:szCs w:val="21"/>
                    </w:rPr>
                  </w:pPr>
                  <w:r>
                    <w:rPr>
                      <w:rFonts w:eastAsia="宋体"/>
                      <w:w w:val="100"/>
                      <w:kern w:val="2"/>
                      <w:sz w:val="21"/>
                      <w:szCs w:val="21"/>
                    </w:rPr>
                    <w:t>N4</w:t>
                  </w:r>
                </w:p>
              </w:tc>
              <w:tc>
                <w:tcPr>
                  <w:tcW w:w="2997" w:type="pct"/>
                  <w:tcBorders>
                    <w:top w:val="single" w:color="auto" w:sz="6" w:space="0"/>
                    <w:left w:val="single" w:color="auto" w:sz="6" w:space="0"/>
                    <w:bottom w:val="single" w:color="auto" w:sz="6" w:space="0"/>
                    <w:right w:val="single" w:color="auto" w:sz="6" w:space="0"/>
                  </w:tcBorders>
                  <w:vAlign w:val="center"/>
                </w:tcPr>
                <w:p>
                  <w:pPr>
                    <w:topLinePunct/>
                    <w:adjustRightInd w:val="0"/>
                    <w:snapToGrid w:val="0"/>
                    <w:spacing w:line="240" w:lineRule="auto"/>
                    <w:jc w:val="center"/>
                    <w:rPr>
                      <w:sz w:val="21"/>
                      <w:szCs w:val="21"/>
                    </w:rPr>
                  </w:pPr>
                  <w:r>
                    <w:rPr>
                      <w:rFonts w:hint="eastAsia"/>
                      <w:bCs/>
                      <w:sz w:val="21"/>
                      <w:szCs w:val="21"/>
                    </w:rPr>
                    <w:t>厂界外东</w:t>
                  </w:r>
                  <w:r>
                    <w:rPr>
                      <w:bCs/>
                      <w:sz w:val="21"/>
                      <w:szCs w:val="21"/>
                    </w:rPr>
                    <w:t>侧1米处</w:t>
                  </w:r>
                </w:p>
              </w:tc>
              <w:tc>
                <w:tcPr>
                  <w:tcW w:w="1267" w:type="pct"/>
                  <w:tcBorders>
                    <w:top w:val="single" w:color="auto" w:sz="6" w:space="0"/>
                    <w:left w:val="single" w:color="auto" w:sz="6" w:space="0"/>
                    <w:bottom w:val="single" w:color="auto" w:sz="6" w:space="0"/>
                  </w:tcBorders>
                  <w:vAlign w:val="center"/>
                </w:tcPr>
                <w:p>
                  <w:pPr>
                    <w:pStyle w:val="7"/>
                    <w:spacing w:line="240" w:lineRule="auto"/>
                    <w:ind w:firstLine="0"/>
                    <w:jc w:val="center"/>
                    <w:rPr>
                      <w:rFonts w:eastAsia="宋体"/>
                      <w:w w:val="100"/>
                      <w:kern w:val="2"/>
                      <w:sz w:val="21"/>
                      <w:szCs w:val="21"/>
                    </w:rPr>
                  </w:pPr>
                  <w:r>
                    <w:rPr>
                      <w:rFonts w:eastAsia="宋体"/>
                      <w:w w:val="100"/>
                      <w:kern w:val="2"/>
                      <w:sz w:val="21"/>
                      <w:szCs w:val="21"/>
                    </w:rPr>
                    <w:t>边界噪声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735" w:type="pct"/>
                  <w:tcBorders>
                    <w:top w:val="single" w:color="auto" w:sz="6" w:space="0"/>
                    <w:bottom w:val="single" w:color="auto" w:sz="6" w:space="0"/>
                    <w:right w:val="single" w:color="auto" w:sz="6" w:space="0"/>
                  </w:tcBorders>
                  <w:vAlign w:val="center"/>
                </w:tcPr>
                <w:p>
                  <w:pPr>
                    <w:pStyle w:val="7"/>
                    <w:spacing w:line="240" w:lineRule="auto"/>
                    <w:ind w:firstLine="0"/>
                    <w:jc w:val="center"/>
                    <w:rPr>
                      <w:rFonts w:eastAsia="宋体"/>
                      <w:w w:val="100"/>
                      <w:kern w:val="2"/>
                      <w:sz w:val="21"/>
                      <w:szCs w:val="21"/>
                    </w:rPr>
                  </w:pPr>
                  <w:r>
                    <w:rPr>
                      <w:rFonts w:eastAsia="宋体"/>
                      <w:w w:val="100"/>
                      <w:kern w:val="2"/>
                      <w:sz w:val="21"/>
                      <w:szCs w:val="21"/>
                    </w:rPr>
                    <w:t>N5</w:t>
                  </w:r>
                </w:p>
              </w:tc>
              <w:tc>
                <w:tcPr>
                  <w:tcW w:w="2997" w:type="pct"/>
                  <w:tcBorders>
                    <w:top w:val="single" w:color="auto" w:sz="6" w:space="0"/>
                    <w:left w:val="single" w:color="auto" w:sz="6" w:space="0"/>
                    <w:bottom w:val="single" w:color="auto" w:sz="6" w:space="0"/>
                    <w:right w:val="single" w:color="auto" w:sz="6" w:space="0"/>
                  </w:tcBorders>
                  <w:vAlign w:val="center"/>
                </w:tcPr>
                <w:p>
                  <w:pPr>
                    <w:topLinePunct/>
                    <w:adjustRightInd w:val="0"/>
                    <w:snapToGrid w:val="0"/>
                    <w:spacing w:line="240" w:lineRule="auto"/>
                    <w:jc w:val="center"/>
                    <w:rPr>
                      <w:sz w:val="21"/>
                      <w:szCs w:val="21"/>
                    </w:rPr>
                  </w:pPr>
                  <w:r>
                    <w:rPr>
                      <w:rFonts w:hint="eastAsia"/>
                      <w:sz w:val="21"/>
                      <w:szCs w:val="21"/>
                    </w:rPr>
                    <w:t>南面边界处20米沙堆村居民点</w:t>
                  </w:r>
                </w:p>
              </w:tc>
              <w:tc>
                <w:tcPr>
                  <w:tcW w:w="1267" w:type="pct"/>
                  <w:tcBorders>
                    <w:top w:val="single" w:color="auto" w:sz="6" w:space="0"/>
                    <w:left w:val="single" w:color="auto" w:sz="6" w:space="0"/>
                    <w:bottom w:val="single" w:color="auto" w:sz="6" w:space="0"/>
                  </w:tcBorders>
                  <w:vAlign w:val="center"/>
                </w:tcPr>
                <w:p>
                  <w:pPr>
                    <w:pStyle w:val="7"/>
                    <w:spacing w:line="240" w:lineRule="auto"/>
                    <w:ind w:firstLine="0"/>
                    <w:jc w:val="center"/>
                    <w:rPr>
                      <w:rFonts w:eastAsia="宋体"/>
                      <w:w w:val="100"/>
                      <w:kern w:val="2"/>
                      <w:sz w:val="21"/>
                      <w:szCs w:val="21"/>
                    </w:rPr>
                  </w:pPr>
                  <w:r>
                    <w:rPr>
                      <w:rFonts w:eastAsia="宋体"/>
                      <w:w w:val="100"/>
                      <w:kern w:val="2"/>
                      <w:sz w:val="21"/>
                      <w:szCs w:val="21"/>
                    </w:rPr>
                    <w:t>敏感点噪声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735" w:type="pct"/>
                  <w:tcBorders>
                    <w:top w:val="single" w:color="auto" w:sz="6" w:space="0"/>
                    <w:right w:val="single" w:color="auto" w:sz="6" w:space="0"/>
                  </w:tcBorders>
                  <w:vAlign w:val="center"/>
                </w:tcPr>
                <w:p>
                  <w:pPr>
                    <w:pStyle w:val="7"/>
                    <w:spacing w:line="240" w:lineRule="auto"/>
                    <w:ind w:firstLine="0"/>
                    <w:jc w:val="center"/>
                    <w:rPr>
                      <w:rFonts w:eastAsia="宋体"/>
                      <w:w w:val="100"/>
                      <w:kern w:val="2"/>
                      <w:sz w:val="21"/>
                      <w:szCs w:val="21"/>
                    </w:rPr>
                  </w:pPr>
                  <w:r>
                    <w:rPr>
                      <w:rFonts w:eastAsia="宋体"/>
                      <w:w w:val="100"/>
                      <w:kern w:val="2"/>
                      <w:sz w:val="21"/>
                      <w:szCs w:val="21"/>
                    </w:rPr>
                    <w:t>N6</w:t>
                  </w:r>
                </w:p>
              </w:tc>
              <w:tc>
                <w:tcPr>
                  <w:tcW w:w="2997" w:type="pct"/>
                  <w:tcBorders>
                    <w:top w:val="single" w:color="auto" w:sz="6" w:space="0"/>
                    <w:left w:val="single" w:color="auto" w:sz="6" w:space="0"/>
                    <w:right w:val="single" w:color="auto" w:sz="6" w:space="0"/>
                  </w:tcBorders>
                  <w:vAlign w:val="center"/>
                </w:tcPr>
                <w:p>
                  <w:pPr>
                    <w:topLinePunct/>
                    <w:adjustRightInd w:val="0"/>
                    <w:snapToGrid w:val="0"/>
                    <w:spacing w:line="240" w:lineRule="auto"/>
                    <w:jc w:val="center"/>
                    <w:rPr>
                      <w:sz w:val="21"/>
                      <w:szCs w:val="21"/>
                    </w:rPr>
                  </w:pPr>
                  <w:r>
                    <w:rPr>
                      <w:rFonts w:hint="eastAsia"/>
                      <w:sz w:val="21"/>
                      <w:szCs w:val="21"/>
                    </w:rPr>
                    <w:t>东面边界处20米沙堆村居民点</w:t>
                  </w:r>
                </w:p>
              </w:tc>
              <w:tc>
                <w:tcPr>
                  <w:tcW w:w="1267" w:type="pct"/>
                  <w:tcBorders>
                    <w:top w:val="single" w:color="auto" w:sz="6" w:space="0"/>
                    <w:left w:val="single" w:color="auto" w:sz="6" w:space="0"/>
                  </w:tcBorders>
                  <w:vAlign w:val="center"/>
                </w:tcPr>
                <w:p>
                  <w:pPr>
                    <w:pStyle w:val="7"/>
                    <w:spacing w:line="240" w:lineRule="auto"/>
                    <w:ind w:firstLine="0"/>
                    <w:jc w:val="center"/>
                    <w:rPr>
                      <w:rFonts w:eastAsia="宋体"/>
                      <w:w w:val="100"/>
                      <w:kern w:val="2"/>
                      <w:sz w:val="21"/>
                      <w:szCs w:val="21"/>
                    </w:rPr>
                  </w:pPr>
                  <w:r>
                    <w:rPr>
                      <w:rFonts w:eastAsia="宋体"/>
                      <w:w w:val="100"/>
                      <w:kern w:val="2"/>
                      <w:sz w:val="21"/>
                      <w:szCs w:val="21"/>
                    </w:rPr>
                    <w:t>敏感点噪声</w:t>
                  </w:r>
                </w:p>
              </w:tc>
            </w:tr>
          </w:tbl>
          <w:p>
            <w:pPr>
              <w:widowControl/>
              <w:ind w:firstLine="480" w:firstLineChars="200"/>
              <w:jc w:val="left"/>
              <w:rPr>
                <w:szCs w:val="22"/>
              </w:rPr>
            </w:pPr>
            <w:r>
              <w:t>（2）监测时间、频次</w:t>
            </w:r>
          </w:p>
          <w:p>
            <w:pPr>
              <w:wordWrap w:val="0"/>
              <w:topLinePunct/>
              <w:adjustRightInd w:val="0"/>
              <w:snapToGrid w:val="0"/>
              <w:ind w:firstLine="480" w:firstLineChars="200"/>
              <w:rPr>
                <w:b/>
                <w:bCs/>
                <w:color w:val="0000FF"/>
              </w:rPr>
            </w:pPr>
            <w:r>
              <w:t>在202</w:t>
            </w:r>
            <w:r>
              <w:rPr>
                <w:rFonts w:hint="eastAsia"/>
              </w:rPr>
              <w:t>3</w:t>
            </w:r>
            <w:r>
              <w:t>年</w:t>
            </w:r>
            <w:r>
              <w:rPr>
                <w:rFonts w:hint="eastAsia"/>
              </w:rPr>
              <w:t>6</w:t>
            </w:r>
            <w:r>
              <w:t>月</w:t>
            </w:r>
            <w:r>
              <w:rPr>
                <w:rFonts w:hint="eastAsia"/>
              </w:rPr>
              <w:t>30</w:t>
            </w:r>
            <w:r>
              <w:t>日进行监测。监测一天，昼间一次。</w:t>
            </w:r>
          </w:p>
          <w:p>
            <w:pPr>
              <w:widowControl/>
              <w:ind w:firstLine="480" w:firstLineChars="200"/>
              <w:jc w:val="left"/>
            </w:pPr>
            <w:r>
              <w:t>（3）监测方法</w:t>
            </w:r>
          </w:p>
          <w:p>
            <w:pPr>
              <w:widowControl/>
              <w:ind w:firstLine="480" w:firstLineChars="200"/>
              <w:jc w:val="left"/>
            </w:pPr>
            <w:r>
              <w:t>按《声环境质量标准》（GB3096-2008）进行。</w:t>
            </w:r>
          </w:p>
          <w:p>
            <w:pPr>
              <w:widowControl/>
              <w:ind w:firstLine="480" w:firstLineChars="200"/>
              <w:jc w:val="left"/>
            </w:pPr>
            <w:r>
              <w:t>（4）评价标准</w:t>
            </w:r>
          </w:p>
          <w:p>
            <w:pPr>
              <w:widowControl/>
              <w:adjustRightInd w:val="0"/>
              <w:snapToGrid w:val="0"/>
              <w:ind w:firstLine="480" w:firstLineChars="200"/>
              <w:rPr>
                <w:color w:val="0000FF"/>
              </w:rPr>
            </w:pPr>
            <w:r>
              <w:t>本项目所在区域南面边界</w:t>
            </w:r>
            <w:r>
              <w:rPr>
                <w:kern w:val="0"/>
              </w:rPr>
              <w:t>距</w:t>
            </w:r>
            <w:r>
              <w:rPr>
                <w:rFonts w:hint="eastAsia"/>
                <w:kern w:val="0"/>
              </w:rPr>
              <w:t>G354国道10m</w:t>
            </w:r>
            <w:r>
              <w:rPr>
                <w:rFonts w:hint="eastAsia"/>
                <w:kern w:val="0"/>
                <w:lang w:eastAsia="zh-CN"/>
              </w:rPr>
              <w:t>，</w:t>
            </w:r>
            <w:r>
              <w:t>声环境执行《声环境质量标准》（GB3096-2008）中4a类标准,标准值为昼间70dB(A)、夜间55dB(A)；北面、东面、西面边界声环境执行《声环境质量标准》（GB3096-2008）中</w:t>
            </w:r>
            <w:r>
              <w:rPr>
                <w:rFonts w:hint="eastAsia"/>
              </w:rPr>
              <w:t>2</w:t>
            </w:r>
            <w:r>
              <w:t>类标准,标准值为昼间6</w:t>
            </w:r>
            <w:r>
              <w:rPr>
                <w:rFonts w:hint="eastAsia"/>
              </w:rPr>
              <w:t>0</w:t>
            </w:r>
            <w:r>
              <w:t>dB(A)、夜间5</w:t>
            </w:r>
            <w:r>
              <w:rPr>
                <w:rFonts w:hint="eastAsia"/>
              </w:rPr>
              <w:t>0</w:t>
            </w:r>
            <w:r>
              <w:t>dB(A)；敏感点</w:t>
            </w:r>
            <w:r>
              <w:rPr>
                <w:rFonts w:hint="eastAsia"/>
              </w:rPr>
              <w:t>南面沙堆村居民点执行</w:t>
            </w:r>
            <w:r>
              <w:t>《声环境质量标准》（GB3096-2008）中4a类标准,标准值为昼间70dB(A)、夜间55dB(A)</w:t>
            </w:r>
            <w:r>
              <w:rPr>
                <w:rFonts w:hint="eastAsia"/>
              </w:rPr>
              <w:t>；东面沙堆村居民点</w:t>
            </w:r>
            <w:r>
              <w:t>执行《声环境质量标准》（GB3096-2008）中2类标准，标准值为昼间60dB(A)、夜间50dB(A)。</w:t>
            </w:r>
          </w:p>
          <w:p>
            <w:pPr>
              <w:widowControl/>
              <w:adjustRightInd w:val="0"/>
              <w:snapToGrid w:val="0"/>
              <w:ind w:firstLine="480" w:firstLineChars="200"/>
              <w:rPr>
                <w:szCs w:val="22"/>
              </w:rPr>
            </w:pPr>
            <w:r>
              <w:t>（5）评价方法</w:t>
            </w:r>
          </w:p>
          <w:p>
            <w:pPr>
              <w:widowControl/>
              <w:adjustRightInd w:val="0"/>
              <w:snapToGrid w:val="0"/>
              <w:ind w:firstLine="480" w:firstLineChars="200"/>
            </w:pPr>
            <w:r>
              <w:t>将测得的环境噪声数据计算得出等效声级值Leq（A）作为评价量，将其与相应监测点所执行的标准进行比较，以确定区域噪声污染状况。</w:t>
            </w:r>
          </w:p>
          <w:p>
            <w:pPr>
              <w:widowControl/>
              <w:adjustRightInd w:val="0"/>
              <w:snapToGrid w:val="0"/>
              <w:ind w:firstLine="480" w:firstLineChars="200"/>
            </w:pPr>
            <w:r>
              <w:t>（6）评价结果分析</w:t>
            </w:r>
          </w:p>
          <w:p>
            <w:pPr>
              <w:widowControl/>
              <w:adjustRightInd w:val="0"/>
              <w:snapToGrid w:val="0"/>
              <w:ind w:firstLine="480" w:firstLineChars="200"/>
            </w:pPr>
            <w:r>
              <w:t>声环境评价结果分析见下表。</w:t>
            </w:r>
          </w:p>
          <w:p>
            <w:pPr>
              <w:adjustRightInd w:val="0"/>
              <w:snapToGrid w:val="0"/>
              <w:spacing w:line="240" w:lineRule="auto"/>
              <w:jc w:val="center"/>
              <w:rPr>
                <w:b/>
                <w:sz w:val="21"/>
                <w:szCs w:val="21"/>
              </w:rPr>
            </w:pPr>
            <w:r>
              <w:rPr>
                <w:b/>
                <w:sz w:val="21"/>
                <w:szCs w:val="21"/>
              </w:rPr>
              <w:t>表3-</w:t>
            </w:r>
            <w:r>
              <w:rPr>
                <w:rFonts w:hint="eastAsia"/>
                <w:b/>
                <w:sz w:val="21"/>
                <w:szCs w:val="21"/>
              </w:rPr>
              <w:t>5</w:t>
            </w:r>
            <w:r>
              <w:rPr>
                <w:b/>
                <w:sz w:val="21"/>
                <w:szCs w:val="21"/>
              </w:rPr>
              <w:t xml:space="preserve">  声环境现状监测结果一览表       单位：dB（A）</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7"/>
              <w:gridCol w:w="1443"/>
              <w:gridCol w:w="1991"/>
              <w:gridCol w:w="898"/>
              <w:gridCol w:w="893"/>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1347" w:type="pct"/>
                  <w:vMerge w:val="restart"/>
                  <w:vAlign w:val="center"/>
                </w:tcPr>
                <w:p>
                  <w:pPr>
                    <w:topLinePunct/>
                    <w:adjustRightInd w:val="0"/>
                    <w:snapToGrid w:val="0"/>
                    <w:spacing w:line="240" w:lineRule="auto"/>
                    <w:jc w:val="center"/>
                    <w:rPr>
                      <w:b/>
                      <w:kern w:val="0"/>
                      <w:sz w:val="21"/>
                      <w:szCs w:val="21"/>
                    </w:rPr>
                  </w:pPr>
                  <w:r>
                    <w:rPr>
                      <w:b/>
                      <w:kern w:val="0"/>
                      <w:sz w:val="21"/>
                      <w:szCs w:val="21"/>
                    </w:rPr>
                    <w:t>点位名称</w:t>
                  </w:r>
                </w:p>
              </w:tc>
              <w:tc>
                <w:tcPr>
                  <w:tcW w:w="861" w:type="pct"/>
                  <w:vMerge w:val="restart"/>
                  <w:vAlign w:val="center"/>
                </w:tcPr>
                <w:p>
                  <w:pPr>
                    <w:topLinePunct/>
                    <w:adjustRightInd w:val="0"/>
                    <w:snapToGrid w:val="0"/>
                    <w:spacing w:line="240" w:lineRule="auto"/>
                    <w:jc w:val="center"/>
                    <w:rPr>
                      <w:b/>
                      <w:kern w:val="0"/>
                      <w:sz w:val="21"/>
                      <w:szCs w:val="21"/>
                    </w:rPr>
                  </w:pPr>
                  <w:r>
                    <w:rPr>
                      <w:b/>
                      <w:kern w:val="0"/>
                      <w:sz w:val="21"/>
                      <w:szCs w:val="21"/>
                    </w:rPr>
                    <w:t>检测项目</w:t>
                  </w:r>
                </w:p>
              </w:tc>
              <w:tc>
                <w:tcPr>
                  <w:tcW w:w="1724" w:type="pct"/>
                  <w:gridSpan w:val="2"/>
                  <w:vAlign w:val="center"/>
                </w:tcPr>
                <w:p>
                  <w:pPr>
                    <w:topLinePunct/>
                    <w:adjustRightInd w:val="0"/>
                    <w:snapToGrid w:val="0"/>
                    <w:spacing w:line="240" w:lineRule="auto"/>
                    <w:jc w:val="center"/>
                    <w:rPr>
                      <w:b/>
                      <w:kern w:val="0"/>
                      <w:sz w:val="21"/>
                      <w:szCs w:val="21"/>
                    </w:rPr>
                  </w:pPr>
                  <w:r>
                    <w:rPr>
                      <w:b/>
                      <w:kern w:val="0"/>
                      <w:sz w:val="21"/>
                      <w:szCs w:val="21"/>
                    </w:rPr>
                    <w:t>监测结果</w:t>
                  </w:r>
                </w:p>
              </w:tc>
              <w:tc>
                <w:tcPr>
                  <w:tcW w:w="1067" w:type="pct"/>
                  <w:gridSpan w:val="2"/>
                  <w:vMerge w:val="restart"/>
                  <w:vAlign w:val="center"/>
                </w:tcPr>
                <w:p>
                  <w:pPr>
                    <w:topLinePunct/>
                    <w:adjustRightInd w:val="0"/>
                    <w:snapToGrid w:val="0"/>
                    <w:spacing w:line="240" w:lineRule="auto"/>
                    <w:jc w:val="center"/>
                    <w:rPr>
                      <w:b/>
                      <w:kern w:val="0"/>
                      <w:sz w:val="21"/>
                      <w:szCs w:val="21"/>
                    </w:rPr>
                  </w:pPr>
                  <w:r>
                    <w:rPr>
                      <w:b/>
                      <w:kern w:val="0"/>
                      <w:sz w:val="21"/>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1347" w:type="pct"/>
                  <w:vMerge w:val="continue"/>
                  <w:vAlign w:val="center"/>
                </w:tcPr>
                <w:p>
                  <w:pPr>
                    <w:topLinePunct/>
                    <w:adjustRightInd w:val="0"/>
                    <w:snapToGrid w:val="0"/>
                    <w:spacing w:line="240" w:lineRule="auto"/>
                    <w:jc w:val="center"/>
                    <w:rPr>
                      <w:sz w:val="21"/>
                      <w:szCs w:val="21"/>
                    </w:rPr>
                  </w:pPr>
                </w:p>
              </w:tc>
              <w:tc>
                <w:tcPr>
                  <w:tcW w:w="861" w:type="pct"/>
                  <w:vMerge w:val="continue"/>
                  <w:vAlign w:val="center"/>
                </w:tcPr>
                <w:p>
                  <w:pPr>
                    <w:topLinePunct/>
                    <w:adjustRightInd w:val="0"/>
                    <w:snapToGrid w:val="0"/>
                    <w:spacing w:line="240" w:lineRule="auto"/>
                    <w:jc w:val="center"/>
                    <w:rPr>
                      <w:sz w:val="21"/>
                      <w:szCs w:val="21"/>
                    </w:rPr>
                  </w:pPr>
                </w:p>
              </w:tc>
              <w:tc>
                <w:tcPr>
                  <w:tcW w:w="1724" w:type="pct"/>
                  <w:gridSpan w:val="2"/>
                  <w:vAlign w:val="center"/>
                </w:tcPr>
                <w:p>
                  <w:pPr>
                    <w:topLinePunct/>
                    <w:adjustRightInd w:val="0"/>
                    <w:snapToGrid w:val="0"/>
                    <w:spacing w:line="240" w:lineRule="auto"/>
                    <w:jc w:val="center"/>
                    <w:rPr>
                      <w:b/>
                      <w:kern w:val="0"/>
                      <w:sz w:val="21"/>
                      <w:szCs w:val="21"/>
                    </w:rPr>
                  </w:pPr>
                  <w:r>
                    <w:rPr>
                      <w:b/>
                      <w:kern w:val="0"/>
                      <w:sz w:val="21"/>
                      <w:szCs w:val="21"/>
                    </w:rPr>
                    <w:t>202</w:t>
                  </w:r>
                  <w:r>
                    <w:rPr>
                      <w:rFonts w:hint="eastAsia"/>
                      <w:b/>
                      <w:kern w:val="0"/>
                      <w:sz w:val="21"/>
                      <w:szCs w:val="21"/>
                    </w:rPr>
                    <w:t>3</w:t>
                  </w:r>
                  <w:r>
                    <w:rPr>
                      <w:b/>
                      <w:kern w:val="0"/>
                      <w:sz w:val="21"/>
                      <w:szCs w:val="21"/>
                    </w:rPr>
                    <w:t>年0</w:t>
                  </w:r>
                  <w:r>
                    <w:rPr>
                      <w:rFonts w:hint="eastAsia"/>
                      <w:b/>
                      <w:kern w:val="0"/>
                      <w:sz w:val="21"/>
                      <w:szCs w:val="21"/>
                    </w:rPr>
                    <w:t>6</w:t>
                  </w:r>
                  <w:r>
                    <w:rPr>
                      <w:b/>
                      <w:kern w:val="0"/>
                      <w:sz w:val="21"/>
                      <w:szCs w:val="21"/>
                    </w:rPr>
                    <w:t>月</w:t>
                  </w:r>
                  <w:r>
                    <w:rPr>
                      <w:rFonts w:hint="eastAsia"/>
                      <w:b/>
                      <w:kern w:val="0"/>
                      <w:sz w:val="21"/>
                      <w:szCs w:val="21"/>
                    </w:rPr>
                    <w:t>30</w:t>
                  </w:r>
                  <w:r>
                    <w:rPr>
                      <w:b/>
                      <w:kern w:val="0"/>
                      <w:sz w:val="21"/>
                      <w:szCs w:val="21"/>
                    </w:rPr>
                    <w:t>日</w:t>
                  </w:r>
                </w:p>
              </w:tc>
              <w:tc>
                <w:tcPr>
                  <w:tcW w:w="1067" w:type="pct"/>
                  <w:gridSpan w:val="2"/>
                  <w:vMerge w:val="continue"/>
                  <w:vAlign w:val="center"/>
                </w:tcPr>
                <w:p>
                  <w:pPr>
                    <w:topLinePunct/>
                    <w:adjustRightInd w:val="0"/>
                    <w:snapToGrid w:val="0"/>
                    <w:spacing w:line="240" w:lineRule="auto"/>
                    <w:jc w:val="center"/>
                    <w:rPr>
                      <w:b/>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347" w:type="pct"/>
                  <w:vMerge w:val="continue"/>
                  <w:vAlign w:val="center"/>
                </w:tcPr>
                <w:p>
                  <w:pPr>
                    <w:topLinePunct/>
                    <w:adjustRightInd w:val="0"/>
                    <w:snapToGrid w:val="0"/>
                    <w:spacing w:line="240" w:lineRule="auto"/>
                    <w:jc w:val="center"/>
                    <w:rPr>
                      <w:b/>
                      <w:kern w:val="0"/>
                      <w:sz w:val="21"/>
                      <w:szCs w:val="21"/>
                    </w:rPr>
                  </w:pPr>
                </w:p>
              </w:tc>
              <w:tc>
                <w:tcPr>
                  <w:tcW w:w="861" w:type="pct"/>
                  <w:vMerge w:val="continue"/>
                  <w:vAlign w:val="center"/>
                </w:tcPr>
                <w:p>
                  <w:pPr>
                    <w:topLinePunct/>
                    <w:adjustRightInd w:val="0"/>
                    <w:snapToGrid w:val="0"/>
                    <w:spacing w:line="240" w:lineRule="auto"/>
                    <w:jc w:val="center"/>
                    <w:rPr>
                      <w:b/>
                      <w:kern w:val="0"/>
                      <w:sz w:val="21"/>
                      <w:szCs w:val="21"/>
                    </w:rPr>
                  </w:pPr>
                </w:p>
              </w:tc>
              <w:tc>
                <w:tcPr>
                  <w:tcW w:w="1188" w:type="pct"/>
                  <w:vAlign w:val="center"/>
                </w:tcPr>
                <w:p>
                  <w:pPr>
                    <w:topLinePunct/>
                    <w:adjustRightInd w:val="0"/>
                    <w:snapToGrid w:val="0"/>
                    <w:spacing w:line="240" w:lineRule="auto"/>
                    <w:jc w:val="center"/>
                    <w:rPr>
                      <w:b/>
                      <w:sz w:val="21"/>
                      <w:szCs w:val="21"/>
                    </w:rPr>
                  </w:pPr>
                  <w:r>
                    <w:rPr>
                      <w:b/>
                      <w:sz w:val="21"/>
                      <w:szCs w:val="21"/>
                    </w:rPr>
                    <w:t>昼间</w:t>
                  </w:r>
                </w:p>
              </w:tc>
              <w:tc>
                <w:tcPr>
                  <w:tcW w:w="535" w:type="pct"/>
                  <w:vAlign w:val="center"/>
                </w:tcPr>
                <w:p>
                  <w:pPr>
                    <w:topLinePunct/>
                    <w:adjustRightInd w:val="0"/>
                    <w:snapToGrid w:val="0"/>
                    <w:spacing w:line="240" w:lineRule="auto"/>
                    <w:jc w:val="center"/>
                    <w:rPr>
                      <w:b/>
                      <w:sz w:val="21"/>
                      <w:szCs w:val="21"/>
                    </w:rPr>
                  </w:pPr>
                  <w:r>
                    <w:rPr>
                      <w:rFonts w:hint="eastAsia"/>
                      <w:b/>
                      <w:sz w:val="21"/>
                      <w:szCs w:val="21"/>
                    </w:rPr>
                    <w:t>夜间</w:t>
                  </w:r>
                </w:p>
              </w:tc>
              <w:tc>
                <w:tcPr>
                  <w:tcW w:w="533" w:type="pct"/>
                  <w:vAlign w:val="center"/>
                </w:tcPr>
                <w:p>
                  <w:pPr>
                    <w:topLinePunct/>
                    <w:adjustRightInd w:val="0"/>
                    <w:snapToGrid w:val="0"/>
                    <w:spacing w:line="240" w:lineRule="auto"/>
                    <w:jc w:val="center"/>
                    <w:rPr>
                      <w:b/>
                      <w:sz w:val="21"/>
                      <w:szCs w:val="21"/>
                    </w:rPr>
                  </w:pPr>
                  <w:r>
                    <w:rPr>
                      <w:b/>
                      <w:sz w:val="21"/>
                      <w:szCs w:val="21"/>
                    </w:rPr>
                    <w:t>昼间</w:t>
                  </w:r>
                </w:p>
              </w:tc>
              <w:tc>
                <w:tcPr>
                  <w:tcW w:w="534" w:type="pct"/>
                  <w:vAlign w:val="center"/>
                </w:tcPr>
                <w:p>
                  <w:pPr>
                    <w:topLinePunct/>
                    <w:adjustRightInd w:val="0"/>
                    <w:snapToGrid w:val="0"/>
                    <w:spacing w:line="240" w:lineRule="auto"/>
                    <w:jc w:val="center"/>
                    <w:rPr>
                      <w:b/>
                      <w:sz w:val="21"/>
                      <w:szCs w:val="21"/>
                    </w:rPr>
                  </w:pPr>
                  <w:r>
                    <w:rPr>
                      <w:rFonts w:hint="eastAsia"/>
                      <w:b/>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347" w:type="pct"/>
                  <w:vAlign w:val="center"/>
                </w:tcPr>
                <w:p>
                  <w:pPr>
                    <w:topLinePunct/>
                    <w:adjustRightInd w:val="0"/>
                    <w:snapToGrid w:val="0"/>
                    <w:spacing w:line="240" w:lineRule="auto"/>
                    <w:jc w:val="center"/>
                    <w:rPr>
                      <w:sz w:val="21"/>
                      <w:szCs w:val="21"/>
                    </w:rPr>
                  </w:pPr>
                  <w:r>
                    <w:rPr>
                      <w:sz w:val="21"/>
                      <w:szCs w:val="21"/>
                    </w:rPr>
                    <w:t>N1厂界北面1米处</w:t>
                  </w:r>
                </w:p>
              </w:tc>
              <w:tc>
                <w:tcPr>
                  <w:tcW w:w="861" w:type="pct"/>
                  <w:vMerge w:val="restart"/>
                  <w:vAlign w:val="center"/>
                </w:tcPr>
                <w:p>
                  <w:pPr>
                    <w:topLinePunct/>
                    <w:adjustRightInd w:val="0"/>
                    <w:snapToGrid w:val="0"/>
                    <w:spacing w:line="240" w:lineRule="auto"/>
                    <w:jc w:val="center"/>
                    <w:rPr>
                      <w:sz w:val="21"/>
                      <w:szCs w:val="21"/>
                    </w:rPr>
                  </w:pPr>
                  <w:r>
                    <w:rPr>
                      <w:sz w:val="21"/>
                      <w:szCs w:val="21"/>
                    </w:rPr>
                    <w:t>环境噪声</w:t>
                  </w:r>
                </w:p>
              </w:tc>
              <w:tc>
                <w:tcPr>
                  <w:tcW w:w="1188" w:type="pct"/>
                  <w:vAlign w:val="center"/>
                </w:tcPr>
                <w:p>
                  <w:pPr>
                    <w:topLinePunct/>
                    <w:adjustRightInd w:val="0"/>
                    <w:snapToGrid w:val="0"/>
                    <w:spacing w:line="240" w:lineRule="auto"/>
                    <w:jc w:val="center"/>
                    <w:rPr>
                      <w:kern w:val="0"/>
                      <w:sz w:val="21"/>
                      <w:szCs w:val="21"/>
                    </w:rPr>
                  </w:pPr>
                  <w:r>
                    <w:rPr>
                      <w:rFonts w:hint="eastAsia"/>
                      <w:kern w:val="0"/>
                      <w:sz w:val="21"/>
                      <w:szCs w:val="21"/>
                    </w:rPr>
                    <w:t>50</w:t>
                  </w:r>
                </w:p>
              </w:tc>
              <w:tc>
                <w:tcPr>
                  <w:tcW w:w="535" w:type="pct"/>
                  <w:vAlign w:val="center"/>
                </w:tcPr>
                <w:p>
                  <w:pPr>
                    <w:topLinePunct/>
                    <w:adjustRightInd w:val="0"/>
                    <w:snapToGrid w:val="0"/>
                    <w:spacing w:line="240" w:lineRule="auto"/>
                    <w:jc w:val="center"/>
                    <w:rPr>
                      <w:kern w:val="0"/>
                      <w:sz w:val="21"/>
                      <w:szCs w:val="21"/>
                    </w:rPr>
                  </w:pPr>
                  <w:r>
                    <w:rPr>
                      <w:rFonts w:hint="eastAsia"/>
                      <w:kern w:val="0"/>
                      <w:sz w:val="21"/>
                      <w:szCs w:val="21"/>
                    </w:rPr>
                    <w:t>43</w:t>
                  </w:r>
                </w:p>
              </w:tc>
              <w:tc>
                <w:tcPr>
                  <w:tcW w:w="533" w:type="pct"/>
                  <w:vMerge w:val="restart"/>
                  <w:vAlign w:val="center"/>
                </w:tcPr>
                <w:p>
                  <w:pPr>
                    <w:topLinePunct/>
                    <w:adjustRightInd w:val="0"/>
                    <w:snapToGrid w:val="0"/>
                    <w:spacing w:line="240" w:lineRule="auto"/>
                    <w:jc w:val="center"/>
                    <w:rPr>
                      <w:kern w:val="0"/>
                      <w:sz w:val="21"/>
                      <w:szCs w:val="21"/>
                    </w:rPr>
                  </w:pPr>
                  <w:r>
                    <w:rPr>
                      <w:kern w:val="0"/>
                      <w:sz w:val="21"/>
                      <w:szCs w:val="21"/>
                    </w:rPr>
                    <w:t>6</w:t>
                  </w:r>
                  <w:r>
                    <w:rPr>
                      <w:rFonts w:hint="eastAsia"/>
                      <w:kern w:val="0"/>
                      <w:sz w:val="21"/>
                      <w:szCs w:val="21"/>
                    </w:rPr>
                    <w:t>0</w:t>
                  </w:r>
                </w:p>
              </w:tc>
              <w:tc>
                <w:tcPr>
                  <w:tcW w:w="534" w:type="pct"/>
                  <w:vMerge w:val="restart"/>
                  <w:vAlign w:val="center"/>
                </w:tcPr>
                <w:p>
                  <w:pPr>
                    <w:topLinePunct/>
                    <w:adjustRightInd w:val="0"/>
                    <w:snapToGrid w:val="0"/>
                    <w:spacing w:line="240" w:lineRule="auto"/>
                    <w:jc w:val="center"/>
                    <w:rPr>
                      <w:kern w:val="0"/>
                      <w:sz w:val="21"/>
                      <w:szCs w:val="21"/>
                    </w:rPr>
                  </w:pPr>
                  <w:r>
                    <w:rPr>
                      <w:rFonts w:hint="eastAsia"/>
                      <w:kern w:val="0"/>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347" w:type="pct"/>
                  <w:vAlign w:val="center"/>
                </w:tcPr>
                <w:p>
                  <w:pPr>
                    <w:topLinePunct/>
                    <w:adjustRightInd w:val="0"/>
                    <w:snapToGrid w:val="0"/>
                    <w:spacing w:line="240" w:lineRule="auto"/>
                    <w:jc w:val="center"/>
                    <w:rPr>
                      <w:sz w:val="21"/>
                      <w:szCs w:val="21"/>
                    </w:rPr>
                  </w:pPr>
                  <w:r>
                    <w:rPr>
                      <w:sz w:val="21"/>
                      <w:szCs w:val="21"/>
                    </w:rPr>
                    <w:t>N</w:t>
                  </w:r>
                  <w:r>
                    <w:rPr>
                      <w:rFonts w:hint="eastAsia"/>
                      <w:sz w:val="21"/>
                      <w:szCs w:val="21"/>
                    </w:rPr>
                    <w:t>4</w:t>
                  </w:r>
                  <w:r>
                    <w:rPr>
                      <w:sz w:val="21"/>
                      <w:szCs w:val="21"/>
                    </w:rPr>
                    <w:t>厂界东面1米处</w:t>
                  </w:r>
                </w:p>
              </w:tc>
              <w:tc>
                <w:tcPr>
                  <w:tcW w:w="861" w:type="pct"/>
                  <w:vMerge w:val="continue"/>
                  <w:vAlign w:val="center"/>
                </w:tcPr>
                <w:p>
                  <w:pPr>
                    <w:topLinePunct/>
                    <w:adjustRightInd w:val="0"/>
                    <w:snapToGrid w:val="0"/>
                    <w:spacing w:line="240" w:lineRule="auto"/>
                    <w:jc w:val="center"/>
                    <w:rPr>
                      <w:sz w:val="21"/>
                      <w:szCs w:val="21"/>
                    </w:rPr>
                  </w:pPr>
                </w:p>
              </w:tc>
              <w:tc>
                <w:tcPr>
                  <w:tcW w:w="1188" w:type="pct"/>
                  <w:vAlign w:val="center"/>
                </w:tcPr>
                <w:p>
                  <w:pPr>
                    <w:topLinePunct/>
                    <w:adjustRightInd w:val="0"/>
                    <w:snapToGrid w:val="0"/>
                    <w:spacing w:line="240" w:lineRule="auto"/>
                    <w:jc w:val="center"/>
                    <w:rPr>
                      <w:kern w:val="0"/>
                      <w:sz w:val="21"/>
                      <w:szCs w:val="21"/>
                    </w:rPr>
                  </w:pPr>
                  <w:r>
                    <w:rPr>
                      <w:rFonts w:hint="eastAsia"/>
                      <w:kern w:val="0"/>
                      <w:sz w:val="21"/>
                      <w:szCs w:val="21"/>
                    </w:rPr>
                    <w:t>54</w:t>
                  </w:r>
                </w:p>
              </w:tc>
              <w:tc>
                <w:tcPr>
                  <w:tcW w:w="535" w:type="pct"/>
                  <w:vAlign w:val="center"/>
                </w:tcPr>
                <w:p>
                  <w:pPr>
                    <w:topLinePunct/>
                    <w:adjustRightInd w:val="0"/>
                    <w:snapToGrid w:val="0"/>
                    <w:spacing w:line="240" w:lineRule="auto"/>
                    <w:jc w:val="center"/>
                    <w:rPr>
                      <w:kern w:val="0"/>
                      <w:sz w:val="21"/>
                      <w:szCs w:val="21"/>
                    </w:rPr>
                  </w:pPr>
                  <w:r>
                    <w:rPr>
                      <w:rFonts w:hint="eastAsia"/>
                      <w:kern w:val="0"/>
                      <w:sz w:val="21"/>
                      <w:szCs w:val="21"/>
                    </w:rPr>
                    <w:t>45</w:t>
                  </w:r>
                </w:p>
              </w:tc>
              <w:tc>
                <w:tcPr>
                  <w:tcW w:w="533" w:type="pct"/>
                  <w:vMerge w:val="continue"/>
                  <w:vAlign w:val="center"/>
                </w:tcPr>
                <w:p>
                  <w:pPr>
                    <w:topLinePunct/>
                    <w:adjustRightInd w:val="0"/>
                    <w:snapToGrid w:val="0"/>
                    <w:spacing w:line="240" w:lineRule="auto"/>
                    <w:jc w:val="center"/>
                    <w:rPr>
                      <w:kern w:val="0"/>
                      <w:sz w:val="21"/>
                      <w:szCs w:val="21"/>
                    </w:rPr>
                  </w:pPr>
                </w:p>
              </w:tc>
              <w:tc>
                <w:tcPr>
                  <w:tcW w:w="534" w:type="pct"/>
                  <w:vMerge w:val="continue"/>
                  <w:vAlign w:val="center"/>
                </w:tcPr>
                <w:p>
                  <w:pPr>
                    <w:topLinePunct/>
                    <w:adjustRightInd w:val="0"/>
                    <w:snapToGrid w:val="0"/>
                    <w:spacing w:line="240" w:lineRule="auto"/>
                    <w:jc w:val="center"/>
                    <w:rPr>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347" w:type="pct"/>
                  <w:vAlign w:val="center"/>
                </w:tcPr>
                <w:p>
                  <w:pPr>
                    <w:topLinePunct/>
                    <w:adjustRightInd w:val="0"/>
                    <w:snapToGrid w:val="0"/>
                    <w:spacing w:line="240" w:lineRule="auto"/>
                    <w:jc w:val="center"/>
                    <w:rPr>
                      <w:sz w:val="21"/>
                      <w:szCs w:val="21"/>
                    </w:rPr>
                  </w:pPr>
                  <w:r>
                    <w:rPr>
                      <w:sz w:val="21"/>
                      <w:szCs w:val="21"/>
                    </w:rPr>
                    <w:t>N</w:t>
                  </w:r>
                  <w:r>
                    <w:rPr>
                      <w:rFonts w:hint="eastAsia"/>
                      <w:sz w:val="21"/>
                      <w:szCs w:val="21"/>
                    </w:rPr>
                    <w:t>2</w:t>
                  </w:r>
                  <w:r>
                    <w:rPr>
                      <w:sz w:val="21"/>
                      <w:szCs w:val="21"/>
                    </w:rPr>
                    <w:t>厂界西面1米处</w:t>
                  </w:r>
                </w:p>
              </w:tc>
              <w:tc>
                <w:tcPr>
                  <w:tcW w:w="861" w:type="pct"/>
                  <w:vMerge w:val="continue"/>
                  <w:vAlign w:val="center"/>
                </w:tcPr>
                <w:p>
                  <w:pPr>
                    <w:topLinePunct/>
                    <w:adjustRightInd w:val="0"/>
                    <w:snapToGrid w:val="0"/>
                    <w:spacing w:line="240" w:lineRule="auto"/>
                    <w:jc w:val="center"/>
                    <w:rPr>
                      <w:sz w:val="21"/>
                      <w:szCs w:val="21"/>
                    </w:rPr>
                  </w:pPr>
                </w:p>
              </w:tc>
              <w:tc>
                <w:tcPr>
                  <w:tcW w:w="1188" w:type="pct"/>
                  <w:vAlign w:val="center"/>
                </w:tcPr>
                <w:p>
                  <w:pPr>
                    <w:topLinePunct/>
                    <w:adjustRightInd w:val="0"/>
                    <w:snapToGrid w:val="0"/>
                    <w:spacing w:line="240" w:lineRule="auto"/>
                    <w:jc w:val="center"/>
                    <w:rPr>
                      <w:kern w:val="0"/>
                      <w:sz w:val="21"/>
                      <w:szCs w:val="21"/>
                    </w:rPr>
                  </w:pPr>
                  <w:r>
                    <w:rPr>
                      <w:rFonts w:hint="eastAsia"/>
                      <w:kern w:val="0"/>
                      <w:sz w:val="21"/>
                      <w:szCs w:val="21"/>
                    </w:rPr>
                    <w:t>52</w:t>
                  </w:r>
                </w:p>
              </w:tc>
              <w:tc>
                <w:tcPr>
                  <w:tcW w:w="535" w:type="pct"/>
                  <w:vAlign w:val="center"/>
                </w:tcPr>
                <w:p>
                  <w:pPr>
                    <w:topLinePunct/>
                    <w:adjustRightInd w:val="0"/>
                    <w:snapToGrid w:val="0"/>
                    <w:spacing w:line="240" w:lineRule="auto"/>
                    <w:jc w:val="center"/>
                    <w:rPr>
                      <w:kern w:val="0"/>
                      <w:sz w:val="21"/>
                      <w:szCs w:val="21"/>
                    </w:rPr>
                  </w:pPr>
                  <w:r>
                    <w:rPr>
                      <w:rFonts w:hint="eastAsia"/>
                      <w:kern w:val="0"/>
                      <w:sz w:val="21"/>
                      <w:szCs w:val="21"/>
                    </w:rPr>
                    <w:t>45</w:t>
                  </w:r>
                </w:p>
              </w:tc>
              <w:tc>
                <w:tcPr>
                  <w:tcW w:w="533" w:type="pct"/>
                  <w:vMerge w:val="continue"/>
                  <w:vAlign w:val="center"/>
                </w:tcPr>
                <w:p>
                  <w:pPr>
                    <w:topLinePunct/>
                    <w:adjustRightInd w:val="0"/>
                    <w:snapToGrid w:val="0"/>
                    <w:spacing w:line="240" w:lineRule="auto"/>
                    <w:jc w:val="center"/>
                    <w:rPr>
                      <w:kern w:val="0"/>
                      <w:sz w:val="21"/>
                      <w:szCs w:val="21"/>
                    </w:rPr>
                  </w:pPr>
                </w:p>
              </w:tc>
              <w:tc>
                <w:tcPr>
                  <w:tcW w:w="534" w:type="pct"/>
                  <w:vMerge w:val="continue"/>
                  <w:vAlign w:val="center"/>
                </w:tcPr>
                <w:p>
                  <w:pPr>
                    <w:topLinePunct/>
                    <w:adjustRightInd w:val="0"/>
                    <w:snapToGrid w:val="0"/>
                    <w:spacing w:line="240" w:lineRule="auto"/>
                    <w:jc w:val="center"/>
                    <w:rPr>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347" w:type="pct"/>
                  <w:vAlign w:val="center"/>
                </w:tcPr>
                <w:p>
                  <w:pPr>
                    <w:topLinePunct/>
                    <w:adjustRightInd w:val="0"/>
                    <w:snapToGrid w:val="0"/>
                    <w:spacing w:line="240" w:lineRule="auto"/>
                    <w:jc w:val="center"/>
                    <w:rPr>
                      <w:sz w:val="21"/>
                      <w:szCs w:val="21"/>
                    </w:rPr>
                  </w:pPr>
                  <w:r>
                    <w:rPr>
                      <w:sz w:val="21"/>
                      <w:szCs w:val="21"/>
                    </w:rPr>
                    <w:t>N</w:t>
                  </w:r>
                  <w:r>
                    <w:rPr>
                      <w:rFonts w:hint="eastAsia"/>
                      <w:sz w:val="21"/>
                      <w:szCs w:val="21"/>
                    </w:rPr>
                    <w:t>3</w:t>
                  </w:r>
                  <w:r>
                    <w:rPr>
                      <w:sz w:val="21"/>
                      <w:szCs w:val="21"/>
                    </w:rPr>
                    <w:t>厂界南面1米处</w:t>
                  </w:r>
                </w:p>
              </w:tc>
              <w:tc>
                <w:tcPr>
                  <w:tcW w:w="861" w:type="pct"/>
                  <w:vMerge w:val="continue"/>
                  <w:vAlign w:val="center"/>
                </w:tcPr>
                <w:p>
                  <w:pPr>
                    <w:topLinePunct/>
                    <w:adjustRightInd w:val="0"/>
                    <w:snapToGrid w:val="0"/>
                    <w:spacing w:line="240" w:lineRule="auto"/>
                    <w:jc w:val="center"/>
                    <w:rPr>
                      <w:sz w:val="21"/>
                      <w:szCs w:val="21"/>
                    </w:rPr>
                  </w:pPr>
                </w:p>
              </w:tc>
              <w:tc>
                <w:tcPr>
                  <w:tcW w:w="1188" w:type="pct"/>
                  <w:vAlign w:val="center"/>
                </w:tcPr>
                <w:p>
                  <w:pPr>
                    <w:topLinePunct/>
                    <w:adjustRightInd w:val="0"/>
                    <w:snapToGrid w:val="0"/>
                    <w:spacing w:line="240" w:lineRule="auto"/>
                    <w:jc w:val="center"/>
                    <w:rPr>
                      <w:kern w:val="0"/>
                      <w:sz w:val="21"/>
                      <w:szCs w:val="21"/>
                    </w:rPr>
                  </w:pPr>
                  <w:r>
                    <w:rPr>
                      <w:rFonts w:hint="eastAsia"/>
                      <w:kern w:val="0"/>
                      <w:sz w:val="21"/>
                      <w:szCs w:val="21"/>
                    </w:rPr>
                    <w:t>59</w:t>
                  </w:r>
                </w:p>
              </w:tc>
              <w:tc>
                <w:tcPr>
                  <w:tcW w:w="535" w:type="pct"/>
                  <w:vAlign w:val="center"/>
                </w:tcPr>
                <w:p>
                  <w:pPr>
                    <w:topLinePunct/>
                    <w:adjustRightInd w:val="0"/>
                    <w:snapToGrid w:val="0"/>
                    <w:spacing w:line="240" w:lineRule="auto"/>
                    <w:jc w:val="center"/>
                    <w:rPr>
                      <w:kern w:val="0"/>
                      <w:sz w:val="21"/>
                      <w:szCs w:val="21"/>
                    </w:rPr>
                  </w:pPr>
                  <w:r>
                    <w:rPr>
                      <w:rFonts w:hint="eastAsia"/>
                      <w:kern w:val="0"/>
                      <w:sz w:val="21"/>
                      <w:szCs w:val="21"/>
                    </w:rPr>
                    <w:t>47</w:t>
                  </w:r>
                </w:p>
              </w:tc>
              <w:tc>
                <w:tcPr>
                  <w:tcW w:w="533" w:type="pct"/>
                  <w:vAlign w:val="center"/>
                </w:tcPr>
                <w:p>
                  <w:pPr>
                    <w:topLinePunct/>
                    <w:adjustRightInd w:val="0"/>
                    <w:snapToGrid w:val="0"/>
                    <w:spacing w:line="240" w:lineRule="auto"/>
                    <w:jc w:val="center"/>
                    <w:rPr>
                      <w:kern w:val="0"/>
                      <w:sz w:val="21"/>
                      <w:szCs w:val="21"/>
                    </w:rPr>
                  </w:pPr>
                  <w:r>
                    <w:rPr>
                      <w:kern w:val="0"/>
                      <w:sz w:val="21"/>
                      <w:szCs w:val="21"/>
                    </w:rPr>
                    <w:t>70</w:t>
                  </w:r>
                </w:p>
              </w:tc>
              <w:tc>
                <w:tcPr>
                  <w:tcW w:w="534" w:type="pct"/>
                  <w:vAlign w:val="center"/>
                </w:tcPr>
                <w:p>
                  <w:pPr>
                    <w:topLinePunct/>
                    <w:adjustRightInd w:val="0"/>
                    <w:snapToGrid w:val="0"/>
                    <w:spacing w:line="240" w:lineRule="auto"/>
                    <w:jc w:val="center"/>
                    <w:rPr>
                      <w:kern w:val="0"/>
                      <w:sz w:val="21"/>
                      <w:szCs w:val="21"/>
                    </w:rPr>
                  </w:pPr>
                  <w:r>
                    <w:rPr>
                      <w:rFonts w:hint="eastAsia"/>
                      <w:kern w:val="0"/>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347" w:type="pct"/>
                  <w:vAlign w:val="center"/>
                </w:tcPr>
                <w:p>
                  <w:pPr>
                    <w:topLinePunct/>
                    <w:adjustRightInd w:val="0"/>
                    <w:snapToGrid w:val="0"/>
                    <w:spacing w:line="240" w:lineRule="auto"/>
                    <w:jc w:val="center"/>
                    <w:rPr>
                      <w:sz w:val="21"/>
                      <w:szCs w:val="21"/>
                    </w:rPr>
                  </w:pPr>
                  <w:r>
                    <w:rPr>
                      <w:sz w:val="21"/>
                      <w:szCs w:val="21"/>
                    </w:rPr>
                    <w:t>N5</w:t>
                  </w:r>
                  <w:r>
                    <w:rPr>
                      <w:rFonts w:hint="eastAsia"/>
                      <w:sz w:val="21"/>
                      <w:szCs w:val="21"/>
                    </w:rPr>
                    <w:t>南面边界处20米沙堆村居民点</w:t>
                  </w:r>
                </w:p>
              </w:tc>
              <w:tc>
                <w:tcPr>
                  <w:tcW w:w="861" w:type="pct"/>
                  <w:vMerge w:val="continue"/>
                  <w:vAlign w:val="center"/>
                </w:tcPr>
                <w:p>
                  <w:pPr>
                    <w:topLinePunct/>
                    <w:adjustRightInd w:val="0"/>
                    <w:snapToGrid w:val="0"/>
                    <w:spacing w:line="240" w:lineRule="auto"/>
                    <w:jc w:val="center"/>
                    <w:rPr>
                      <w:sz w:val="21"/>
                      <w:szCs w:val="21"/>
                    </w:rPr>
                  </w:pPr>
                </w:p>
              </w:tc>
              <w:tc>
                <w:tcPr>
                  <w:tcW w:w="1188" w:type="pct"/>
                  <w:vAlign w:val="center"/>
                </w:tcPr>
                <w:p>
                  <w:pPr>
                    <w:topLinePunct/>
                    <w:adjustRightInd w:val="0"/>
                    <w:snapToGrid w:val="0"/>
                    <w:spacing w:line="240" w:lineRule="auto"/>
                    <w:jc w:val="center"/>
                    <w:rPr>
                      <w:kern w:val="0"/>
                      <w:sz w:val="21"/>
                      <w:szCs w:val="21"/>
                    </w:rPr>
                  </w:pPr>
                  <w:r>
                    <w:rPr>
                      <w:rFonts w:hint="eastAsia"/>
                      <w:kern w:val="0"/>
                      <w:sz w:val="21"/>
                      <w:szCs w:val="21"/>
                    </w:rPr>
                    <w:t>58</w:t>
                  </w:r>
                </w:p>
              </w:tc>
              <w:tc>
                <w:tcPr>
                  <w:tcW w:w="535" w:type="pct"/>
                  <w:vAlign w:val="center"/>
                </w:tcPr>
                <w:p>
                  <w:pPr>
                    <w:topLinePunct/>
                    <w:adjustRightInd w:val="0"/>
                    <w:snapToGrid w:val="0"/>
                    <w:spacing w:line="240" w:lineRule="auto"/>
                    <w:jc w:val="center"/>
                    <w:rPr>
                      <w:kern w:val="0"/>
                      <w:sz w:val="21"/>
                      <w:szCs w:val="21"/>
                    </w:rPr>
                  </w:pPr>
                  <w:r>
                    <w:rPr>
                      <w:rFonts w:hint="eastAsia"/>
                      <w:kern w:val="0"/>
                      <w:sz w:val="21"/>
                      <w:szCs w:val="21"/>
                    </w:rPr>
                    <w:t>46</w:t>
                  </w:r>
                </w:p>
              </w:tc>
              <w:tc>
                <w:tcPr>
                  <w:tcW w:w="533" w:type="pct"/>
                  <w:vAlign w:val="center"/>
                </w:tcPr>
                <w:p>
                  <w:pPr>
                    <w:topLinePunct/>
                    <w:adjustRightInd w:val="0"/>
                    <w:snapToGrid w:val="0"/>
                    <w:spacing w:line="240" w:lineRule="auto"/>
                    <w:jc w:val="center"/>
                    <w:rPr>
                      <w:kern w:val="0"/>
                      <w:sz w:val="21"/>
                      <w:szCs w:val="21"/>
                    </w:rPr>
                  </w:pPr>
                  <w:r>
                    <w:rPr>
                      <w:rFonts w:hint="eastAsia"/>
                      <w:kern w:val="0"/>
                      <w:sz w:val="21"/>
                      <w:szCs w:val="21"/>
                    </w:rPr>
                    <w:t>70</w:t>
                  </w:r>
                </w:p>
              </w:tc>
              <w:tc>
                <w:tcPr>
                  <w:tcW w:w="534" w:type="pct"/>
                  <w:vAlign w:val="center"/>
                </w:tcPr>
                <w:p>
                  <w:pPr>
                    <w:topLinePunct/>
                    <w:adjustRightInd w:val="0"/>
                    <w:snapToGrid w:val="0"/>
                    <w:spacing w:line="240" w:lineRule="auto"/>
                    <w:jc w:val="center"/>
                    <w:rPr>
                      <w:kern w:val="0"/>
                      <w:sz w:val="21"/>
                      <w:szCs w:val="21"/>
                    </w:rPr>
                  </w:pPr>
                  <w:r>
                    <w:rPr>
                      <w:rFonts w:hint="eastAsia"/>
                      <w:kern w:val="0"/>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347" w:type="pct"/>
                  <w:vAlign w:val="center"/>
                </w:tcPr>
                <w:p>
                  <w:pPr>
                    <w:topLinePunct/>
                    <w:adjustRightInd w:val="0"/>
                    <w:snapToGrid w:val="0"/>
                    <w:spacing w:line="240" w:lineRule="auto"/>
                    <w:jc w:val="center"/>
                    <w:rPr>
                      <w:sz w:val="21"/>
                      <w:szCs w:val="21"/>
                    </w:rPr>
                  </w:pPr>
                  <w:r>
                    <w:rPr>
                      <w:sz w:val="21"/>
                      <w:szCs w:val="21"/>
                    </w:rPr>
                    <w:t>N6</w:t>
                  </w:r>
                  <w:r>
                    <w:rPr>
                      <w:rFonts w:hint="eastAsia"/>
                      <w:sz w:val="21"/>
                      <w:szCs w:val="21"/>
                    </w:rPr>
                    <w:t>东面边界处20米沙堆村居民点</w:t>
                  </w:r>
                </w:p>
              </w:tc>
              <w:tc>
                <w:tcPr>
                  <w:tcW w:w="861" w:type="pct"/>
                  <w:vMerge w:val="continue"/>
                  <w:vAlign w:val="center"/>
                </w:tcPr>
                <w:p>
                  <w:pPr>
                    <w:topLinePunct/>
                    <w:adjustRightInd w:val="0"/>
                    <w:snapToGrid w:val="0"/>
                    <w:spacing w:line="240" w:lineRule="auto"/>
                    <w:jc w:val="center"/>
                    <w:rPr>
                      <w:sz w:val="21"/>
                      <w:szCs w:val="21"/>
                    </w:rPr>
                  </w:pPr>
                </w:p>
              </w:tc>
              <w:tc>
                <w:tcPr>
                  <w:tcW w:w="1188" w:type="pct"/>
                  <w:vAlign w:val="center"/>
                </w:tcPr>
                <w:p>
                  <w:pPr>
                    <w:topLinePunct/>
                    <w:adjustRightInd w:val="0"/>
                    <w:snapToGrid w:val="0"/>
                    <w:spacing w:line="240" w:lineRule="auto"/>
                    <w:jc w:val="center"/>
                    <w:rPr>
                      <w:kern w:val="0"/>
                      <w:sz w:val="21"/>
                      <w:szCs w:val="21"/>
                    </w:rPr>
                  </w:pPr>
                  <w:r>
                    <w:rPr>
                      <w:rFonts w:hint="eastAsia"/>
                      <w:kern w:val="0"/>
                      <w:sz w:val="21"/>
                      <w:szCs w:val="21"/>
                    </w:rPr>
                    <w:t>51</w:t>
                  </w:r>
                </w:p>
              </w:tc>
              <w:tc>
                <w:tcPr>
                  <w:tcW w:w="535" w:type="pct"/>
                  <w:vAlign w:val="center"/>
                </w:tcPr>
                <w:p>
                  <w:pPr>
                    <w:topLinePunct/>
                    <w:adjustRightInd w:val="0"/>
                    <w:snapToGrid w:val="0"/>
                    <w:spacing w:line="240" w:lineRule="auto"/>
                    <w:jc w:val="center"/>
                    <w:rPr>
                      <w:kern w:val="0"/>
                      <w:sz w:val="21"/>
                      <w:szCs w:val="21"/>
                    </w:rPr>
                  </w:pPr>
                  <w:r>
                    <w:rPr>
                      <w:rFonts w:hint="eastAsia"/>
                      <w:kern w:val="0"/>
                      <w:sz w:val="21"/>
                      <w:szCs w:val="21"/>
                    </w:rPr>
                    <w:t>44</w:t>
                  </w:r>
                </w:p>
              </w:tc>
              <w:tc>
                <w:tcPr>
                  <w:tcW w:w="533" w:type="pct"/>
                  <w:vAlign w:val="center"/>
                </w:tcPr>
                <w:p>
                  <w:pPr>
                    <w:topLinePunct/>
                    <w:adjustRightInd w:val="0"/>
                    <w:snapToGrid w:val="0"/>
                    <w:spacing w:line="240" w:lineRule="auto"/>
                    <w:jc w:val="center"/>
                    <w:rPr>
                      <w:kern w:val="0"/>
                      <w:sz w:val="21"/>
                      <w:szCs w:val="21"/>
                    </w:rPr>
                  </w:pPr>
                  <w:r>
                    <w:rPr>
                      <w:rFonts w:hint="eastAsia"/>
                      <w:kern w:val="0"/>
                      <w:sz w:val="21"/>
                      <w:szCs w:val="21"/>
                    </w:rPr>
                    <w:t>60</w:t>
                  </w:r>
                </w:p>
              </w:tc>
              <w:tc>
                <w:tcPr>
                  <w:tcW w:w="534" w:type="pct"/>
                  <w:vAlign w:val="center"/>
                </w:tcPr>
                <w:p>
                  <w:pPr>
                    <w:topLinePunct/>
                    <w:adjustRightInd w:val="0"/>
                    <w:snapToGrid w:val="0"/>
                    <w:spacing w:line="240" w:lineRule="auto"/>
                    <w:jc w:val="center"/>
                    <w:rPr>
                      <w:kern w:val="0"/>
                      <w:sz w:val="21"/>
                      <w:szCs w:val="21"/>
                    </w:rPr>
                  </w:pPr>
                  <w:r>
                    <w:rPr>
                      <w:rFonts w:hint="eastAsia"/>
                      <w:kern w:val="0"/>
                      <w:sz w:val="21"/>
                      <w:szCs w:val="21"/>
                    </w:rPr>
                    <w:t>50</w:t>
                  </w:r>
                </w:p>
              </w:tc>
            </w:tr>
          </w:tbl>
          <w:p>
            <w:pPr>
              <w:pStyle w:val="30"/>
              <w:numPr>
                <w:ilvl w:val="1"/>
                <w:numId w:val="0"/>
              </w:numPr>
              <w:ind w:firstLine="480" w:firstLineChars="200"/>
            </w:pPr>
            <w:r>
              <w:rPr>
                <w:b w:val="0"/>
                <w:bCs/>
              </w:rPr>
              <w:t>根据上表结果分析表明项目厂界北面、东面、西面监测点均可以满足《声环境质量标准》（GB3096-2008）</w:t>
            </w:r>
            <w:r>
              <w:rPr>
                <w:rFonts w:hint="eastAsia"/>
                <w:b w:val="0"/>
                <w:bCs/>
              </w:rPr>
              <w:t>2</w:t>
            </w:r>
            <w:r>
              <w:rPr>
                <w:b w:val="0"/>
                <w:bCs/>
              </w:rPr>
              <w:t>类标准要求，南面监测点可以满足《声环境质量标准》（GB3096-2008）4a类标准要求，敏感点监测点可以满足《声环境质量标准》（GB3096-2008）2类</w:t>
            </w:r>
            <w:r>
              <w:rPr>
                <w:rFonts w:hint="eastAsia"/>
                <w:b w:val="0"/>
                <w:bCs/>
              </w:rPr>
              <w:t>及4a类</w:t>
            </w:r>
            <w:r>
              <w:rPr>
                <w:b w:val="0"/>
                <w:bCs/>
              </w:rPr>
              <w:t>标准要求。</w:t>
            </w:r>
          </w:p>
          <w:p>
            <w:pPr>
              <w:pStyle w:val="30"/>
              <w:numPr>
                <w:ilvl w:val="1"/>
                <w:numId w:val="0"/>
              </w:numPr>
              <w:ind w:left="284"/>
            </w:pPr>
            <w:r>
              <w:t>3.4地下水、土壤环境</w:t>
            </w:r>
            <w:bookmarkEnd w:id="50"/>
          </w:p>
          <w:p>
            <w:pPr>
              <w:adjustRightInd w:val="0"/>
              <w:snapToGrid w:val="0"/>
              <w:ind w:firstLine="480" w:firstLineChars="200"/>
              <w:outlineLvl w:val="2"/>
              <w:rPr>
                <w:color w:val="0000FF"/>
              </w:rPr>
            </w:pPr>
            <w:r>
              <w:t>根据《建设项目环境影响报告表编制技术指南（污染影响类）（试行）》中提到的“原则上不开展环境质量现状调查。建设项目存在土壤、地下水环境污染途径的，应结合污染源、保护目标分布情况开展现状调查以留作背景值”。本项目</w:t>
            </w:r>
            <w:r>
              <w:rPr>
                <w:rFonts w:hint="eastAsia"/>
              </w:rPr>
              <w:t>利用鹅卵石加工砂石料，</w:t>
            </w:r>
            <w:r>
              <w:t>项目较简单，</w:t>
            </w:r>
            <w:r>
              <w:rPr>
                <w:bCs/>
              </w:rPr>
              <w:t>厂区地面进行硬化，</w:t>
            </w:r>
            <w:r>
              <w:t>不涉及土壤、地下水环境的污染途径，故可不开展现状调查。</w:t>
            </w:r>
          </w:p>
          <w:p>
            <w:pPr>
              <w:pStyle w:val="30"/>
              <w:numPr>
                <w:ilvl w:val="1"/>
                <w:numId w:val="0"/>
              </w:numPr>
              <w:ind w:left="284"/>
              <w:outlineLvl w:val="2"/>
            </w:pPr>
            <w:bookmarkStart w:id="51" w:name="_Toc13188"/>
            <w:r>
              <w:t>3.5生态环境现状</w:t>
            </w:r>
          </w:p>
          <w:p>
            <w:pPr>
              <w:pStyle w:val="30"/>
              <w:numPr>
                <w:ilvl w:val="1"/>
                <w:numId w:val="0"/>
              </w:numPr>
              <w:ind w:left="0" w:firstLine="480" w:firstLineChars="200"/>
              <w:outlineLvl w:val="2"/>
              <w:rPr>
                <w:rFonts w:hint="eastAsia"/>
                <w:lang w:val="en-US" w:eastAsia="zh-CN"/>
              </w:rPr>
            </w:pPr>
            <w:r>
              <w:rPr>
                <w:rFonts w:ascii="Times New Roman" w:hAnsi="Times New Roman" w:eastAsia="宋体" w:cs="Times New Roman"/>
                <w:b w:val="0"/>
                <w:bCs w:val="0"/>
                <w:kern w:val="2"/>
                <w:sz w:val="24"/>
              </w:rPr>
              <w:t>根据《建设项目环境影响报告表编制技术指南(试行)》(污染影响类)，“产业园区外建设项目新增用地且用地范围内含有生态环境保护目标时，应进行生态现状调查”。本项目位于</w:t>
            </w:r>
            <w:r>
              <w:rPr>
                <w:rFonts w:ascii="Times New Roman" w:hAnsi="Times New Roman" w:eastAsia="宋体" w:cs="Times New Roman"/>
                <w:b w:val="0"/>
                <w:bCs w:val="0"/>
                <w:sz w:val="24"/>
              </w:rPr>
              <w:t>湖南省</w:t>
            </w:r>
            <w:r>
              <w:rPr>
                <w:rFonts w:ascii="Times New Roman" w:hAnsi="Times New Roman" w:eastAsia="宋体" w:cs="Times New Roman"/>
                <w:b w:val="0"/>
                <w:bCs w:val="0"/>
                <w:sz w:val="24"/>
                <w:szCs w:val="24"/>
              </w:rPr>
              <w:t>怀化市</w:t>
            </w:r>
            <w:r>
              <w:rPr>
                <w:rFonts w:hint="eastAsia"/>
                <w:b w:val="0"/>
                <w:bCs/>
              </w:rPr>
              <w:t>辰溪县火马冲镇沙堆村</w:t>
            </w:r>
            <w:r>
              <w:rPr>
                <w:rFonts w:ascii="Times New Roman" w:hAnsi="Times New Roman" w:eastAsia="宋体" w:cs="Times New Roman"/>
                <w:b w:val="0"/>
                <w:bCs w:val="0"/>
                <w:kern w:val="2"/>
                <w:sz w:val="24"/>
              </w:rPr>
              <w:t>，</w:t>
            </w:r>
            <w:r>
              <w:rPr>
                <w:rFonts w:hint="default" w:ascii="Times New Roman" w:hAnsi="Times New Roman" w:eastAsia="宋体" w:cs="Times New Roman"/>
                <w:b w:val="0"/>
                <w:bCs w:val="0"/>
                <w:kern w:val="2"/>
                <w:sz w:val="24"/>
              </w:rPr>
              <w:t>用地范围内</w:t>
            </w:r>
            <w:r>
              <w:rPr>
                <w:rFonts w:hint="eastAsia" w:cs="Times New Roman"/>
                <w:b w:val="0"/>
                <w:bCs w:val="0"/>
                <w:kern w:val="2"/>
                <w:sz w:val="24"/>
                <w:lang w:val="en-US" w:eastAsia="zh-CN"/>
              </w:rPr>
              <w:t>无</w:t>
            </w:r>
            <w:r>
              <w:rPr>
                <w:rFonts w:hint="default" w:ascii="Times New Roman" w:hAnsi="Times New Roman" w:eastAsia="宋体" w:cs="Times New Roman"/>
                <w:b w:val="0"/>
                <w:bCs w:val="0"/>
                <w:kern w:val="2"/>
                <w:sz w:val="24"/>
              </w:rPr>
              <w:t>生态环境保护目标，</w:t>
            </w:r>
            <w:r>
              <w:rPr>
                <w:rFonts w:ascii="Times New Roman" w:hAnsi="Times New Roman" w:eastAsia="宋体" w:cs="Times New Roman"/>
                <w:b w:val="0"/>
                <w:bCs w:val="0"/>
                <w:kern w:val="2"/>
                <w:sz w:val="24"/>
              </w:rPr>
              <w:t>故不开展生态现状调查。</w:t>
            </w:r>
          </w:p>
          <w:p>
            <w:pPr>
              <w:pStyle w:val="30"/>
              <w:numPr>
                <w:ilvl w:val="1"/>
                <w:numId w:val="0"/>
              </w:numPr>
              <w:ind w:left="284"/>
              <w:outlineLvl w:val="2"/>
              <w:rPr>
                <w:u w:val="single"/>
              </w:rPr>
            </w:pPr>
            <w:r>
              <w:rPr>
                <w:rFonts w:hint="eastAsia"/>
                <w:u w:val="single"/>
                <w:lang w:val="en-US" w:eastAsia="zh-CN"/>
              </w:rPr>
              <w:t>3.6</w:t>
            </w:r>
            <w:bookmarkEnd w:id="51"/>
            <w:r>
              <w:rPr>
                <w:rFonts w:hint="eastAsia"/>
                <w:u w:val="single"/>
                <w:lang w:eastAsia="zh-CN"/>
              </w:rPr>
              <w:t>项目周边敏感区调查</w:t>
            </w:r>
          </w:p>
          <w:p>
            <w:pPr>
              <w:widowControl/>
              <w:numPr>
                <w:ilvl w:val="-1"/>
                <w:numId w:val="0"/>
              </w:numPr>
              <w:ind w:firstLine="480" w:firstLineChars="200"/>
              <w:rPr>
                <w:rFonts w:hint="default" w:eastAsia="宋体"/>
                <w:bCs/>
                <w:u w:val="single"/>
                <w:lang w:val="en-US" w:eastAsia="zh-CN"/>
              </w:rPr>
            </w:pPr>
            <w:r>
              <w:rPr>
                <w:rFonts w:hint="eastAsia"/>
                <w:bCs/>
                <w:u w:val="single"/>
              </w:rPr>
              <w:t>根据</w:t>
            </w:r>
            <w:r>
              <w:rPr>
                <w:bCs/>
                <w:u w:val="single"/>
              </w:rPr>
              <w:t>现场调查，</w:t>
            </w:r>
            <w:r>
              <w:rPr>
                <w:rFonts w:hint="default" w:ascii="Times New Roman" w:hAnsi="Times New Roman" w:eastAsia="宋体" w:cs="Times New Roman"/>
                <w:sz w:val="24"/>
                <w:szCs w:val="24"/>
                <w:u w:val="single"/>
              </w:rPr>
              <w:t>沅水辰溪段鲌类黄颡鱼国家级水产种质资源保护区</w:t>
            </w:r>
            <w:r>
              <w:rPr>
                <w:rFonts w:hint="eastAsia" w:cs="Times New Roman"/>
                <w:sz w:val="24"/>
                <w:szCs w:val="24"/>
                <w:u w:val="single"/>
                <w:lang w:eastAsia="zh-CN"/>
              </w:rPr>
              <w:t>核心区及</w:t>
            </w:r>
            <w:r>
              <w:rPr>
                <w:rFonts w:hint="eastAsia" w:ascii="宋体" w:hAnsi="宋体" w:eastAsia="宋体" w:cs="Times New Roman"/>
                <w:kern w:val="2"/>
                <w:sz w:val="24"/>
                <w:szCs w:val="24"/>
                <w:u w:val="single"/>
                <w:lang w:val="en-US" w:eastAsia="zh-CN" w:bidi="ar-SA"/>
              </w:rPr>
              <w:t>沅水特有鱼类国家级水产种质资源保护区实验区</w:t>
            </w:r>
            <w:r>
              <w:rPr>
                <w:rFonts w:hint="default" w:cs="Times New Roman"/>
                <w:sz w:val="24"/>
                <w:szCs w:val="24"/>
                <w:u w:val="single"/>
                <w:lang w:eastAsia="zh-CN"/>
              </w:rPr>
              <w:t>距项目地北面</w:t>
            </w:r>
            <w:r>
              <w:rPr>
                <w:rFonts w:hint="default" w:cs="Times New Roman"/>
                <w:sz w:val="24"/>
                <w:szCs w:val="24"/>
                <w:u w:val="single"/>
                <w:lang w:val="en-US" w:eastAsia="zh-CN"/>
              </w:rPr>
              <w:t>1m</w:t>
            </w:r>
            <w:r>
              <w:rPr>
                <w:rFonts w:hint="eastAsia"/>
                <w:u w:val="single"/>
                <w:lang w:eastAsia="zh-CN"/>
              </w:rPr>
              <w:t>。</w:t>
            </w:r>
            <w:r>
              <w:rPr>
                <w:rFonts w:hint="eastAsia"/>
                <w:u w:val="single"/>
                <w:lang w:val="en-US" w:eastAsia="zh-CN"/>
              </w:rPr>
              <w:t xml:space="preserve">    </w:t>
            </w:r>
          </w:p>
          <w:p>
            <w:pPr>
              <w:widowControl/>
              <w:numPr>
                <w:ilvl w:val="0"/>
                <w:numId w:val="6"/>
              </w:numPr>
              <w:ind w:firstLine="480" w:firstLineChars="200"/>
              <w:rPr>
                <w:rFonts w:hint="eastAsia" w:ascii="宋体" w:hAnsi="宋体" w:cs="宋体"/>
                <w:color w:val="000000"/>
                <w:kern w:val="0"/>
                <w:u w:val="single"/>
                <w:lang w:eastAsia="zh-CN" w:bidi="ar"/>
              </w:rPr>
            </w:pPr>
            <w:r>
              <w:rPr>
                <w:rFonts w:hint="eastAsia" w:ascii="宋体" w:hAnsi="宋体" w:cs="宋体"/>
                <w:color w:val="000000"/>
                <w:kern w:val="0"/>
                <w:u w:val="single"/>
                <w:lang w:bidi="ar"/>
              </w:rPr>
              <w:t>沅水辰溪段鮊类黄颡鱼国家级水产种质资源保护区</w:t>
            </w:r>
            <w:r>
              <w:rPr>
                <w:rFonts w:hint="eastAsia" w:ascii="宋体" w:hAnsi="宋体" w:cs="宋体"/>
                <w:color w:val="000000"/>
                <w:kern w:val="0"/>
                <w:u w:val="single"/>
                <w:lang w:eastAsia="zh-CN" w:bidi="ar"/>
              </w:rPr>
              <w:t>：</w:t>
            </w:r>
          </w:p>
          <w:p>
            <w:pPr>
              <w:widowControl/>
              <w:numPr>
                <w:ilvl w:val="-1"/>
                <w:numId w:val="0"/>
              </w:numPr>
              <w:ind w:firstLine="480" w:firstLineChars="200"/>
              <w:rPr>
                <w:u w:val="single"/>
              </w:rPr>
            </w:pPr>
            <w:r>
              <w:rPr>
                <w:rFonts w:hint="eastAsia"/>
                <w:u w:val="single"/>
              </w:rPr>
              <w:t>“</w:t>
            </w:r>
            <w:r>
              <w:rPr>
                <w:rFonts w:hint="eastAsia" w:ascii="宋体" w:hAnsi="宋体" w:cs="宋体"/>
                <w:color w:val="000000"/>
                <w:kern w:val="0"/>
                <w:u w:val="single"/>
                <w:lang w:bidi="ar"/>
              </w:rPr>
              <w:t>沅水辰溪段鮊类黄颡鱼国家级水产种质资源保护区</w:t>
            </w:r>
            <w:r>
              <w:rPr>
                <w:rFonts w:hint="eastAsia"/>
                <w:u w:val="single"/>
              </w:rPr>
              <w:t>”</w:t>
            </w:r>
            <w:r>
              <w:rPr>
                <w:rFonts w:hint="eastAsia" w:ascii="宋体" w:hAnsi="宋体" w:cs="宋体"/>
                <w:color w:val="000000"/>
                <w:kern w:val="0"/>
                <w:u w:val="single"/>
                <w:lang w:bidi="ar"/>
              </w:rPr>
              <w:t>是</w:t>
            </w:r>
            <w:r>
              <w:rPr>
                <w:color w:val="000000"/>
                <w:kern w:val="0"/>
                <w:u w:val="single"/>
                <w:lang w:bidi="ar"/>
              </w:rPr>
              <w:t>2011</w:t>
            </w:r>
            <w:r>
              <w:rPr>
                <w:rFonts w:hint="eastAsia" w:ascii="宋体" w:hAnsi="宋体" w:cs="宋体"/>
                <w:color w:val="000000"/>
                <w:kern w:val="0"/>
                <w:u w:val="single"/>
                <w:lang w:bidi="ar"/>
              </w:rPr>
              <w:t>年农业部第</w:t>
            </w:r>
            <w:r>
              <w:rPr>
                <w:color w:val="000000"/>
                <w:kern w:val="0"/>
                <w:u w:val="single"/>
                <w:lang w:bidi="ar"/>
              </w:rPr>
              <w:t>1684</w:t>
            </w:r>
            <w:r>
              <w:rPr>
                <w:rFonts w:hint="eastAsia" w:ascii="宋体" w:hAnsi="宋体" w:cs="宋体"/>
                <w:color w:val="000000"/>
                <w:kern w:val="0"/>
                <w:u w:val="single"/>
                <w:lang w:bidi="ar"/>
              </w:rPr>
              <w:t>号公告公布的第五批国家级水产种质资源保护区。</w:t>
            </w:r>
          </w:p>
          <w:p>
            <w:pPr>
              <w:widowControl/>
              <w:ind w:firstLine="480" w:firstLineChars="200"/>
              <w:rPr>
                <w:highlight w:val="none"/>
                <w:u w:val="single"/>
              </w:rPr>
            </w:pPr>
            <w:r>
              <w:rPr>
                <w:rFonts w:hint="eastAsia" w:ascii="Times New Roman" w:hAnsi="Times New Roman" w:eastAsia="宋体" w:cs="Times New Roman"/>
                <w:kern w:val="2"/>
                <w:sz w:val="24"/>
                <w:szCs w:val="24"/>
                <w:u w:val="single"/>
                <w:lang w:val="en-US" w:eastAsia="zh-CN" w:bidi="ar-SA"/>
              </w:rPr>
              <w:t>本项目临近</w:t>
            </w:r>
            <w:r>
              <w:rPr>
                <w:rFonts w:hint="eastAsia" w:ascii="宋体" w:hAnsi="宋体" w:cs="宋体"/>
                <w:color w:val="000000"/>
                <w:kern w:val="0"/>
                <w:u w:val="single"/>
                <w:lang w:bidi="ar"/>
              </w:rPr>
              <w:t>沅水辰溪段鮊类黄颡鱼国家级水产种质资源保护区</w:t>
            </w:r>
            <w:r>
              <w:rPr>
                <w:rFonts w:hint="eastAsia" w:ascii="Times New Roman" w:hAnsi="Times New Roman" w:eastAsia="宋体" w:cs="Times New Roman"/>
                <w:kern w:val="2"/>
                <w:sz w:val="24"/>
                <w:szCs w:val="24"/>
                <w:u w:val="single"/>
                <w:lang w:val="en-US" w:eastAsia="zh-CN" w:bidi="ar-SA"/>
              </w:rPr>
              <w:t>（核心区）江段，该保护区最近的“鱼类三场”位于本项目上游约4600m处。本项目与</w:t>
            </w:r>
            <w:r>
              <w:rPr>
                <w:rFonts w:hint="eastAsia" w:ascii="宋体" w:hAnsi="宋体" w:cs="宋体"/>
                <w:color w:val="000000"/>
                <w:kern w:val="0"/>
                <w:u w:val="single"/>
                <w:lang w:bidi="ar"/>
              </w:rPr>
              <w:t>沅水辰溪段鮊类黄颡鱼国家级水产种质资源保护区</w:t>
            </w:r>
            <w:r>
              <w:rPr>
                <w:rFonts w:hint="eastAsia" w:ascii="Times New Roman" w:hAnsi="Times New Roman" w:eastAsia="宋体" w:cs="Times New Roman"/>
                <w:kern w:val="2"/>
                <w:sz w:val="24"/>
                <w:szCs w:val="24"/>
                <w:u w:val="single"/>
                <w:lang w:val="en-US" w:eastAsia="zh-CN" w:bidi="ar-SA"/>
              </w:rPr>
              <w:t>的位置关系图见</w:t>
            </w:r>
            <w:r>
              <w:rPr>
                <w:rFonts w:hint="eastAsia" w:ascii="Times New Roman" w:hAnsi="Times New Roman" w:eastAsia="宋体" w:cs="Times New Roman"/>
                <w:kern w:val="2"/>
                <w:sz w:val="24"/>
                <w:szCs w:val="24"/>
                <w:highlight w:val="none"/>
                <w:u w:val="single"/>
                <w:lang w:val="en-US" w:eastAsia="zh-CN" w:bidi="ar-SA"/>
              </w:rPr>
              <w:t>附图7。</w:t>
            </w:r>
          </w:p>
          <w:p>
            <w:pPr>
              <w:widowControl/>
              <w:ind w:firstLine="480" w:firstLineChars="200"/>
              <w:rPr>
                <w:u w:val="single"/>
              </w:rPr>
            </w:pPr>
            <w:r>
              <w:rPr>
                <w:u w:val="single"/>
              </w:rPr>
              <w:t>1</w:t>
            </w:r>
            <w:r>
              <w:rPr>
                <w:rFonts w:hint="eastAsia"/>
                <w:u w:val="single"/>
              </w:rPr>
              <w:t>、保护区内鱼类区系组成</w:t>
            </w:r>
          </w:p>
          <w:p>
            <w:pPr>
              <w:widowControl/>
              <w:ind w:firstLine="480" w:firstLineChars="200"/>
              <w:rPr>
                <w:u w:val="single"/>
              </w:rPr>
            </w:pPr>
            <w:r>
              <w:rPr>
                <w:rFonts w:hint="eastAsia"/>
                <w:u w:val="single"/>
              </w:rPr>
              <w:t>现场调查在沅水辰溪段国家级水产种质资源保护区共发现鱼类</w:t>
            </w:r>
            <w:r>
              <w:rPr>
                <w:u w:val="single"/>
              </w:rPr>
              <w:t>38</w:t>
            </w:r>
            <w:r>
              <w:rPr>
                <w:rFonts w:hint="eastAsia"/>
                <w:u w:val="single"/>
              </w:rPr>
              <w:t>种，隶属于</w:t>
            </w:r>
            <w:r>
              <w:rPr>
                <w:u w:val="single"/>
              </w:rPr>
              <w:t>4</w:t>
            </w:r>
            <w:r>
              <w:rPr>
                <w:rFonts w:hint="eastAsia"/>
                <w:u w:val="single"/>
              </w:rPr>
              <w:t>目</w:t>
            </w:r>
            <w:r>
              <w:rPr>
                <w:u w:val="single"/>
              </w:rPr>
              <w:t>7</w:t>
            </w:r>
            <w:r>
              <w:rPr>
                <w:rFonts w:hint="eastAsia"/>
                <w:u w:val="single"/>
              </w:rPr>
              <w:t>科，其中鲤科</w:t>
            </w:r>
            <w:r>
              <w:rPr>
                <w:u w:val="single"/>
              </w:rPr>
              <w:t>27</w:t>
            </w:r>
            <w:r>
              <w:rPr>
                <w:rFonts w:hint="eastAsia"/>
                <w:u w:val="single"/>
              </w:rPr>
              <w:t>种，占总种数的</w:t>
            </w:r>
            <w:r>
              <w:rPr>
                <w:u w:val="single"/>
              </w:rPr>
              <w:t>71.1%</w:t>
            </w:r>
            <w:r>
              <w:rPr>
                <w:rFonts w:hint="eastAsia"/>
                <w:u w:val="single"/>
              </w:rPr>
              <w:t>，鮨科和鳅科分别为</w:t>
            </w:r>
            <w:r>
              <w:rPr>
                <w:u w:val="single"/>
              </w:rPr>
              <w:t>4</w:t>
            </w:r>
            <w:r>
              <w:rPr>
                <w:rFonts w:hint="eastAsia"/>
                <w:u w:val="single"/>
              </w:rPr>
              <w:t>种和</w:t>
            </w:r>
            <w:r>
              <w:rPr>
                <w:u w:val="single"/>
              </w:rPr>
              <w:t>3</w:t>
            </w:r>
            <w:r>
              <w:rPr>
                <w:rFonts w:hint="eastAsia"/>
                <w:u w:val="single"/>
              </w:rPr>
              <w:t>种，分别占</w:t>
            </w:r>
            <w:r>
              <w:rPr>
                <w:u w:val="single"/>
              </w:rPr>
              <w:t>10.5%</w:t>
            </w:r>
            <w:r>
              <w:rPr>
                <w:rFonts w:hint="eastAsia"/>
                <w:u w:val="single"/>
              </w:rPr>
              <w:t>和</w:t>
            </w:r>
            <w:r>
              <w:rPr>
                <w:u w:val="single"/>
              </w:rPr>
              <w:t>7.9%</w:t>
            </w:r>
            <w:r>
              <w:rPr>
                <w:rFonts w:hint="eastAsia"/>
                <w:u w:val="single"/>
              </w:rPr>
              <w:t>，鮠科</w:t>
            </w:r>
            <w:r>
              <w:rPr>
                <w:u w:val="single"/>
              </w:rPr>
              <w:t>2</w:t>
            </w:r>
            <w:r>
              <w:rPr>
                <w:rFonts w:hint="eastAsia"/>
                <w:u w:val="single"/>
              </w:rPr>
              <w:t>种，占</w:t>
            </w:r>
            <w:r>
              <w:rPr>
                <w:u w:val="single"/>
              </w:rPr>
              <w:t>5.3%</w:t>
            </w:r>
            <w:r>
              <w:rPr>
                <w:rFonts w:hint="eastAsia"/>
                <w:u w:val="single"/>
              </w:rPr>
              <w:t>，合鳃科和鲶科各</w:t>
            </w:r>
            <w:r>
              <w:rPr>
                <w:u w:val="single"/>
              </w:rPr>
              <w:t>1</w:t>
            </w:r>
            <w:r>
              <w:rPr>
                <w:rFonts w:hint="eastAsia"/>
                <w:u w:val="single"/>
              </w:rPr>
              <w:t>种，各占</w:t>
            </w:r>
            <w:r>
              <w:rPr>
                <w:u w:val="single"/>
              </w:rPr>
              <w:t>2.6%</w:t>
            </w:r>
            <w:r>
              <w:rPr>
                <w:rFonts w:hint="eastAsia"/>
                <w:u w:val="single"/>
              </w:rPr>
              <w:t>。</w:t>
            </w:r>
          </w:p>
          <w:p>
            <w:pPr>
              <w:widowControl/>
              <w:ind w:firstLine="480" w:firstLineChars="200"/>
              <w:rPr>
                <w:u w:val="single"/>
              </w:rPr>
            </w:pPr>
            <w:r>
              <w:rPr>
                <w:u w:val="single"/>
              </w:rPr>
              <w:t>⑴</w:t>
            </w:r>
            <w:r>
              <w:rPr>
                <w:rFonts w:hint="eastAsia"/>
                <w:u w:val="single"/>
              </w:rPr>
              <w:t>鱼类的产卵习性</w:t>
            </w:r>
          </w:p>
          <w:p>
            <w:pPr>
              <w:widowControl/>
              <w:ind w:firstLine="480" w:firstLineChars="200"/>
              <w:rPr>
                <w:u w:val="single"/>
              </w:rPr>
            </w:pPr>
            <w:r>
              <w:rPr>
                <w:rFonts w:hint="eastAsia"/>
                <w:u w:val="single"/>
              </w:rPr>
              <w:t>根据鱼类产卵繁殖生态习性的性质，调查江段的鱼类产卵类型有：①产漂流性卵：这类卵产出后即吸水膨胀，出现较大的卵间周隙，但比重仍大于水，可借助江河水流的翻滚，使卵悬浮在水层中不停漂流；在静止的水环境中，则将下沉于底部。也可将这一类称作半浮性卵。如青鱼、草鱼、鲢、鳙等。②产沉性卵：卵的比重大于水，卵间周隙小，产出后沉于水底。如中华花鳅等。③静水环境产粘性卵：卵的比重大于水，卵膜外层遇水后具粘性，产出后即粘附在水草上，不沉于水底。粘性卵的卵膜分三层，除卵周间隙和卵膜外，还有一层胶膜。如鲤、鲫、马口鱼、宽鳍鱲、麦穗鱼、䱗、沙塘鳢等。④产浮性卵：产浮性卵的鱼类受精卵卵黄上有一个大油球或较多油粒，受精卵比重小于水，卵产出后即漂浮在水面，随风向和水流而移动。包括鳜、斑鳜等。</w:t>
            </w:r>
          </w:p>
          <w:p>
            <w:pPr>
              <w:widowControl/>
              <w:ind w:firstLine="480" w:firstLineChars="200"/>
              <w:rPr>
                <w:u w:val="single"/>
              </w:rPr>
            </w:pPr>
            <w:r>
              <w:rPr>
                <w:rFonts w:hint="eastAsia"/>
                <w:u w:val="single"/>
              </w:rPr>
              <w:t>⑵鱼类的迁徙习性</w:t>
            </w:r>
          </w:p>
          <w:p>
            <w:pPr>
              <w:widowControl/>
              <w:ind w:firstLine="480" w:firstLineChars="200"/>
              <w:rPr>
                <w:u w:val="single"/>
              </w:rPr>
            </w:pPr>
            <w:r>
              <w:rPr>
                <w:rFonts w:hint="eastAsia"/>
                <w:u w:val="single"/>
              </w:rPr>
              <w:t>①江湖洄游型：江湖洄游鱼类是江湖中下游复合生态系统中较为常见的一种洄游类型。这些鱼主要在江河中的流水中产卵，受精卵随水流扩散进入下游洪泛平原水体中育肥，成熟亲鱼则再次进入江河中流水江段进行繁殖。典型的江湖洄游鱼类有草鱼、鲢、鳙等产漂流性卵的鱼类。洄游过程中，性腺逐渐达到成熟。②河道洄游型：河道洄游型鱼类的全部生活史的完成主要限于河流。基本不进入湖泊等附属水体。河道洄游型鱼类的洄游可以分为两个阶段，在早期生活史阶段，缺乏主动游泳能力的苗顺水而下；扩散至产卵场下游河段，待具备较强的游泳能力之后，则主动上溯到适宜江段繁殖。这些鱼类在江河流水江段的激流浅滩上产粘沉性卵，或在流水江段中产漂流性卵。③定居性鱼类：包括湖泊定居性鱼类和山溪定居性鱼类。能够在相对狭窄的水域内完成全部生活史。这些种类通常产粘、沉性卵，产卵时的水文条件要求不严格。不论在湖泊、水库、池塘还是河流，只要有流速较缓的水体，均适合定居性鱼类产卵。主要有鲤、鲫、鲇、黄颡鱼等。</w:t>
            </w:r>
          </w:p>
          <w:p>
            <w:pPr>
              <w:widowControl/>
              <w:ind w:firstLine="480" w:firstLineChars="200"/>
              <w:rPr>
                <w:u w:val="single"/>
              </w:rPr>
            </w:pPr>
            <w:r>
              <w:rPr>
                <w:u w:val="single"/>
              </w:rPr>
              <w:t>2</w:t>
            </w:r>
            <w:r>
              <w:rPr>
                <w:rFonts w:hint="eastAsia"/>
                <w:u w:val="single"/>
              </w:rPr>
              <w:t>、主要经济鱼类</w:t>
            </w:r>
            <w:r>
              <w:rPr>
                <w:u w:val="single"/>
              </w:rPr>
              <w:t>“</w:t>
            </w:r>
            <w:r>
              <w:rPr>
                <w:rFonts w:hint="eastAsia"/>
                <w:u w:val="single"/>
              </w:rPr>
              <w:t>三场</w:t>
            </w:r>
            <w:r>
              <w:rPr>
                <w:u w:val="single"/>
              </w:rPr>
              <w:t>”</w:t>
            </w:r>
            <w:r>
              <w:rPr>
                <w:rFonts w:hint="eastAsia"/>
                <w:u w:val="single"/>
              </w:rPr>
              <w:t>现状</w:t>
            </w:r>
          </w:p>
          <w:p>
            <w:pPr>
              <w:widowControl/>
              <w:ind w:firstLine="480" w:firstLineChars="200"/>
              <w:rPr>
                <w:u w:val="single"/>
              </w:rPr>
            </w:pPr>
            <w:r>
              <w:rPr>
                <w:u w:val="single"/>
              </w:rPr>
              <w:t>⑴</w:t>
            </w:r>
            <w:r>
              <w:rPr>
                <w:rFonts w:hint="eastAsia"/>
                <w:u w:val="single"/>
              </w:rPr>
              <w:t>产卵场和索饵场</w:t>
            </w:r>
          </w:p>
          <w:p>
            <w:pPr>
              <w:widowControl/>
              <w:ind w:firstLine="480" w:firstLineChars="200"/>
              <w:rPr>
                <w:u w:val="single"/>
              </w:rPr>
            </w:pPr>
            <w:r>
              <w:rPr>
                <w:rFonts w:hint="eastAsia"/>
                <w:u w:val="single"/>
              </w:rPr>
              <w:t>沅水辰溪段鲌类黄颡鱼国家级水产种质资源保护区内分布有</w:t>
            </w:r>
            <w:r>
              <w:rPr>
                <w:u w:val="single"/>
              </w:rPr>
              <w:t>5</w:t>
            </w:r>
            <w:r>
              <w:rPr>
                <w:rFonts w:hint="eastAsia"/>
                <w:u w:val="single"/>
              </w:rPr>
              <w:t>处主要经济鱼类的产卵场，总面积达</w:t>
            </w:r>
            <w:r>
              <w:rPr>
                <w:u w:val="single"/>
              </w:rPr>
              <w:t>529776m</w:t>
            </w:r>
            <w:r>
              <w:rPr>
                <w:u w:val="single"/>
                <w:vertAlign w:val="superscript"/>
              </w:rPr>
              <w:t>2</w:t>
            </w:r>
            <w:r>
              <w:rPr>
                <w:rFonts w:hint="eastAsia"/>
                <w:u w:val="single"/>
              </w:rPr>
              <w:t>，占保护区水域总面积的</w:t>
            </w:r>
            <w:r>
              <w:rPr>
                <w:u w:val="single"/>
              </w:rPr>
              <w:t>1.17%</w:t>
            </w:r>
            <w:r>
              <w:rPr>
                <w:rFonts w:hint="eastAsia"/>
                <w:u w:val="single"/>
              </w:rPr>
              <w:t>，索饵场和产卵场无明显界限。其中，鲤、鲫、黄颡鱼、鲂和鲶属静水产粘性卵鱼类，鳜属静水或微流水中产漂浮性卵鱼类，鱤属流水中产漂浮性卵鱼类，鳊、鲌类属微流水产微粘性卵鱼类。</w:t>
            </w:r>
          </w:p>
          <w:p>
            <w:pPr>
              <w:widowControl/>
              <w:ind w:firstLine="480" w:firstLineChars="200"/>
              <w:rPr>
                <w:u w:val="single"/>
              </w:rPr>
            </w:pPr>
            <w:r>
              <w:rPr>
                <w:rFonts w:hint="eastAsia"/>
                <w:u w:val="single"/>
              </w:rPr>
              <w:t>⑵越冬场</w:t>
            </w:r>
          </w:p>
          <w:p>
            <w:pPr>
              <w:widowControl/>
              <w:ind w:firstLine="480" w:firstLineChars="200"/>
              <w:rPr>
                <w:u w:val="single"/>
              </w:rPr>
            </w:pPr>
            <w:r>
              <w:rPr>
                <w:rFonts w:hint="eastAsia"/>
                <w:u w:val="single"/>
              </w:rPr>
              <w:t>沅水辰溪段鲌类黄颡鱼国家级水产种质资源保护区内分布有</w:t>
            </w:r>
            <w:r>
              <w:rPr>
                <w:u w:val="single"/>
              </w:rPr>
              <w:t>10</w:t>
            </w:r>
            <w:r>
              <w:rPr>
                <w:rFonts w:hint="eastAsia"/>
                <w:u w:val="single"/>
              </w:rPr>
              <w:t>处主要经济鱼类的越冬场，总面积达</w:t>
            </w:r>
            <w:r>
              <w:rPr>
                <w:u w:val="single"/>
              </w:rPr>
              <w:t>3214940m</w:t>
            </w:r>
            <w:r>
              <w:rPr>
                <w:u w:val="single"/>
                <w:vertAlign w:val="superscript"/>
              </w:rPr>
              <w:t>2</w:t>
            </w:r>
            <w:r>
              <w:rPr>
                <w:rFonts w:hint="eastAsia"/>
                <w:u w:val="single"/>
              </w:rPr>
              <w:t>，占保护区水域总面积的</w:t>
            </w:r>
            <w:r>
              <w:rPr>
                <w:u w:val="single"/>
              </w:rPr>
              <w:t>10.04%</w:t>
            </w:r>
            <w:r>
              <w:rPr>
                <w:rFonts w:hint="eastAsia"/>
                <w:u w:val="single"/>
              </w:rPr>
              <w:t>。</w:t>
            </w:r>
          </w:p>
          <w:p>
            <w:pPr>
              <w:pStyle w:val="30"/>
              <w:numPr>
                <w:ilvl w:val="1"/>
                <w:numId w:val="0"/>
              </w:numPr>
              <w:ind w:left="284"/>
              <w:outlineLvl w:val="2"/>
              <w:rPr>
                <w:rFonts w:hint="eastAsia"/>
                <w:b w:val="0"/>
                <w:bCs/>
                <w:u w:val="single"/>
              </w:rPr>
            </w:pPr>
            <w:r>
              <w:rPr>
                <w:rFonts w:hint="eastAsia" w:ascii="宋体" w:hAnsi="宋体" w:cs="宋体"/>
                <w:b w:val="0"/>
                <w:bCs/>
                <w:color w:val="000000"/>
                <w:kern w:val="0"/>
                <w:u w:val="single"/>
                <w:lang w:eastAsia="zh-CN" w:bidi="ar"/>
              </w:rPr>
              <w:t>二、</w:t>
            </w:r>
            <w:r>
              <w:rPr>
                <w:rFonts w:hint="eastAsia" w:ascii="宋体" w:hAnsi="宋体" w:eastAsia="宋体" w:cs="Times New Roman"/>
                <w:b w:val="0"/>
                <w:bCs/>
                <w:kern w:val="0"/>
                <w:sz w:val="24"/>
                <w:szCs w:val="24"/>
                <w:u w:val="single"/>
                <w:lang w:val="en-US" w:eastAsia="zh-CN" w:bidi="ar-SA"/>
              </w:rPr>
              <w:t>沅水特有鱼类国家级水产种质资源保护区</w:t>
            </w:r>
            <w:r>
              <w:rPr>
                <w:rFonts w:hint="eastAsia" w:ascii="宋体" w:hAnsi="宋体" w:cs="宋体"/>
                <w:b w:val="0"/>
                <w:bCs/>
                <w:color w:val="000000"/>
                <w:kern w:val="0"/>
                <w:u w:val="single"/>
                <w:lang w:eastAsia="zh-CN" w:bidi="ar"/>
              </w:rPr>
              <w:t>：</w:t>
            </w:r>
          </w:p>
          <w:p>
            <w:pPr>
              <w:pStyle w:val="6"/>
              <w:pageBreakBefore w:val="0"/>
              <w:widowControl w:val="0"/>
              <w:numPr>
                <w:ilvl w:val="0"/>
                <w:numId w:val="7"/>
              </w:numPr>
              <w:kinsoku/>
              <w:wordWrap w:val="0"/>
              <w:overflowPunct/>
              <w:topLinePunct/>
              <w:autoSpaceDE/>
              <w:autoSpaceDN/>
              <w:bidi w:val="0"/>
              <w:adjustRightInd w:val="0"/>
              <w:snapToGrid w:val="0"/>
              <w:spacing w:before="0" w:after="0" w:line="360" w:lineRule="auto"/>
              <w:ind w:left="845" w:leftChars="0" w:hanging="425" w:firstLineChars="0"/>
              <w:textAlignment w:val="auto"/>
              <w:rPr>
                <w:rFonts w:hint="eastAsia" w:ascii="Times New Roman" w:hAnsi="Times New Roman" w:eastAsia="宋体" w:cs="Times New Roman"/>
                <w:b w:val="0"/>
                <w:bCs w:val="0"/>
                <w:kern w:val="2"/>
                <w:sz w:val="24"/>
                <w:szCs w:val="24"/>
                <w:u w:val="single"/>
                <w:lang w:val="en-US" w:eastAsia="zh-CN" w:bidi="ar-SA"/>
              </w:rPr>
            </w:pPr>
            <w:r>
              <w:rPr>
                <w:rFonts w:hint="eastAsia" w:ascii="Times New Roman" w:hAnsi="Times New Roman" w:eastAsia="宋体" w:cs="Times New Roman"/>
                <w:b w:val="0"/>
                <w:bCs w:val="0"/>
                <w:kern w:val="2"/>
                <w:sz w:val="24"/>
                <w:szCs w:val="24"/>
                <w:u w:val="single"/>
                <w:lang w:val="en-US" w:eastAsia="zh-CN" w:bidi="ar-SA"/>
              </w:rPr>
              <w:t>保护区地理位置、范围和功能区划分</w:t>
            </w:r>
          </w:p>
          <w:p>
            <w:pPr>
              <w:widowControl/>
              <w:ind w:firstLine="480" w:firstLineChars="200"/>
              <w:rPr>
                <w:rFonts w:hint="eastAsia"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kern w:val="2"/>
                <w:sz w:val="24"/>
                <w:szCs w:val="24"/>
                <w:u w:val="single"/>
                <w:lang w:val="en-US" w:eastAsia="zh-CN" w:bidi="ar-SA"/>
              </w:rPr>
              <w:t>该保护区为2009年农业部第1308号公告公布第三批国家级水产种质资源保护区。保护区包括沅水干流、支流巫水河和溆水河，位于沅水干流洪江市托口镇以下至辰溪县辰阳镇，沅水支流巫水河王家坪以下至入沅水口即洪江大桥，沅水支流溆水河溆浦县小江口至江口镇，总面积8320hm</w:t>
            </w:r>
            <w:r>
              <w:rPr>
                <w:rFonts w:hint="eastAsia" w:ascii="Times New Roman" w:hAnsi="Times New Roman" w:eastAsia="宋体" w:cs="Times New Roman"/>
                <w:kern w:val="2"/>
                <w:sz w:val="24"/>
                <w:szCs w:val="24"/>
                <w:u w:val="single"/>
                <w:vertAlign w:val="superscript"/>
                <w:lang w:val="en-US" w:eastAsia="zh-CN" w:bidi="ar-SA"/>
              </w:rPr>
              <w:t>2</w:t>
            </w:r>
            <w:r>
              <w:rPr>
                <w:rFonts w:hint="eastAsia" w:ascii="Times New Roman" w:hAnsi="Times New Roman" w:eastAsia="宋体" w:cs="Times New Roman"/>
                <w:kern w:val="2"/>
                <w:sz w:val="24"/>
                <w:szCs w:val="24"/>
                <w:u w:val="single"/>
                <w:lang w:val="en-US" w:eastAsia="zh-CN" w:bidi="ar-SA"/>
              </w:rPr>
              <w:t>，其中核心区面积3354hm</w:t>
            </w:r>
            <w:r>
              <w:rPr>
                <w:rFonts w:hint="eastAsia" w:ascii="Times New Roman" w:hAnsi="Times New Roman" w:eastAsia="宋体" w:cs="Times New Roman"/>
                <w:kern w:val="2"/>
                <w:sz w:val="24"/>
                <w:szCs w:val="24"/>
                <w:u w:val="single"/>
                <w:vertAlign w:val="superscript"/>
                <w:lang w:val="en-US" w:eastAsia="zh-CN" w:bidi="ar-SA"/>
              </w:rPr>
              <w:t>2</w:t>
            </w:r>
            <w:r>
              <w:rPr>
                <w:rFonts w:hint="eastAsia" w:ascii="Times New Roman" w:hAnsi="Times New Roman" w:eastAsia="宋体" w:cs="Times New Roman"/>
                <w:kern w:val="2"/>
                <w:sz w:val="24"/>
                <w:szCs w:val="24"/>
                <w:u w:val="single"/>
                <w:lang w:val="en-US" w:eastAsia="zh-CN" w:bidi="ar-SA"/>
              </w:rPr>
              <w:t>，实验区面积4966hm</w:t>
            </w:r>
            <w:r>
              <w:rPr>
                <w:rFonts w:hint="eastAsia" w:ascii="Times New Roman" w:hAnsi="Times New Roman" w:eastAsia="宋体" w:cs="Times New Roman"/>
                <w:kern w:val="2"/>
                <w:sz w:val="24"/>
                <w:szCs w:val="24"/>
                <w:u w:val="single"/>
                <w:vertAlign w:val="superscript"/>
                <w:lang w:val="en-US" w:eastAsia="zh-CN" w:bidi="ar-SA"/>
              </w:rPr>
              <w:t>2</w:t>
            </w:r>
            <w:r>
              <w:rPr>
                <w:rFonts w:hint="eastAsia" w:ascii="Times New Roman" w:hAnsi="Times New Roman" w:eastAsia="宋体" w:cs="Times New Roman"/>
                <w:kern w:val="2"/>
                <w:sz w:val="24"/>
                <w:szCs w:val="24"/>
                <w:u w:val="single"/>
                <w:lang w:val="en-US" w:eastAsia="zh-CN" w:bidi="ar-SA"/>
              </w:rPr>
              <w:t>。主要保护对象为湘华鲮和大口鲶。特别保护期为全年。</w:t>
            </w:r>
          </w:p>
          <w:p>
            <w:pPr>
              <w:widowControl/>
              <w:numPr>
                <w:ilvl w:val="-1"/>
                <w:numId w:val="0"/>
              </w:numPr>
              <w:wordWrap/>
              <w:ind w:left="0" w:firstLine="480" w:firstLineChars="200"/>
              <w:rPr>
                <w:rFonts w:hint="eastAsia"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kern w:val="2"/>
                <w:sz w:val="24"/>
                <w:szCs w:val="24"/>
                <w:u w:val="single"/>
                <w:lang w:val="en-US" w:eastAsia="zh-CN" w:bidi="ar-SA"/>
              </w:rPr>
              <w:t>核心区：范围由以下9个拐点沿河道方向顺次连线所围的水域：托口镇（109°36′29″E，27°07′26″N）-沅河镇（109°40′26”E，27°12′09″N）-岩垅乡干溪坪村（109°46′45″E，27°13′33″N）-横岩乡沿河村（109°57′43″E，27°09′23″N）-沙湾乡（110°03′45″E，27°11′58″N）-龙船塘瑶族乡（110°08′44″E，27°06′50″N）-王家坪乡胜利村（110°03′10″E，26°48′48″N）-王家坪乡小洪江村（109°58′40″E，26°48′22″N）-肖家乡（109°55′32″E，27°06′18″N）；</w:t>
            </w:r>
          </w:p>
          <w:p>
            <w:pPr>
              <w:widowControl/>
              <w:numPr>
                <w:ilvl w:val="-1"/>
                <w:numId w:val="0"/>
              </w:numPr>
              <w:wordWrap/>
              <w:ind w:left="0" w:firstLine="480" w:firstLineChars="200"/>
              <w:rPr>
                <w:rFonts w:hint="eastAsia"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kern w:val="2"/>
                <w:sz w:val="24"/>
                <w:szCs w:val="24"/>
                <w:u w:val="single"/>
                <w:lang w:val="en-US" w:eastAsia="zh-CN" w:bidi="ar-SA"/>
              </w:rPr>
              <w:t>实验区：范围为以下8个拐点沿河道方向顺次连线所围的水域：横岩乡沿河村（109°57′43″E，27°09′23″N）-仙人湾瑶族乡（110°20′17″E，27°45′23″N）-辰阳镇（110°10′46″E，28°00′41″N）-修溪乡（110°18′25″E，27°59′02″N）-小江口乡（110°27′13″E，27°52′45″N）-丁家乡（110°20′57″E，27°34′10″N）-龙船塘乡（110°08′44″E，27°06′50″N）-沙湾乡（110°03′45″E，27°11′58″N）。</w:t>
            </w:r>
          </w:p>
          <w:p>
            <w:pPr>
              <w:widowControl/>
              <w:ind w:firstLineChars="200"/>
              <w:rPr>
                <w:rFonts w:hint="eastAsia" w:ascii="Times New Roman" w:hAnsi="Times New Roman" w:eastAsia="宋体" w:cs="Times New Roman"/>
                <w:u w:val="single"/>
                <w:lang w:val="en-US"/>
              </w:rPr>
            </w:pPr>
            <w:r>
              <w:rPr>
                <w:rFonts w:hint="eastAsia" w:ascii="Times New Roman" w:hAnsi="Times New Roman" w:eastAsia="宋体" w:cs="Times New Roman"/>
                <w:kern w:val="2"/>
                <w:sz w:val="24"/>
                <w:szCs w:val="24"/>
                <w:u w:val="single"/>
                <w:lang w:val="en-US" w:eastAsia="zh-CN" w:bidi="ar-SA"/>
              </w:rPr>
              <w:t>本项目临近沅水特有鱼类水产种质资源保护区（实验区）江段，不涉及该保护区“鱼类三场”，该保护区最近的“鱼类三场”位于本项目上游约51100m处。本项目与沅水特有鱼类国家级水产种质资源保护区的位置关系图见附图</w:t>
            </w:r>
            <w:r>
              <w:rPr>
                <w:rFonts w:hint="eastAsia" w:ascii="Times New Roman" w:hAnsi="Times New Roman" w:eastAsia="宋体" w:cs="Times New Roman"/>
                <w:kern w:val="2"/>
                <w:sz w:val="24"/>
                <w:szCs w:val="24"/>
                <w:highlight w:val="none"/>
                <w:u w:val="single"/>
                <w:lang w:val="en-US" w:eastAsia="zh-CN" w:bidi="ar-SA"/>
              </w:rPr>
              <w:t>8</w:t>
            </w:r>
            <w:r>
              <w:rPr>
                <w:rFonts w:hint="eastAsia" w:ascii="Times New Roman" w:hAnsi="Times New Roman" w:eastAsia="宋体" w:cs="Times New Roman"/>
                <w:kern w:val="2"/>
                <w:sz w:val="24"/>
                <w:szCs w:val="24"/>
                <w:u w:val="single"/>
                <w:lang w:val="en-US" w:eastAsia="zh-CN" w:bidi="ar-SA"/>
              </w:rPr>
              <w:t>。</w:t>
            </w:r>
          </w:p>
          <w:p>
            <w:pPr>
              <w:pStyle w:val="6"/>
              <w:keepNext/>
              <w:keepLines/>
              <w:pageBreakBefore w:val="0"/>
              <w:widowControl w:val="0"/>
              <w:numPr>
                <w:ilvl w:val="0"/>
                <w:numId w:val="7"/>
              </w:numPr>
              <w:kinsoku/>
              <w:wordWrap w:val="0"/>
              <w:overflowPunct/>
              <w:topLinePunct/>
              <w:autoSpaceDE/>
              <w:autoSpaceDN/>
              <w:bidi w:val="0"/>
              <w:adjustRightInd w:val="0"/>
              <w:snapToGrid w:val="0"/>
              <w:spacing w:before="0" w:after="0" w:line="377" w:lineRule="auto"/>
              <w:ind w:left="845" w:leftChars="0" w:hanging="425" w:firstLineChars="0"/>
              <w:textAlignment w:val="auto"/>
              <w:rPr>
                <w:rFonts w:hint="eastAsia" w:ascii="Times New Roman" w:hAnsi="Times New Roman" w:eastAsia="宋体" w:cs="Times New Roman"/>
                <w:b w:val="0"/>
                <w:bCs w:val="0"/>
                <w:sz w:val="24"/>
                <w:szCs w:val="24"/>
                <w:u w:val="single"/>
                <w:lang w:val="en-US"/>
              </w:rPr>
            </w:pPr>
            <w:r>
              <w:rPr>
                <w:rFonts w:hint="eastAsia" w:ascii="Times New Roman" w:hAnsi="Times New Roman" w:eastAsia="宋体" w:cs="Times New Roman"/>
                <w:b w:val="0"/>
                <w:bCs w:val="0"/>
                <w:kern w:val="2"/>
                <w:sz w:val="24"/>
                <w:szCs w:val="24"/>
                <w:u w:val="single"/>
                <w:lang w:val="en-US" w:eastAsia="zh-CN" w:bidi="ar-SA"/>
              </w:rPr>
              <w:t>保护对象</w:t>
            </w:r>
          </w:p>
          <w:p>
            <w:pPr>
              <w:widowControl/>
              <w:ind w:firstLineChars="200"/>
              <w:rPr>
                <w:rFonts w:hint="eastAsia"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kern w:val="2"/>
                <w:sz w:val="24"/>
                <w:szCs w:val="24"/>
                <w:u w:val="single"/>
                <w:lang w:val="en-US" w:eastAsia="zh-CN" w:bidi="ar-SA"/>
              </w:rPr>
              <w:t>该保护区主要保护对象为鲤、鲫、鳊、鲂等粘性卵鱼类；湘华鲮、瓣结鱼、鲶、黄颡鱼等沉性卵鱼类。</w:t>
            </w:r>
          </w:p>
          <w:p>
            <w:pPr>
              <w:pStyle w:val="6"/>
              <w:keepNext/>
              <w:keepLines/>
              <w:pageBreakBefore w:val="0"/>
              <w:widowControl w:val="0"/>
              <w:numPr>
                <w:ilvl w:val="0"/>
                <w:numId w:val="7"/>
              </w:numPr>
              <w:kinsoku/>
              <w:wordWrap w:val="0"/>
              <w:overflowPunct/>
              <w:topLinePunct/>
              <w:autoSpaceDE/>
              <w:autoSpaceDN/>
              <w:bidi w:val="0"/>
              <w:adjustRightInd w:val="0"/>
              <w:snapToGrid w:val="0"/>
              <w:spacing w:before="0" w:after="0" w:line="377" w:lineRule="auto"/>
              <w:ind w:left="845" w:leftChars="0" w:hanging="425" w:firstLineChars="0"/>
              <w:textAlignment w:val="auto"/>
              <w:rPr>
                <w:rFonts w:hint="eastAsia" w:ascii="宋体" w:hAnsi="宋体" w:eastAsia="宋体" w:cs="Times New Roman"/>
                <w:b w:val="0"/>
                <w:bCs/>
                <w:kern w:val="0"/>
                <w:sz w:val="24"/>
                <w:szCs w:val="24"/>
                <w:u w:val="single"/>
                <w:lang w:val="en-US" w:eastAsia="zh-CN" w:bidi="ar-SA"/>
              </w:rPr>
            </w:pPr>
            <w:r>
              <w:rPr>
                <w:rFonts w:hint="eastAsia" w:ascii="宋体" w:hAnsi="宋体" w:eastAsia="宋体" w:cs="Times New Roman"/>
                <w:b w:val="0"/>
                <w:bCs/>
                <w:kern w:val="0"/>
                <w:sz w:val="24"/>
                <w:szCs w:val="24"/>
                <w:u w:val="single"/>
                <w:lang w:val="en-US" w:eastAsia="zh-CN" w:bidi="ar-SA"/>
              </w:rPr>
              <w:t>珍稀、特有和濒危水生生物现状</w:t>
            </w:r>
          </w:p>
          <w:p>
            <w:pPr>
              <w:widowControl/>
              <w:ind w:firstLineChars="200"/>
              <w:rPr>
                <w:rFonts w:hint="eastAsia"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kern w:val="2"/>
                <w:sz w:val="24"/>
                <w:szCs w:val="24"/>
                <w:u w:val="single"/>
                <w:lang w:val="en-US" w:eastAsia="zh-CN" w:bidi="ar-SA"/>
              </w:rPr>
              <w:t>沅水辰溪段及其附近水域分布有水生野生保护动物8科24种，其中，列入《湖南省地方重点保护野生动植物名录》的有19种。此次调查到湘华鲮、湖南吻鮈、叉尾斗鱼的分布。</w:t>
            </w:r>
          </w:p>
          <w:p>
            <w:pPr>
              <w:pStyle w:val="6"/>
              <w:keepNext/>
              <w:keepLines/>
              <w:pageBreakBefore w:val="0"/>
              <w:widowControl w:val="0"/>
              <w:numPr>
                <w:ilvl w:val="0"/>
                <w:numId w:val="7"/>
              </w:numPr>
              <w:kinsoku/>
              <w:wordWrap w:val="0"/>
              <w:overflowPunct/>
              <w:topLinePunct/>
              <w:autoSpaceDE/>
              <w:autoSpaceDN/>
              <w:bidi w:val="0"/>
              <w:adjustRightInd w:val="0"/>
              <w:snapToGrid w:val="0"/>
              <w:spacing w:before="0" w:after="0" w:line="377" w:lineRule="auto"/>
              <w:ind w:left="845" w:leftChars="0" w:hanging="425" w:firstLineChars="0"/>
              <w:textAlignment w:val="auto"/>
              <w:rPr>
                <w:rFonts w:hint="eastAsia" w:ascii="Times New Roman" w:hAnsi="Times New Roman" w:eastAsia="宋体" w:cs="Times New Roman"/>
                <w:b w:val="0"/>
                <w:bCs w:val="0"/>
                <w:sz w:val="24"/>
                <w:szCs w:val="24"/>
                <w:u w:val="single"/>
              </w:rPr>
            </w:pPr>
            <w:r>
              <w:rPr>
                <w:rFonts w:hint="eastAsia" w:ascii="Times New Roman" w:hAnsi="Times New Roman" w:eastAsia="宋体" w:cs="Times New Roman"/>
                <w:b w:val="0"/>
                <w:bCs w:val="0"/>
                <w:kern w:val="2"/>
                <w:sz w:val="24"/>
                <w:szCs w:val="24"/>
                <w:u w:val="single"/>
                <w:lang w:val="en-US" w:eastAsia="zh-CN" w:bidi="ar-SA"/>
              </w:rPr>
              <w:t>保护区现状以及存在主要问题</w:t>
            </w:r>
          </w:p>
          <w:p>
            <w:pPr>
              <w:widowControl/>
              <w:ind w:firstLineChars="200"/>
              <w:rPr>
                <w:rFonts w:hint="eastAsia"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kern w:val="2"/>
                <w:sz w:val="24"/>
                <w:szCs w:val="24"/>
                <w:u w:val="single"/>
                <w:lang w:val="en-US" w:eastAsia="zh-CN" w:bidi="ar-SA"/>
              </w:rPr>
              <w:t>产卵场和索饵场主要分布于沅水干流，且产卵场主要为定居性和短距离洄游性鱼类产卵场。沅水干流上，保护区河段下游建有五强溪水电站，保护区内建有大洑潭电站和清水塘电站，河流库区化严重，鱼类资源出现典型的库区性特征。渔潭、张家滩等地采石挖沙非常严重，对产卵场基质的破坏非常严重。目前，在保护区内鳤、白甲鱼等激流性产卵鱼类资源严重衰竭，产卵场严重萎缩。大洑潭水电站建成后，大洑潭以上河段产卵场基本消失。</w:t>
            </w:r>
          </w:p>
          <w:p>
            <w:pPr>
              <w:widowControl/>
              <w:ind w:firstLine="480" w:firstLineChars="200"/>
              <w:rPr>
                <w:rFonts w:hint="eastAsia" w:ascii="Times New Roman" w:hAnsi="Times New Roman" w:eastAsia="宋体" w:cs="Times New Roman"/>
                <w:u w:val="none"/>
              </w:rPr>
            </w:pPr>
            <w:r>
              <w:rPr>
                <w:rFonts w:hint="eastAsia" w:ascii="Times New Roman" w:hAnsi="Times New Roman" w:eastAsia="宋体" w:cs="Times New Roman"/>
                <w:kern w:val="2"/>
                <w:sz w:val="24"/>
                <w:szCs w:val="24"/>
                <w:u w:val="single"/>
                <w:lang w:val="en-US" w:eastAsia="zh-CN" w:bidi="ar-SA"/>
              </w:rPr>
              <w:t>由于采石挖沙的猖獗，保护区内渔潭等大型越冬场逐渐向众多小型越冬场演变。</w:t>
            </w:r>
          </w:p>
          <w:p>
            <w:pPr>
              <w:pStyle w:val="30"/>
              <w:numPr>
                <w:ilvl w:val="1"/>
                <w:numId w:val="0"/>
              </w:numPr>
              <w:ind w:left="284"/>
              <w:outlineLvl w:val="2"/>
            </w:pPr>
            <w:r>
              <w:rPr>
                <w:rFonts w:hint="eastAsia"/>
              </w:rPr>
              <w:t>3.</w:t>
            </w:r>
            <w:r>
              <w:rPr>
                <w:rFonts w:hint="eastAsia"/>
                <w:lang w:val="en-US" w:eastAsia="zh-CN"/>
              </w:rPr>
              <w:t>7</w:t>
            </w:r>
            <w:r>
              <w:rPr>
                <w:rFonts w:hint="eastAsia"/>
              </w:rPr>
              <w:t>、电磁辐射</w:t>
            </w:r>
          </w:p>
          <w:p>
            <w:pPr>
              <w:pStyle w:val="10"/>
              <w:spacing w:after="0"/>
              <w:ind w:firstLine="480" w:firstLineChars="200"/>
              <w:rPr>
                <w:color w:val="0000FF"/>
              </w:rPr>
            </w:pPr>
            <w:r>
              <w:rPr>
                <w:rFonts w:hint="eastAsia" w:ascii="宋体" w:hAnsi="宋体"/>
              </w:rPr>
              <w:t>本项目不属于广播电台、差转台、电视塔台、卫星地球上行站、雷达等电磁辐射类项目，故不需开展电磁辐射现状调查。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69" w:hRule="atLeast"/>
          <w:jc w:val="center"/>
        </w:trPr>
        <w:tc>
          <w:tcPr>
            <w:tcW w:w="800" w:type="dxa"/>
            <w:vAlign w:val="center"/>
          </w:tcPr>
          <w:p>
            <w:pPr>
              <w:adjustRightInd w:val="0"/>
              <w:snapToGrid w:val="0"/>
              <w:jc w:val="center"/>
              <w:rPr>
                <w:kern w:val="0"/>
                <w:szCs w:val="21"/>
              </w:rPr>
            </w:pPr>
            <w:r>
              <w:rPr>
                <w:kern w:val="0"/>
                <w:szCs w:val="21"/>
              </w:rPr>
              <w:t>环境</w:t>
            </w:r>
          </w:p>
          <w:p>
            <w:pPr>
              <w:adjustRightInd w:val="0"/>
              <w:snapToGrid w:val="0"/>
              <w:jc w:val="center"/>
              <w:rPr>
                <w:kern w:val="0"/>
                <w:szCs w:val="21"/>
              </w:rPr>
            </w:pPr>
            <w:r>
              <w:rPr>
                <w:kern w:val="0"/>
                <w:szCs w:val="21"/>
              </w:rPr>
              <w:t>保护</w:t>
            </w:r>
          </w:p>
          <w:p>
            <w:pPr>
              <w:adjustRightInd w:val="0"/>
              <w:snapToGrid w:val="0"/>
              <w:jc w:val="center"/>
              <w:rPr>
                <w:color w:val="0000FF"/>
                <w:kern w:val="0"/>
                <w:szCs w:val="21"/>
              </w:rPr>
            </w:pPr>
            <w:r>
              <w:rPr>
                <w:kern w:val="0"/>
                <w:szCs w:val="21"/>
              </w:rPr>
              <w:t>目标</w:t>
            </w:r>
          </w:p>
        </w:tc>
        <w:tc>
          <w:tcPr>
            <w:tcW w:w="8190" w:type="dxa"/>
          </w:tcPr>
          <w:p>
            <w:pPr>
              <w:pStyle w:val="34"/>
              <w:numPr>
                <w:ilvl w:val="2"/>
                <w:numId w:val="0"/>
              </w:numPr>
              <w:ind w:left="709"/>
            </w:pPr>
            <w:bookmarkStart w:id="52" w:name="_Toc68160370"/>
            <w:bookmarkStart w:id="53" w:name="_Toc12406"/>
            <w:r>
              <w:rPr>
                <w:rFonts w:hint="eastAsia"/>
              </w:rPr>
              <w:t>3.</w:t>
            </w:r>
            <w:r>
              <w:rPr>
                <w:rFonts w:hint="eastAsia"/>
                <w:lang w:val="en-US" w:eastAsia="zh-CN"/>
              </w:rPr>
              <w:t>8</w:t>
            </w:r>
            <w:r>
              <w:t>、环境保护目标</w:t>
            </w:r>
            <w:bookmarkEnd w:id="52"/>
            <w:bookmarkEnd w:id="53"/>
          </w:p>
          <w:p>
            <w:pPr>
              <w:tabs>
                <w:tab w:val="left" w:pos="885"/>
              </w:tabs>
              <w:wordWrap w:val="0"/>
              <w:topLinePunct/>
              <w:adjustRightInd w:val="0"/>
              <w:snapToGrid w:val="0"/>
              <w:ind w:firstLine="480" w:firstLineChars="200"/>
              <w:rPr>
                <w:kern w:val="0"/>
              </w:rPr>
            </w:pPr>
            <w:r>
              <w:rPr>
                <w:bCs/>
                <w:kern w:val="0"/>
              </w:rPr>
              <w:t>（1）水环境保护目标：</w:t>
            </w:r>
            <w:r>
              <w:rPr>
                <w:rFonts w:hint="eastAsia"/>
                <w:kern w:val="0"/>
              </w:rPr>
              <w:t>沅江</w:t>
            </w:r>
            <w:r>
              <w:rPr>
                <w:kern w:val="0"/>
              </w:rPr>
              <w:t>，</w:t>
            </w:r>
            <w:r>
              <w:rPr>
                <w:bCs/>
                <w:kern w:val="0"/>
              </w:rPr>
              <w:t>水环境质量标准执行《地表水环境质量标准》(GB3838-2002)中表1之</w:t>
            </w:r>
            <w:r>
              <w:rPr>
                <w:kern w:val="0"/>
              </w:rPr>
              <w:t>III</w:t>
            </w:r>
            <w:r>
              <w:rPr>
                <w:bCs/>
                <w:kern w:val="0"/>
              </w:rPr>
              <w:t>类水质标准。</w:t>
            </w:r>
          </w:p>
          <w:p>
            <w:pPr>
              <w:tabs>
                <w:tab w:val="left" w:pos="885"/>
              </w:tabs>
              <w:wordWrap w:val="0"/>
              <w:topLinePunct/>
              <w:adjustRightInd w:val="0"/>
              <w:snapToGrid w:val="0"/>
              <w:ind w:firstLine="480" w:firstLineChars="200"/>
              <w:rPr>
                <w:kern w:val="0"/>
              </w:rPr>
            </w:pPr>
            <w:r>
              <w:rPr>
                <w:bCs/>
                <w:kern w:val="0"/>
              </w:rPr>
              <w:t>（2）大气环境保护目标：</w:t>
            </w:r>
            <w:r>
              <w:rPr>
                <w:kern w:val="0"/>
              </w:rPr>
              <w:t>项目所在区环境空气质量满足《环境空气质量标准》(GB3095-2012)及修改单中表1之二级标准。</w:t>
            </w:r>
            <w:r>
              <w:rPr>
                <w:rStyle w:val="25"/>
                <w:kern w:val="0"/>
                <w:sz w:val="24"/>
              </w:rPr>
              <w:t>厂界500米范围内无自然保护区、风景名胜区、文化区等保护目标。500米范围内有居住区</w:t>
            </w:r>
            <w:r>
              <w:rPr>
                <w:rStyle w:val="25"/>
                <w:rFonts w:hint="eastAsia"/>
                <w:kern w:val="0"/>
                <w:sz w:val="24"/>
              </w:rPr>
              <w:t>及</w:t>
            </w:r>
            <w:r>
              <w:rPr>
                <w:rStyle w:val="25"/>
                <w:kern w:val="0"/>
                <w:sz w:val="24"/>
              </w:rPr>
              <w:t>农村地区中人群较集中的区域。</w:t>
            </w:r>
          </w:p>
          <w:p>
            <w:pPr>
              <w:tabs>
                <w:tab w:val="left" w:pos="885"/>
              </w:tabs>
              <w:wordWrap w:val="0"/>
              <w:topLinePunct/>
              <w:adjustRightInd w:val="0"/>
              <w:snapToGrid w:val="0"/>
              <w:ind w:firstLine="480" w:firstLineChars="200"/>
              <w:rPr>
                <w:kern w:val="0"/>
              </w:rPr>
            </w:pPr>
            <w:r>
              <w:rPr>
                <w:bCs/>
                <w:kern w:val="0"/>
              </w:rPr>
              <w:t>（3）声环境保护目标：</w:t>
            </w:r>
            <w:r>
              <w:rPr>
                <w:kern w:val="0"/>
              </w:rPr>
              <w:t>项目所在</w:t>
            </w:r>
            <w:r>
              <w:rPr>
                <w:rFonts w:hint="eastAsia"/>
                <w:kern w:val="0"/>
              </w:rPr>
              <w:t>地南面及敏感点临近</w:t>
            </w:r>
            <w:r>
              <w:rPr>
                <w:rFonts w:hint="eastAsia"/>
                <w:bCs/>
              </w:rPr>
              <w:t>G354国道</w:t>
            </w:r>
            <w:r>
              <w:rPr>
                <w:rFonts w:hint="eastAsia"/>
                <w:kern w:val="0"/>
              </w:rPr>
              <w:t>，</w:t>
            </w:r>
            <w:r>
              <w:rPr>
                <w:kern w:val="0"/>
              </w:rPr>
              <w:t>声环境质量满足《声环境质量标准》(GB3096-2008)中</w:t>
            </w:r>
            <w:r>
              <w:rPr>
                <w:rFonts w:hint="eastAsia"/>
                <w:kern w:val="0"/>
              </w:rPr>
              <w:t>4a</w:t>
            </w:r>
            <w:r>
              <w:rPr>
                <w:kern w:val="0"/>
              </w:rPr>
              <w:t>类标准</w:t>
            </w:r>
            <w:r>
              <w:rPr>
                <w:rFonts w:hint="eastAsia"/>
                <w:kern w:val="0"/>
              </w:rPr>
              <w:t>；其余</w:t>
            </w:r>
            <w:r>
              <w:rPr>
                <w:kern w:val="0"/>
              </w:rPr>
              <w:t>区域声环境质量满足《声环境质量标准》(GB3096-2008)中</w:t>
            </w:r>
            <w:r>
              <w:rPr>
                <w:rFonts w:hint="eastAsia"/>
                <w:kern w:val="0"/>
              </w:rPr>
              <w:t>2</w:t>
            </w:r>
            <w:r>
              <w:rPr>
                <w:kern w:val="0"/>
              </w:rPr>
              <w:t>类标准。</w:t>
            </w:r>
          </w:p>
          <w:p>
            <w:pPr>
              <w:adjustRightInd w:val="0"/>
              <w:snapToGrid w:val="0"/>
              <w:ind w:firstLine="480" w:firstLineChars="200"/>
              <w:jc w:val="left"/>
              <w:rPr>
                <w:color w:val="0000FF"/>
                <w:kern w:val="0"/>
              </w:rPr>
            </w:pPr>
            <w:r>
              <w:rPr>
                <w:kern w:val="0"/>
              </w:rPr>
              <w:t>（4）地下水环境保护目标：</w:t>
            </w:r>
            <w:r>
              <w:rPr>
                <w:rFonts w:hint="eastAsia"/>
                <w:kern w:val="0"/>
              </w:rPr>
              <w:t>厂界外500米范围内无地下水集中式饮用水水源和热水、矿泉水、温泉等特殊地下水资源</w:t>
            </w:r>
            <w:r>
              <w:rPr>
                <w:kern w:val="0"/>
              </w:rPr>
              <w:t>。</w:t>
            </w:r>
          </w:p>
          <w:p>
            <w:pPr>
              <w:adjustRightInd w:val="0"/>
              <w:snapToGrid w:val="0"/>
              <w:ind w:firstLine="480" w:firstLineChars="200"/>
              <w:rPr>
                <w:bCs/>
                <w:color w:val="0000FF"/>
              </w:rPr>
            </w:pPr>
            <w:r>
              <w:rPr>
                <w:bCs/>
              </w:rPr>
              <w:t>项目周边主要环境敏感点环境保护级别见下表：</w:t>
            </w:r>
          </w:p>
          <w:p>
            <w:pPr>
              <w:adjustRightInd w:val="0"/>
              <w:snapToGrid w:val="0"/>
              <w:spacing w:line="240" w:lineRule="auto"/>
              <w:jc w:val="center"/>
              <w:rPr>
                <w:b/>
                <w:sz w:val="21"/>
                <w:szCs w:val="21"/>
                <w:u w:val="single"/>
              </w:rPr>
            </w:pPr>
            <w:r>
              <w:rPr>
                <w:b/>
                <w:sz w:val="21"/>
                <w:szCs w:val="21"/>
                <w:u w:val="single"/>
              </w:rPr>
              <w:t>表3-6  本项目环境保护目标</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52"/>
              <w:gridCol w:w="1058"/>
              <w:gridCol w:w="657"/>
              <w:gridCol w:w="1059"/>
              <w:gridCol w:w="788"/>
              <w:gridCol w:w="1004"/>
              <w:gridCol w:w="1363"/>
              <w:gridCol w:w="1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8" w:hRule="atLeast"/>
                <w:jc w:val="center"/>
              </w:trPr>
              <w:tc>
                <w:tcPr>
                  <w:tcW w:w="348" w:type="pct"/>
                  <w:vAlign w:val="center"/>
                </w:tcPr>
                <w:p>
                  <w:pPr>
                    <w:adjustRightInd w:val="0"/>
                    <w:snapToGrid w:val="0"/>
                    <w:spacing w:line="240" w:lineRule="auto"/>
                    <w:jc w:val="center"/>
                    <w:rPr>
                      <w:b/>
                      <w:sz w:val="21"/>
                      <w:szCs w:val="21"/>
                      <w:u w:val="single"/>
                    </w:rPr>
                  </w:pPr>
                  <w:r>
                    <w:rPr>
                      <w:b/>
                      <w:sz w:val="21"/>
                      <w:szCs w:val="21"/>
                      <w:u w:val="single"/>
                    </w:rPr>
                    <w:t>环境要素</w:t>
                  </w:r>
                </w:p>
              </w:tc>
              <w:tc>
                <w:tcPr>
                  <w:tcW w:w="1061" w:type="pct"/>
                  <w:gridSpan w:val="2"/>
                  <w:vAlign w:val="center"/>
                </w:tcPr>
                <w:p>
                  <w:pPr>
                    <w:adjustRightInd w:val="0"/>
                    <w:snapToGrid w:val="0"/>
                    <w:spacing w:line="240" w:lineRule="auto"/>
                    <w:jc w:val="center"/>
                    <w:rPr>
                      <w:b/>
                      <w:sz w:val="21"/>
                      <w:szCs w:val="21"/>
                      <w:u w:val="single"/>
                    </w:rPr>
                  </w:pPr>
                  <w:r>
                    <w:rPr>
                      <w:b/>
                      <w:sz w:val="21"/>
                      <w:szCs w:val="21"/>
                      <w:u w:val="single"/>
                    </w:rPr>
                    <w:t>环境保护目标</w:t>
                  </w:r>
                </w:p>
              </w:tc>
              <w:tc>
                <w:tcPr>
                  <w:tcW w:w="498" w:type="pct"/>
                  <w:vAlign w:val="center"/>
                </w:tcPr>
                <w:p>
                  <w:pPr>
                    <w:adjustRightInd w:val="0"/>
                    <w:snapToGrid w:val="0"/>
                    <w:spacing w:line="240" w:lineRule="auto"/>
                    <w:jc w:val="center"/>
                    <w:rPr>
                      <w:b/>
                      <w:sz w:val="21"/>
                      <w:szCs w:val="21"/>
                      <w:u w:val="single"/>
                    </w:rPr>
                  </w:pPr>
                  <w:r>
                    <w:rPr>
                      <w:b/>
                      <w:sz w:val="21"/>
                      <w:szCs w:val="21"/>
                      <w:u w:val="single"/>
                    </w:rPr>
                    <w:t>方位距离</w:t>
                  </w:r>
                </w:p>
              </w:tc>
              <w:tc>
                <w:tcPr>
                  <w:tcW w:w="489" w:type="pct"/>
                  <w:vAlign w:val="center"/>
                </w:tcPr>
                <w:p>
                  <w:pPr>
                    <w:adjustRightInd w:val="0"/>
                    <w:snapToGrid w:val="0"/>
                    <w:spacing w:line="240" w:lineRule="auto"/>
                    <w:jc w:val="center"/>
                    <w:rPr>
                      <w:b/>
                      <w:sz w:val="21"/>
                      <w:szCs w:val="21"/>
                      <w:u w:val="single"/>
                    </w:rPr>
                  </w:pPr>
                  <w:r>
                    <w:rPr>
                      <w:b/>
                      <w:sz w:val="21"/>
                      <w:szCs w:val="21"/>
                      <w:u w:val="single"/>
                    </w:rPr>
                    <w:t>环境保护对象功能</w:t>
                  </w:r>
                </w:p>
              </w:tc>
              <w:tc>
                <w:tcPr>
                  <w:tcW w:w="618" w:type="pct"/>
                  <w:vAlign w:val="center"/>
                </w:tcPr>
                <w:p>
                  <w:pPr>
                    <w:adjustRightInd w:val="0"/>
                    <w:snapToGrid w:val="0"/>
                    <w:spacing w:line="240" w:lineRule="auto"/>
                    <w:jc w:val="center"/>
                    <w:rPr>
                      <w:b/>
                      <w:sz w:val="21"/>
                      <w:szCs w:val="21"/>
                      <w:u w:val="single"/>
                    </w:rPr>
                  </w:pPr>
                  <w:r>
                    <w:rPr>
                      <w:b/>
                      <w:sz w:val="21"/>
                      <w:szCs w:val="21"/>
                      <w:u w:val="single"/>
                    </w:rPr>
                    <w:t>规模</w:t>
                  </w:r>
                </w:p>
              </w:tc>
              <w:tc>
                <w:tcPr>
                  <w:tcW w:w="832" w:type="pct"/>
                  <w:vAlign w:val="center"/>
                </w:tcPr>
                <w:p>
                  <w:pPr>
                    <w:adjustRightInd w:val="0"/>
                    <w:snapToGrid w:val="0"/>
                    <w:spacing w:line="240" w:lineRule="auto"/>
                    <w:jc w:val="center"/>
                    <w:rPr>
                      <w:b/>
                      <w:sz w:val="21"/>
                      <w:szCs w:val="21"/>
                      <w:u w:val="single"/>
                    </w:rPr>
                  </w:pPr>
                  <w:r>
                    <w:rPr>
                      <w:b/>
                      <w:sz w:val="21"/>
                      <w:szCs w:val="21"/>
                      <w:u w:val="single"/>
                    </w:rPr>
                    <w:t>有无山体阻隔</w:t>
                  </w:r>
                </w:p>
              </w:tc>
              <w:tc>
                <w:tcPr>
                  <w:tcW w:w="1150" w:type="pct"/>
                  <w:vAlign w:val="center"/>
                </w:tcPr>
                <w:p>
                  <w:pPr>
                    <w:adjustRightInd w:val="0"/>
                    <w:snapToGrid w:val="0"/>
                    <w:spacing w:line="240" w:lineRule="auto"/>
                    <w:jc w:val="center"/>
                    <w:rPr>
                      <w:b/>
                      <w:sz w:val="21"/>
                      <w:szCs w:val="21"/>
                      <w:u w:val="single"/>
                    </w:rPr>
                  </w:pPr>
                  <w:r>
                    <w:rPr>
                      <w:b/>
                      <w:sz w:val="21"/>
                      <w:szCs w:val="21"/>
                      <w:u w:val="single"/>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3" w:hRule="atLeast"/>
                <w:jc w:val="center"/>
              </w:trPr>
              <w:tc>
                <w:tcPr>
                  <w:tcW w:w="348" w:type="pct"/>
                  <w:vMerge w:val="restart"/>
                  <w:vAlign w:val="center"/>
                </w:tcPr>
                <w:p>
                  <w:pPr>
                    <w:adjustRightInd w:val="0"/>
                    <w:snapToGrid w:val="0"/>
                    <w:spacing w:line="240" w:lineRule="auto"/>
                    <w:jc w:val="center"/>
                    <w:rPr>
                      <w:color w:val="0000FF"/>
                      <w:sz w:val="21"/>
                      <w:szCs w:val="21"/>
                      <w:u w:val="single"/>
                    </w:rPr>
                  </w:pPr>
                  <w:r>
                    <w:rPr>
                      <w:sz w:val="21"/>
                      <w:szCs w:val="21"/>
                      <w:u w:val="single"/>
                    </w:rPr>
                    <w:t>环境空气</w:t>
                  </w:r>
                </w:p>
              </w:tc>
              <w:tc>
                <w:tcPr>
                  <w:tcW w:w="1061" w:type="pct"/>
                  <w:gridSpan w:val="2"/>
                  <w:vAlign w:val="center"/>
                </w:tcPr>
                <w:p>
                  <w:pPr>
                    <w:adjustRightInd w:val="0"/>
                    <w:snapToGrid w:val="0"/>
                    <w:spacing w:line="240" w:lineRule="auto"/>
                    <w:jc w:val="center"/>
                    <w:rPr>
                      <w:sz w:val="21"/>
                      <w:szCs w:val="21"/>
                      <w:u w:val="single"/>
                    </w:rPr>
                  </w:pPr>
                  <w:r>
                    <w:rPr>
                      <w:rFonts w:hint="eastAsia"/>
                      <w:sz w:val="21"/>
                      <w:szCs w:val="21"/>
                      <w:u w:val="single"/>
                    </w:rPr>
                    <w:t>沙堆村居民</w:t>
                  </w:r>
                </w:p>
              </w:tc>
              <w:tc>
                <w:tcPr>
                  <w:tcW w:w="498" w:type="pct"/>
                  <w:vAlign w:val="center"/>
                </w:tcPr>
                <w:p>
                  <w:pPr>
                    <w:adjustRightInd w:val="0"/>
                    <w:snapToGrid w:val="0"/>
                    <w:spacing w:line="240" w:lineRule="auto"/>
                    <w:jc w:val="center"/>
                    <w:rPr>
                      <w:sz w:val="21"/>
                      <w:szCs w:val="21"/>
                      <w:u w:val="single"/>
                    </w:rPr>
                  </w:pPr>
                  <w:r>
                    <w:rPr>
                      <w:rFonts w:hint="eastAsia"/>
                      <w:sz w:val="21"/>
                      <w:szCs w:val="21"/>
                      <w:u w:val="single"/>
                    </w:rPr>
                    <w:t>东</w:t>
                  </w:r>
                  <w:r>
                    <w:rPr>
                      <w:sz w:val="21"/>
                      <w:szCs w:val="21"/>
                      <w:u w:val="single"/>
                    </w:rPr>
                    <w:t>面20~</w:t>
                  </w:r>
                  <w:r>
                    <w:rPr>
                      <w:rFonts w:hint="eastAsia"/>
                      <w:sz w:val="21"/>
                      <w:szCs w:val="21"/>
                      <w:u w:val="single"/>
                    </w:rPr>
                    <w:t>500</w:t>
                  </w:r>
                  <w:r>
                    <w:rPr>
                      <w:sz w:val="21"/>
                      <w:szCs w:val="21"/>
                      <w:u w:val="single"/>
                    </w:rPr>
                    <w:t>m</w:t>
                  </w:r>
                </w:p>
              </w:tc>
              <w:tc>
                <w:tcPr>
                  <w:tcW w:w="489" w:type="pct"/>
                  <w:vAlign w:val="center"/>
                </w:tcPr>
                <w:p>
                  <w:pPr>
                    <w:adjustRightInd w:val="0"/>
                    <w:snapToGrid w:val="0"/>
                    <w:spacing w:line="240" w:lineRule="auto"/>
                    <w:jc w:val="center"/>
                    <w:rPr>
                      <w:sz w:val="21"/>
                      <w:szCs w:val="21"/>
                      <w:u w:val="single"/>
                    </w:rPr>
                  </w:pPr>
                  <w:r>
                    <w:rPr>
                      <w:sz w:val="21"/>
                      <w:szCs w:val="21"/>
                      <w:u w:val="single"/>
                    </w:rPr>
                    <w:t>居住</w:t>
                  </w:r>
                </w:p>
              </w:tc>
              <w:tc>
                <w:tcPr>
                  <w:tcW w:w="618" w:type="pct"/>
                  <w:vAlign w:val="center"/>
                </w:tcPr>
                <w:p>
                  <w:pPr>
                    <w:adjustRightInd w:val="0"/>
                    <w:snapToGrid w:val="0"/>
                    <w:spacing w:line="240" w:lineRule="auto"/>
                    <w:jc w:val="center"/>
                    <w:rPr>
                      <w:sz w:val="21"/>
                      <w:szCs w:val="21"/>
                      <w:u w:val="single"/>
                    </w:rPr>
                  </w:pPr>
                  <w:r>
                    <w:rPr>
                      <w:sz w:val="21"/>
                      <w:szCs w:val="21"/>
                      <w:u w:val="single"/>
                    </w:rPr>
                    <w:t>10户约40人</w:t>
                  </w:r>
                </w:p>
              </w:tc>
              <w:tc>
                <w:tcPr>
                  <w:tcW w:w="832" w:type="pct"/>
                  <w:vAlign w:val="center"/>
                </w:tcPr>
                <w:p>
                  <w:pPr>
                    <w:adjustRightInd w:val="0"/>
                    <w:snapToGrid w:val="0"/>
                    <w:spacing w:line="240" w:lineRule="auto"/>
                    <w:jc w:val="center"/>
                    <w:rPr>
                      <w:sz w:val="21"/>
                      <w:szCs w:val="21"/>
                      <w:u w:val="single"/>
                    </w:rPr>
                  </w:pPr>
                  <w:r>
                    <w:rPr>
                      <w:sz w:val="21"/>
                      <w:szCs w:val="21"/>
                      <w:u w:val="single"/>
                    </w:rPr>
                    <w:t>无</w:t>
                  </w:r>
                </w:p>
              </w:tc>
              <w:tc>
                <w:tcPr>
                  <w:tcW w:w="1150" w:type="pct"/>
                  <w:vMerge w:val="restart"/>
                  <w:vAlign w:val="center"/>
                </w:tcPr>
                <w:p>
                  <w:pPr>
                    <w:adjustRightInd w:val="0"/>
                    <w:snapToGrid w:val="0"/>
                    <w:spacing w:line="240" w:lineRule="auto"/>
                    <w:jc w:val="center"/>
                    <w:rPr>
                      <w:color w:val="0000FF"/>
                      <w:sz w:val="21"/>
                      <w:szCs w:val="21"/>
                      <w:u w:val="single"/>
                    </w:rPr>
                  </w:pPr>
                  <w:r>
                    <w:rPr>
                      <w:sz w:val="21"/>
                      <w:szCs w:val="21"/>
                      <w:u w:val="single"/>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8" w:type="pct"/>
                  <w:vMerge w:val="continue"/>
                  <w:vAlign w:val="center"/>
                </w:tcPr>
                <w:p>
                  <w:pPr>
                    <w:widowControl/>
                    <w:adjustRightInd w:val="0"/>
                    <w:snapToGrid w:val="0"/>
                    <w:spacing w:line="240" w:lineRule="auto"/>
                    <w:jc w:val="left"/>
                    <w:rPr>
                      <w:color w:val="0000FF"/>
                      <w:sz w:val="21"/>
                      <w:szCs w:val="21"/>
                      <w:u w:val="single"/>
                    </w:rPr>
                  </w:pPr>
                </w:p>
              </w:tc>
              <w:tc>
                <w:tcPr>
                  <w:tcW w:w="1061" w:type="pct"/>
                  <w:gridSpan w:val="2"/>
                  <w:vAlign w:val="center"/>
                </w:tcPr>
                <w:p>
                  <w:pPr>
                    <w:adjustRightInd w:val="0"/>
                    <w:snapToGrid w:val="0"/>
                    <w:spacing w:line="240" w:lineRule="auto"/>
                    <w:jc w:val="center"/>
                    <w:rPr>
                      <w:sz w:val="21"/>
                      <w:szCs w:val="21"/>
                      <w:u w:val="single"/>
                    </w:rPr>
                  </w:pPr>
                  <w:r>
                    <w:rPr>
                      <w:rFonts w:hint="eastAsia"/>
                      <w:sz w:val="21"/>
                      <w:szCs w:val="21"/>
                      <w:u w:val="single"/>
                    </w:rPr>
                    <w:t>沙堆村居民</w:t>
                  </w:r>
                </w:p>
              </w:tc>
              <w:tc>
                <w:tcPr>
                  <w:tcW w:w="498" w:type="pct"/>
                  <w:vAlign w:val="center"/>
                </w:tcPr>
                <w:p>
                  <w:pPr>
                    <w:adjustRightInd w:val="0"/>
                    <w:snapToGrid w:val="0"/>
                    <w:spacing w:line="240" w:lineRule="auto"/>
                    <w:jc w:val="center"/>
                    <w:rPr>
                      <w:sz w:val="21"/>
                      <w:szCs w:val="21"/>
                      <w:u w:val="single"/>
                    </w:rPr>
                  </w:pPr>
                  <w:r>
                    <w:rPr>
                      <w:sz w:val="21"/>
                      <w:szCs w:val="21"/>
                      <w:u w:val="single"/>
                    </w:rPr>
                    <w:t>东</w:t>
                  </w:r>
                  <w:r>
                    <w:rPr>
                      <w:rFonts w:hint="eastAsia"/>
                      <w:sz w:val="21"/>
                      <w:szCs w:val="21"/>
                      <w:u w:val="single"/>
                    </w:rPr>
                    <w:t>南</w:t>
                  </w:r>
                  <w:r>
                    <w:rPr>
                      <w:sz w:val="21"/>
                      <w:szCs w:val="21"/>
                      <w:u w:val="single"/>
                    </w:rPr>
                    <w:t>面</w:t>
                  </w:r>
                  <w:r>
                    <w:rPr>
                      <w:rFonts w:hint="eastAsia"/>
                      <w:sz w:val="21"/>
                      <w:szCs w:val="21"/>
                      <w:u w:val="single"/>
                    </w:rPr>
                    <w:t>50</w:t>
                  </w:r>
                  <w:r>
                    <w:rPr>
                      <w:sz w:val="21"/>
                      <w:szCs w:val="21"/>
                      <w:u w:val="single"/>
                    </w:rPr>
                    <w:t>~</w:t>
                  </w:r>
                  <w:r>
                    <w:rPr>
                      <w:rFonts w:hint="eastAsia"/>
                      <w:sz w:val="21"/>
                      <w:szCs w:val="21"/>
                      <w:u w:val="single"/>
                    </w:rPr>
                    <w:t>235</w:t>
                  </w:r>
                  <w:r>
                    <w:rPr>
                      <w:sz w:val="21"/>
                      <w:szCs w:val="21"/>
                      <w:u w:val="single"/>
                    </w:rPr>
                    <w:t>m</w:t>
                  </w:r>
                </w:p>
              </w:tc>
              <w:tc>
                <w:tcPr>
                  <w:tcW w:w="489" w:type="pct"/>
                  <w:vAlign w:val="center"/>
                </w:tcPr>
                <w:p>
                  <w:pPr>
                    <w:adjustRightInd w:val="0"/>
                    <w:snapToGrid w:val="0"/>
                    <w:spacing w:line="240" w:lineRule="auto"/>
                    <w:jc w:val="center"/>
                    <w:rPr>
                      <w:sz w:val="21"/>
                      <w:szCs w:val="21"/>
                      <w:u w:val="single"/>
                    </w:rPr>
                  </w:pPr>
                  <w:r>
                    <w:rPr>
                      <w:sz w:val="21"/>
                      <w:szCs w:val="21"/>
                      <w:u w:val="single"/>
                    </w:rPr>
                    <w:t>居住</w:t>
                  </w:r>
                </w:p>
              </w:tc>
              <w:tc>
                <w:tcPr>
                  <w:tcW w:w="618" w:type="pct"/>
                  <w:vAlign w:val="center"/>
                </w:tcPr>
                <w:p>
                  <w:pPr>
                    <w:adjustRightInd w:val="0"/>
                    <w:snapToGrid w:val="0"/>
                    <w:spacing w:line="240" w:lineRule="auto"/>
                    <w:jc w:val="center"/>
                    <w:rPr>
                      <w:sz w:val="21"/>
                      <w:szCs w:val="21"/>
                      <w:u w:val="single"/>
                    </w:rPr>
                  </w:pPr>
                  <w:r>
                    <w:rPr>
                      <w:sz w:val="21"/>
                      <w:szCs w:val="21"/>
                      <w:u w:val="single"/>
                    </w:rPr>
                    <w:t>10户约40人</w:t>
                  </w:r>
                </w:p>
              </w:tc>
              <w:tc>
                <w:tcPr>
                  <w:tcW w:w="832" w:type="pct"/>
                  <w:vAlign w:val="center"/>
                </w:tcPr>
                <w:p>
                  <w:pPr>
                    <w:adjustRightInd w:val="0"/>
                    <w:snapToGrid w:val="0"/>
                    <w:spacing w:line="240" w:lineRule="auto"/>
                    <w:jc w:val="center"/>
                    <w:rPr>
                      <w:sz w:val="21"/>
                      <w:szCs w:val="21"/>
                      <w:u w:val="single"/>
                    </w:rPr>
                  </w:pPr>
                  <w:r>
                    <w:rPr>
                      <w:rFonts w:hint="eastAsia"/>
                      <w:sz w:val="21"/>
                      <w:szCs w:val="21"/>
                      <w:u w:val="single"/>
                    </w:rPr>
                    <w:t>无</w:t>
                  </w:r>
                </w:p>
              </w:tc>
              <w:tc>
                <w:tcPr>
                  <w:tcW w:w="1150" w:type="pct"/>
                  <w:vMerge w:val="continue"/>
                  <w:vAlign w:val="center"/>
                </w:tcPr>
                <w:p>
                  <w:pPr>
                    <w:widowControl/>
                    <w:adjustRightInd w:val="0"/>
                    <w:snapToGrid w:val="0"/>
                    <w:spacing w:line="240" w:lineRule="auto"/>
                    <w:jc w:val="left"/>
                    <w:rPr>
                      <w:color w:val="0000FF"/>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48" w:type="pct"/>
                  <w:vMerge w:val="continue"/>
                  <w:vAlign w:val="center"/>
                </w:tcPr>
                <w:p>
                  <w:pPr>
                    <w:widowControl/>
                    <w:adjustRightInd w:val="0"/>
                    <w:snapToGrid w:val="0"/>
                    <w:spacing w:line="240" w:lineRule="auto"/>
                    <w:jc w:val="left"/>
                    <w:rPr>
                      <w:color w:val="0000FF"/>
                      <w:sz w:val="21"/>
                      <w:szCs w:val="21"/>
                      <w:u w:val="single"/>
                    </w:rPr>
                  </w:pPr>
                </w:p>
              </w:tc>
              <w:tc>
                <w:tcPr>
                  <w:tcW w:w="1061" w:type="pct"/>
                  <w:gridSpan w:val="2"/>
                  <w:vAlign w:val="center"/>
                </w:tcPr>
                <w:p>
                  <w:pPr>
                    <w:adjustRightInd w:val="0"/>
                    <w:snapToGrid w:val="0"/>
                    <w:spacing w:line="240" w:lineRule="auto"/>
                    <w:jc w:val="center"/>
                    <w:rPr>
                      <w:color w:val="0000FF"/>
                      <w:sz w:val="21"/>
                      <w:szCs w:val="21"/>
                      <w:u w:val="single"/>
                    </w:rPr>
                  </w:pPr>
                  <w:r>
                    <w:rPr>
                      <w:rFonts w:hint="eastAsia"/>
                      <w:sz w:val="21"/>
                      <w:szCs w:val="21"/>
                      <w:u w:val="single"/>
                    </w:rPr>
                    <w:t>沙堆村居民</w:t>
                  </w:r>
                </w:p>
              </w:tc>
              <w:tc>
                <w:tcPr>
                  <w:tcW w:w="498" w:type="pct"/>
                  <w:vAlign w:val="center"/>
                </w:tcPr>
                <w:p>
                  <w:pPr>
                    <w:adjustRightInd w:val="0"/>
                    <w:snapToGrid w:val="0"/>
                    <w:spacing w:line="240" w:lineRule="auto"/>
                    <w:jc w:val="center"/>
                    <w:rPr>
                      <w:sz w:val="21"/>
                      <w:szCs w:val="21"/>
                      <w:u w:val="single"/>
                    </w:rPr>
                  </w:pPr>
                  <w:r>
                    <w:rPr>
                      <w:rFonts w:hint="eastAsia"/>
                      <w:sz w:val="21"/>
                      <w:szCs w:val="21"/>
                      <w:u w:val="single"/>
                    </w:rPr>
                    <w:t>南</w:t>
                  </w:r>
                  <w:r>
                    <w:rPr>
                      <w:sz w:val="21"/>
                      <w:szCs w:val="21"/>
                      <w:u w:val="single"/>
                    </w:rPr>
                    <w:t>面</w:t>
                  </w:r>
                  <w:r>
                    <w:rPr>
                      <w:rFonts w:hint="eastAsia"/>
                      <w:sz w:val="21"/>
                      <w:szCs w:val="21"/>
                      <w:u w:val="single"/>
                    </w:rPr>
                    <w:t>25~80</w:t>
                  </w:r>
                  <w:r>
                    <w:rPr>
                      <w:sz w:val="21"/>
                      <w:szCs w:val="21"/>
                      <w:u w:val="single"/>
                    </w:rPr>
                    <w:t>m</w:t>
                  </w:r>
                </w:p>
              </w:tc>
              <w:tc>
                <w:tcPr>
                  <w:tcW w:w="489" w:type="pct"/>
                  <w:vAlign w:val="center"/>
                </w:tcPr>
                <w:p>
                  <w:pPr>
                    <w:adjustRightInd w:val="0"/>
                    <w:snapToGrid w:val="0"/>
                    <w:spacing w:line="240" w:lineRule="auto"/>
                    <w:jc w:val="center"/>
                    <w:rPr>
                      <w:sz w:val="21"/>
                      <w:szCs w:val="21"/>
                      <w:u w:val="single"/>
                    </w:rPr>
                  </w:pPr>
                  <w:r>
                    <w:rPr>
                      <w:sz w:val="21"/>
                      <w:szCs w:val="21"/>
                      <w:u w:val="single"/>
                    </w:rPr>
                    <w:t>居住</w:t>
                  </w:r>
                </w:p>
              </w:tc>
              <w:tc>
                <w:tcPr>
                  <w:tcW w:w="618" w:type="pct"/>
                  <w:vAlign w:val="center"/>
                </w:tcPr>
                <w:p>
                  <w:pPr>
                    <w:adjustRightInd w:val="0"/>
                    <w:snapToGrid w:val="0"/>
                    <w:spacing w:line="240" w:lineRule="auto"/>
                    <w:jc w:val="center"/>
                    <w:rPr>
                      <w:sz w:val="21"/>
                      <w:szCs w:val="21"/>
                      <w:u w:val="single"/>
                    </w:rPr>
                  </w:pPr>
                  <w:r>
                    <w:rPr>
                      <w:rFonts w:hint="eastAsia"/>
                      <w:sz w:val="21"/>
                      <w:szCs w:val="21"/>
                      <w:u w:val="single"/>
                    </w:rPr>
                    <w:t>5</w:t>
                  </w:r>
                  <w:r>
                    <w:rPr>
                      <w:sz w:val="21"/>
                      <w:szCs w:val="21"/>
                      <w:u w:val="single"/>
                    </w:rPr>
                    <w:t>户约</w:t>
                  </w:r>
                  <w:r>
                    <w:rPr>
                      <w:rFonts w:hint="eastAsia"/>
                      <w:sz w:val="21"/>
                      <w:szCs w:val="21"/>
                      <w:u w:val="single"/>
                    </w:rPr>
                    <w:t>15</w:t>
                  </w:r>
                  <w:r>
                    <w:rPr>
                      <w:sz w:val="21"/>
                      <w:szCs w:val="21"/>
                      <w:u w:val="single"/>
                    </w:rPr>
                    <w:t>人</w:t>
                  </w:r>
                </w:p>
              </w:tc>
              <w:tc>
                <w:tcPr>
                  <w:tcW w:w="832" w:type="pct"/>
                  <w:vAlign w:val="center"/>
                </w:tcPr>
                <w:p>
                  <w:pPr>
                    <w:adjustRightInd w:val="0"/>
                    <w:snapToGrid w:val="0"/>
                    <w:spacing w:line="240" w:lineRule="auto"/>
                    <w:jc w:val="center"/>
                    <w:rPr>
                      <w:sz w:val="21"/>
                      <w:szCs w:val="21"/>
                      <w:u w:val="single"/>
                    </w:rPr>
                  </w:pPr>
                  <w:r>
                    <w:rPr>
                      <w:rFonts w:hint="eastAsia"/>
                      <w:sz w:val="21"/>
                      <w:szCs w:val="21"/>
                      <w:u w:val="single"/>
                    </w:rPr>
                    <w:t>无</w:t>
                  </w:r>
                </w:p>
              </w:tc>
              <w:tc>
                <w:tcPr>
                  <w:tcW w:w="1150" w:type="pct"/>
                  <w:vMerge w:val="continue"/>
                  <w:vAlign w:val="center"/>
                </w:tcPr>
                <w:p>
                  <w:pPr>
                    <w:widowControl/>
                    <w:adjustRightInd w:val="0"/>
                    <w:snapToGrid w:val="0"/>
                    <w:spacing w:line="240" w:lineRule="auto"/>
                    <w:jc w:val="left"/>
                    <w:rPr>
                      <w:color w:val="0000FF"/>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348" w:type="pct"/>
                  <w:vMerge w:val="continue"/>
                  <w:vAlign w:val="center"/>
                </w:tcPr>
                <w:p>
                  <w:pPr>
                    <w:widowControl/>
                    <w:adjustRightInd w:val="0"/>
                    <w:snapToGrid w:val="0"/>
                    <w:spacing w:line="240" w:lineRule="auto"/>
                    <w:jc w:val="left"/>
                    <w:rPr>
                      <w:color w:val="0000FF"/>
                      <w:sz w:val="21"/>
                      <w:szCs w:val="21"/>
                      <w:u w:val="single"/>
                    </w:rPr>
                  </w:pPr>
                </w:p>
              </w:tc>
              <w:tc>
                <w:tcPr>
                  <w:tcW w:w="1061" w:type="pct"/>
                  <w:gridSpan w:val="2"/>
                  <w:vAlign w:val="center"/>
                </w:tcPr>
                <w:p>
                  <w:pPr>
                    <w:adjustRightInd w:val="0"/>
                    <w:snapToGrid w:val="0"/>
                    <w:spacing w:line="240" w:lineRule="auto"/>
                    <w:jc w:val="center"/>
                    <w:rPr>
                      <w:color w:val="0000FF"/>
                      <w:sz w:val="21"/>
                      <w:szCs w:val="21"/>
                      <w:u w:val="single"/>
                    </w:rPr>
                  </w:pPr>
                  <w:r>
                    <w:rPr>
                      <w:rFonts w:hint="eastAsia"/>
                      <w:sz w:val="21"/>
                      <w:szCs w:val="21"/>
                      <w:u w:val="single"/>
                    </w:rPr>
                    <w:t>沙堆村居民</w:t>
                  </w:r>
                </w:p>
              </w:tc>
              <w:tc>
                <w:tcPr>
                  <w:tcW w:w="498" w:type="pct"/>
                  <w:vAlign w:val="center"/>
                </w:tcPr>
                <w:p>
                  <w:pPr>
                    <w:adjustRightInd w:val="0"/>
                    <w:snapToGrid w:val="0"/>
                    <w:spacing w:line="240" w:lineRule="auto"/>
                    <w:jc w:val="center"/>
                    <w:rPr>
                      <w:sz w:val="21"/>
                      <w:szCs w:val="21"/>
                      <w:u w:val="single"/>
                    </w:rPr>
                  </w:pPr>
                  <w:r>
                    <w:rPr>
                      <w:sz w:val="21"/>
                      <w:szCs w:val="21"/>
                      <w:u w:val="single"/>
                    </w:rPr>
                    <w:t>西面</w:t>
                  </w:r>
                  <w:r>
                    <w:rPr>
                      <w:rFonts w:hint="eastAsia"/>
                      <w:sz w:val="21"/>
                      <w:szCs w:val="21"/>
                      <w:u w:val="single"/>
                    </w:rPr>
                    <w:t>95</w:t>
                  </w:r>
                  <w:r>
                    <w:rPr>
                      <w:sz w:val="21"/>
                      <w:szCs w:val="21"/>
                      <w:u w:val="single"/>
                    </w:rPr>
                    <w:t>~</w:t>
                  </w:r>
                  <w:r>
                    <w:rPr>
                      <w:rFonts w:hint="eastAsia"/>
                      <w:sz w:val="21"/>
                      <w:szCs w:val="21"/>
                      <w:u w:val="single"/>
                    </w:rPr>
                    <w:t>500</w:t>
                  </w:r>
                  <w:r>
                    <w:rPr>
                      <w:sz w:val="21"/>
                      <w:szCs w:val="21"/>
                      <w:u w:val="single"/>
                    </w:rPr>
                    <w:t>m</w:t>
                  </w:r>
                </w:p>
              </w:tc>
              <w:tc>
                <w:tcPr>
                  <w:tcW w:w="489" w:type="pct"/>
                  <w:vAlign w:val="center"/>
                </w:tcPr>
                <w:p>
                  <w:pPr>
                    <w:adjustRightInd w:val="0"/>
                    <w:snapToGrid w:val="0"/>
                    <w:spacing w:line="240" w:lineRule="auto"/>
                    <w:jc w:val="center"/>
                    <w:rPr>
                      <w:sz w:val="21"/>
                      <w:szCs w:val="21"/>
                      <w:u w:val="single"/>
                    </w:rPr>
                  </w:pPr>
                  <w:r>
                    <w:rPr>
                      <w:sz w:val="21"/>
                      <w:szCs w:val="21"/>
                      <w:u w:val="single"/>
                    </w:rPr>
                    <w:t>居住</w:t>
                  </w:r>
                </w:p>
              </w:tc>
              <w:tc>
                <w:tcPr>
                  <w:tcW w:w="618" w:type="pct"/>
                  <w:vAlign w:val="center"/>
                </w:tcPr>
                <w:p>
                  <w:pPr>
                    <w:adjustRightInd w:val="0"/>
                    <w:snapToGrid w:val="0"/>
                    <w:spacing w:line="240" w:lineRule="auto"/>
                    <w:jc w:val="center"/>
                    <w:rPr>
                      <w:sz w:val="21"/>
                      <w:szCs w:val="21"/>
                      <w:u w:val="single"/>
                    </w:rPr>
                  </w:pPr>
                  <w:r>
                    <w:rPr>
                      <w:rFonts w:hint="eastAsia"/>
                      <w:sz w:val="21"/>
                      <w:szCs w:val="21"/>
                      <w:u w:val="single"/>
                    </w:rPr>
                    <w:t>7</w:t>
                  </w:r>
                  <w:r>
                    <w:rPr>
                      <w:sz w:val="21"/>
                      <w:szCs w:val="21"/>
                      <w:u w:val="single"/>
                    </w:rPr>
                    <w:t>户约</w:t>
                  </w:r>
                  <w:r>
                    <w:rPr>
                      <w:rFonts w:hint="eastAsia"/>
                      <w:sz w:val="21"/>
                      <w:szCs w:val="21"/>
                      <w:u w:val="single"/>
                    </w:rPr>
                    <w:t>21</w:t>
                  </w:r>
                  <w:r>
                    <w:rPr>
                      <w:sz w:val="21"/>
                      <w:szCs w:val="21"/>
                      <w:u w:val="single"/>
                    </w:rPr>
                    <w:t>人</w:t>
                  </w:r>
                </w:p>
              </w:tc>
              <w:tc>
                <w:tcPr>
                  <w:tcW w:w="832" w:type="pct"/>
                  <w:vAlign w:val="center"/>
                </w:tcPr>
                <w:p>
                  <w:pPr>
                    <w:adjustRightInd w:val="0"/>
                    <w:snapToGrid w:val="0"/>
                    <w:spacing w:line="240" w:lineRule="auto"/>
                    <w:jc w:val="center"/>
                    <w:rPr>
                      <w:sz w:val="21"/>
                      <w:szCs w:val="21"/>
                      <w:u w:val="single"/>
                    </w:rPr>
                  </w:pPr>
                  <w:r>
                    <w:rPr>
                      <w:sz w:val="21"/>
                      <w:szCs w:val="21"/>
                      <w:u w:val="single"/>
                    </w:rPr>
                    <w:t>无</w:t>
                  </w:r>
                </w:p>
              </w:tc>
              <w:tc>
                <w:tcPr>
                  <w:tcW w:w="1150" w:type="pct"/>
                  <w:vMerge w:val="continue"/>
                  <w:vAlign w:val="center"/>
                </w:tcPr>
                <w:p>
                  <w:pPr>
                    <w:widowControl/>
                    <w:adjustRightInd w:val="0"/>
                    <w:snapToGrid w:val="0"/>
                    <w:spacing w:line="240" w:lineRule="auto"/>
                    <w:jc w:val="left"/>
                    <w:rPr>
                      <w:color w:val="0000FF"/>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3" w:hRule="atLeast"/>
                <w:jc w:val="center"/>
              </w:trPr>
              <w:tc>
                <w:tcPr>
                  <w:tcW w:w="348" w:type="pct"/>
                  <w:vMerge w:val="restart"/>
                  <w:vAlign w:val="center"/>
                </w:tcPr>
                <w:p>
                  <w:pPr>
                    <w:adjustRightInd w:val="0"/>
                    <w:snapToGrid w:val="0"/>
                    <w:spacing w:line="240" w:lineRule="auto"/>
                    <w:jc w:val="center"/>
                    <w:rPr>
                      <w:color w:val="0000FF"/>
                      <w:sz w:val="21"/>
                      <w:szCs w:val="21"/>
                      <w:u w:val="single"/>
                    </w:rPr>
                  </w:pPr>
                  <w:r>
                    <w:rPr>
                      <w:sz w:val="21"/>
                      <w:szCs w:val="21"/>
                      <w:u w:val="single"/>
                    </w:rPr>
                    <w:t>地表水</w:t>
                  </w:r>
                </w:p>
              </w:tc>
              <w:tc>
                <w:tcPr>
                  <w:tcW w:w="1061" w:type="pct"/>
                  <w:gridSpan w:val="2"/>
                  <w:vAlign w:val="center"/>
                </w:tcPr>
                <w:p>
                  <w:pPr>
                    <w:adjustRightInd w:val="0"/>
                    <w:snapToGrid w:val="0"/>
                    <w:spacing w:line="240" w:lineRule="auto"/>
                    <w:jc w:val="center"/>
                    <w:rPr>
                      <w:sz w:val="21"/>
                      <w:szCs w:val="21"/>
                      <w:u w:val="single"/>
                    </w:rPr>
                  </w:pPr>
                  <w:r>
                    <w:rPr>
                      <w:rFonts w:hint="eastAsia"/>
                      <w:sz w:val="21"/>
                      <w:szCs w:val="21"/>
                      <w:u w:val="single"/>
                    </w:rPr>
                    <w:t>沅江</w:t>
                  </w:r>
                </w:p>
              </w:tc>
              <w:tc>
                <w:tcPr>
                  <w:tcW w:w="498" w:type="pct"/>
                  <w:vAlign w:val="center"/>
                </w:tcPr>
                <w:p>
                  <w:pPr>
                    <w:adjustRightInd w:val="0"/>
                    <w:snapToGrid w:val="0"/>
                    <w:spacing w:line="240" w:lineRule="auto"/>
                    <w:jc w:val="center"/>
                    <w:rPr>
                      <w:sz w:val="21"/>
                      <w:szCs w:val="21"/>
                      <w:u w:val="single"/>
                    </w:rPr>
                  </w:pPr>
                  <w:r>
                    <w:rPr>
                      <w:rFonts w:hint="eastAsia"/>
                      <w:sz w:val="21"/>
                      <w:szCs w:val="21"/>
                      <w:u w:val="single"/>
                    </w:rPr>
                    <w:t>北</w:t>
                  </w:r>
                  <w:r>
                    <w:rPr>
                      <w:sz w:val="21"/>
                      <w:szCs w:val="21"/>
                      <w:u w:val="single"/>
                    </w:rPr>
                    <w:t>面</w:t>
                  </w:r>
                  <w:r>
                    <w:rPr>
                      <w:rFonts w:hint="eastAsia"/>
                      <w:sz w:val="21"/>
                      <w:szCs w:val="21"/>
                      <w:u w:val="single"/>
                    </w:rPr>
                    <w:t>1m</w:t>
                  </w:r>
                </w:p>
              </w:tc>
              <w:tc>
                <w:tcPr>
                  <w:tcW w:w="489" w:type="pct"/>
                  <w:vAlign w:val="center"/>
                </w:tcPr>
                <w:p>
                  <w:pPr>
                    <w:adjustRightInd w:val="0"/>
                    <w:snapToGrid w:val="0"/>
                    <w:spacing w:line="240" w:lineRule="auto"/>
                    <w:jc w:val="center"/>
                    <w:rPr>
                      <w:sz w:val="21"/>
                      <w:szCs w:val="21"/>
                      <w:u w:val="single"/>
                    </w:rPr>
                  </w:pPr>
                  <w:r>
                    <w:rPr>
                      <w:sz w:val="21"/>
                      <w:szCs w:val="21"/>
                      <w:u w:val="single"/>
                    </w:rPr>
                    <w:t>工业、农业用水</w:t>
                  </w:r>
                </w:p>
              </w:tc>
              <w:tc>
                <w:tcPr>
                  <w:tcW w:w="618" w:type="pct"/>
                  <w:vAlign w:val="center"/>
                </w:tcPr>
                <w:p>
                  <w:pPr>
                    <w:adjustRightInd w:val="0"/>
                    <w:snapToGrid w:val="0"/>
                    <w:spacing w:line="240" w:lineRule="auto"/>
                    <w:jc w:val="center"/>
                    <w:rPr>
                      <w:sz w:val="21"/>
                      <w:szCs w:val="21"/>
                      <w:u w:val="single"/>
                    </w:rPr>
                  </w:pPr>
                  <w:r>
                    <w:rPr>
                      <w:sz w:val="21"/>
                      <w:szCs w:val="21"/>
                      <w:u w:val="single"/>
                    </w:rPr>
                    <w:t>大河</w:t>
                  </w:r>
                </w:p>
              </w:tc>
              <w:tc>
                <w:tcPr>
                  <w:tcW w:w="832" w:type="pct"/>
                  <w:vAlign w:val="center"/>
                </w:tcPr>
                <w:p>
                  <w:pPr>
                    <w:adjustRightInd w:val="0"/>
                    <w:snapToGrid w:val="0"/>
                    <w:spacing w:line="240" w:lineRule="auto"/>
                    <w:jc w:val="center"/>
                    <w:rPr>
                      <w:sz w:val="21"/>
                      <w:szCs w:val="21"/>
                      <w:u w:val="single"/>
                    </w:rPr>
                  </w:pPr>
                  <w:r>
                    <w:rPr>
                      <w:rFonts w:hint="eastAsia"/>
                      <w:sz w:val="21"/>
                      <w:szCs w:val="21"/>
                      <w:u w:val="single"/>
                    </w:rPr>
                    <w:t>无</w:t>
                  </w:r>
                </w:p>
              </w:tc>
              <w:tc>
                <w:tcPr>
                  <w:tcW w:w="1150" w:type="pct"/>
                  <w:vAlign w:val="center"/>
                </w:tcPr>
                <w:p>
                  <w:pPr>
                    <w:adjustRightInd w:val="0"/>
                    <w:snapToGrid w:val="0"/>
                    <w:spacing w:line="240" w:lineRule="auto"/>
                    <w:jc w:val="center"/>
                    <w:rPr>
                      <w:color w:val="0000FF"/>
                      <w:sz w:val="21"/>
                      <w:szCs w:val="21"/>
                      <w:u w:val="single"/>
                    </w:rPr>
                  </w:pPr>
                  <w:r>
                    <w:rPr>
                      <w:sz w:val="21"/>
                      <w:szCs w:val="21"/>
                      <w:u w:val="single"/>
                    </w:rPr>
                    <w:t>《地表水环境质量标准》（GB3838 -2002）</w:t>
                  </w:r>
                  <w:r>
                    <w:rPr>
                      <w:rFonts w:hint="eastAsia"/>
                      <w:sz w:val="21"/>
                      <w:szCs w:val="21"/>
                      <w:u w:val="single"/>
                      <w:lang w:val="en-US" w:eastAsia="zh-CN"/>
                    </w:rPr>
                    <w:t>III</w:t>
                  </w:r>
                  <w:r>
                    <w:rPr>
                      <w:sz w:val="21"/>
                      <w:szCs w:val="21"/>
                      <w:u w:val="single"/>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3" w:hRule="atLeast"/>
                <w:jc w:val="center"/>
              </w:trPr>
              <w:tc>
                <w:tcPr>
                  <w:tcW w:w="348" w:type="pct"/>
                  <w:vMerge w:val="continue"/>
                  <w:vAlign w:val="center"/>
                </w:tcPr>
                <w:p>
                  <w:pPr>
                    <w:adjustRightInd w:val="0"/>
                    <w:snapToGrid w:val="0"/>
                    <w:spacing w:line="240" w:lineRule="auto"/>
                    <w:jc w:val="center"/>
                    <w:rPr>
                      <w:sz w:val="21"/>
                      <w:szCs w:val="21"/>
                      <w:u w:val="single"/>
                    </w:rPr>
                  </w:pPr>
                </w:p>
              </w:tc>
              <w:tc>
                <w:tcPr>
                  <w:tcW w:w="1061" w:type="pct"/>
                  <w:gridSpan w:val="2"/>
                  <w:vAlign w:val="center"/>
                </w:tcPr>
                <w:p>
                  <w:pPr>
                    <w:adjustRightInd w:val="0"/>
                    <w:snapToGrid w:val="0"/>
                    <w:spacing w:line="240" w:lineRule="auto"/>
                    <w:jc w:val="center"/>
                    <w:rPr>
                      <w:rFonts w:hint="eastAsia" w:ascii="Times New Roman" w:hAnsi="Times New Roman" w:eastAsia="宋体" w:cs="Times New Roman"/>
                      <w:sz w:val="21"/>
                      <w:szCs w:val="21"/>
                      <w:u w:val="single"/>
                    </w:rPr>
                  </w:pPr>
                  <w:r>
                    <w:rPr>
                      <w:rFonts w:hint="eastAsia" w:ascii="Times New Roman" w:hAnsi="Times New Roman" w:eastAsia="宋体" w:cs="Times New Roman"/>
                      <w:sz w:val="21"/>
                      <w:szCs w:val="21"/>
                      <w:u w:val="single"/>
                      <w:lang w:val="en-US" w:eastAsia="zh-CN"/>
                    </w:rPr>
                    <w:t>辰溪县二水厂规划饮用水源取水口</w:t>
                  </w:r>
                </w:p>
              </w:tc>
              <w:tc>
                <w:tcPr>
                  <w:tcW w:w="498" w:type="pct"/>
                  <w:vAlign w:val="center"/>
                </w:tcPr>
                <w:p>
                  <w:pPr>
                    <w:adjustRightInd w:val="0"/>
                    <w:snapToGrid w:val="0"/>
                    <w:spacing w:line="240" w:lineRule="auto"/>
                    <w:jc w:val="center"/>
                    <w:rPr>
                      <w:rFonts w:hint="eastAsia" w:ascii="Times New Roman" w:hAnsi="Times New Roman" w:eastAsia="宋体" w:cs="Times New Roman"/>
                      <w:sz w:val="21"/>
                      <w:szCs w:val="21"/>
                      <w:u w:val="single"/>
                    </w:rPr>
                  </w:pPr>
                  <w:r>
                    <w:rPr>
                      <w:rFonts w:hint="eastAsia" w:cs="Times New Roman"/>
                      <w:sz w:val="21"/>
                      <w:szCs w:val="21"/>
                      <w:u w:val="single"/>
                      <w:lang w:val="en-US" w:eastAsia="zh-CN"/>
                    </w:rPr>
                    <w:t>北侧厂界直线距离</w:t>
                  </w:r>
                  <w:r>
                    <w:rPr>
                      <w:rFonts w:hint="eastAsia" w:ascii="Times New Roman" w:hAnsi="Times New Roman" w:eastAsia="宋体" w:cs="Times New Roman"/>
                      <w:sz w:val="21"/>
                      <w:szCs w:val="21"/>
                      <w:u w:val="single"/>
                      <w:lang w:val="en-US" w:eastAsia="zh-CN"/>
                    </w:rPr>
                    <w:t>200m</w:t>
                  </w:r>
                </w:p>
              </w:tc>
              <w:tc>
                <w:tcPr>
                  <w:tcW w:w="489" w:type="pct"/>
                  <w:vAlign w:val="center"/>
                </w:tcPr>
                <w:p>
                  <w:pPr>
                    <w:adjustRightInd w:val="0"/>
                    <w:snapToGrid w:val="0"/>
                    <w:spacing w:line="240" w:lineRule="auto"/>
                    <w:jc w:val="center"/>
                    <w:rPr>
                      <w:rFonts w:hint="eastAsia" w:ascii="Times New Roman" w:hAnsi="Times New Roman" w:eastAsia="宋体" w:cs="Times New Roman"/>
                      <w:sz w:val="21"/>
                      <w:szCs w:val="21"/>
                      <w:u w:val="single"/>
                    </w:rPr>
                  </w:pPr>
                  <w:r>
                    <w:rPr>
                      <w:rFonts w:hint="eastAsia" w:ascii="Times New Roman" w:hAnsi="Times New Roman" w:eastAsia="宋体" w:cs="Times New Roman"/>
                      <w:sz w:val="21"/>
                      <w:szCs w:val="21"/>
                      <w:u w:val="single"/>
                      <w:lang w:val="en-US" w:eastAsia="zh-CN"/>
                    </w:rPr>
                    <w:t>饮用水源取水口</w:t>
                  </w:r>
                </w:p>
              </w:tc>
              <w:tc>
                <w:tcPr>
                  <w:tcW w:w="618" w:type="pct"/>
                  <w:vAlign w:val="center"/>
                </w:tcPr>
                <w:p>
                  <w:pPr>
                    <w:adjustRightInd w:val="0"/>
                    <w:snapToGrid w:val="0"/>
                    <w:spacing w:line="240" w:lineRule="auto"/>
                    <w:jc w:val="center"/>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w:t>
                  </w:r>
                </w:p>
              </w:tc>
              <w:tc>
                <w:tcPr>
                  <w:tcW w:w="832" w:type="pct"/>
                  <w:vAlign w:val="center"/>
                </w:tcPr>
                <w:p>
                  <w:pPr>
                    <w:adjustRightInd w:val="0"/>
                    <w:snapToGrid w:val="0"/>
                    <w:spacing w:line="240" w:lineRule="auto"/>
                    <w:jc w:val="center"/>
                    <w:rPr>
                      <w:rFonts w:hint="eastAsia" w:ascii="Times New Roman" w:hAnsi="Times New Roman" w:eastAsia="宋体" w:cs="Times New Roman"/>
                      <w:sz w:val="21"/>
                      <w:szCs w:val="21"/>
                      <w:u w:val="single"/>
                      <w:lang w:eastAsia="zh-CN"/>
                    </w:rPr>
                  </w:pPr>
                  <w:r>
                    <w:rPr>
                      <w:rFonts w:hint="eastAsia" w:ascii="Times New Roman" w:hAnsi="Times New Roman" w:eastAsia="宋体" w:cs="Times New Roman"/>
                      <w:sz w:val="21"/>
                      <w:szCs w:val="21"/>
                      <w:u w:val="single"/>
                      <w:lang w:eastAsia="zh-CN"/>
                    </w:rPr>
                    <w:t>无</w:t>
                  </w:r>
                </w:p>
              </w:tc>
              <w:tc>
                <w:tcPr>
                  <w:tcW w:w="1150" w:type="pct"/>
                  <w:vAlign w:val="center"/>
                </w:tcPr>
                <w:p>
                  <w:pPr>
                    <w:adjustRightInd w:val="0"/>
                    <w:snapToGrid w:val="0"/>
                    <w:spacing w:line="240" w:lineRule="auto"/>
                    <w:jc w:val="center"/>
                    <w:rPr>
                      <w:rFonts w:hint="eastAsia" w:ascii="Times New Roman" w:hAnsi="Times New Roman" w:eastAsia="宋体" w:cs="Times New Roman"/>
                      <w:sz w:val="21"/>
                      <w:szCs w:val="21"/>
                      <w:u w:val="single"/>
                    </w:rPr>
                  </w:pPr>
                  <w:r>
                    <w:rPr>
                      <w:rFonts w:hint="eastAsia" w:ascii="Times New Roman" w:hAnsi="Times New Roman" w:eastAsia="宋体" w:cs="Times New Roman"/>
                      <w:sz w:val="21"/>
                      <w:szCs w:val="21"/>
                      <w:u w:val="single"/>
                    </w:rPr>
                    <w:t>《地表水环境质量标准》（GB3838 -2002）</w:t>
                  </w:r>
                  <w:r>
                    <w:rPr>
                      <w:rFonts w:hint="eastAsia" w:ascii="Times New Roman" w:hAnsi="Times New Roman" w:eastAsia="宋体" w:cs="Times New Roman"/>
                      <w:sz w:val="21"/>
                      <w:szCs w:val="21"/>
                      <w:u w:val="single"/>
                      <w:lang w:val="en-US" w:eastAsia="zh-CN"/>
                    </w:rPr>
                    <w:t>II</w:t>
                  </w:r>
                  <w:r>
                    <w:rPr>
                      <w:rFonts w:hint="eastAsia" w:ascii="Times New Roman" w:hAnsi="Times New Roman" w:eastAsia="宋体" w:cs="Times New Roman"/>
                      <w:sz w:val="21"/>
                      <w:szCs w:val="21"/>
                      <w:u w:val="single"/>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3" w:hRule="atLeast"/>
                <w:jc w:val="center"/>
              </w:trPr>
              <w:tc>
                <w:tcPr>
                  <w:tcW w:w="348" w:type="pct"/>
                  <w:vMerge w:val="restart"/>
                  <w:vAlign w:val="center"/>
                </w:tcPr>
                <w:p>
                  <w:pPr>
                    <w:adjustRightInd w:val="0"/>
                    <w:snapToGrid w:val="0"/>
                    <w:spacing w:line="240" w:lineRule="auto"/>
                    <w:jc w:val="center"/>
                    <w:rPr>
                      <w:color w:val="0000FF"/>
                      <w:sz w:val="21"/>
                      <w:szCs w:val="21"/>
                      <w:u w:val="single"/>
                    </w:rPr>
                  </w:pPr>
                  <w:r>
                    <w:rPr>
                      <w:sz w:val="21"/>
                      <w:szCs w:val="21"/>
                      <w:u w:val="single"/>
                    </w:rPr>
                    <w:t>噪声</w:t>
                  </w:r>
                </w:p>
              </w:tc>
              <w:tc>
                <w:tcPr>
                  <w:tcW w:w="650" w:type="pct"/>
                  <w:vMerge w:val="restart"/>
                  <w:vAlign w:val="center"/>
                </w:tcPr>
                <w:p>
                  <w:pPr>
                    <w:adjustRightInd w:val="0"/>
                    <w:snapToGrid w:val="0"/>
                    <w:spacing w:line="240" w:lineRule="auto"/>
                    <w:jc w:val="center"/>
                    <w:rPr>
                      <w:rFonts w:hint="eastAsia" w:eastAsia="宋体"/>
                      <w:color w:val="0000FF"/>
                      <w:sz w:val="21"/>
                      <w:szCs w:val="21"/>
                      <w:u w:val="single"/>
                      <w:lang w:eastAsia="zh-CN"/>
                    </w:rPr>
                  </w:pPr>
                  <w:r>
                    <w:rPr>
                      <w:rFonts w:hint="eastAsia"/>
                      <w:color w:val="auto"/>
                      <w:sz w:val="21"/>
                      <w:szCs w:val="21"/>
                      <w:u w:val="single"/>
                      <w:lang w:eastAsia="zh-CN"/>
                    </w:rPr>
                    <w:t>厂界</w:t>
                  </w:r>
                  <w:r>
                    <w:rPr>
                      <w:rFonts w:hint="eastAsia" w:ascii="Times New Roman" w:hAnsi="Times New Roman" w:cs="Times New Roman"/>
                      <w:color w:val="auto"/>
                      <w:sz w:val="21"/>
                      <w:szCs w:val="21"/>
                      <w:u w:val="single"/>
                      <w:lang w:eastAsia="zh-CN"/>
                    </w:rPr>
                    <w:t>（评价范围：</w:t>
                  </w:r>
                  <w:r>
                    <w:rPr>
                      <w:rFonts w:hint="eastAsia" w:ascii="Times New Roman" w:hAnsi="Times New Roman" w:cs="Times New Roman"/>
                      <w:color w:val="auto"/>
                      <w:sz w:val="21"/>
                      <w:szCs w:val="21"/>
                      <w:u w:val="single"/>
                      <w:lang w:val="en-US" w:eastAsia="zh-CN"/>
                    </w:rPr>
                    <w:t>50m内</w:t>
                  </w:r>
                  <w:r>
                    <w:rPr>
                      <w:rFonts w:hint="eastAsia" w:ascii="Times New Roman" w:hAnsi="Times New Roman" w:cs="Times New Roman"/>
                      <w:color w:val="auto"/>
                      <w:sz w:val="21"/>
                      <w:szCs w:val="21"/>
                      <w:u w:val="single"/>
                      <w:lang w:eastAsia="zh-CN"/>
                    </w:rPr>
                    <w:t>）</w:t>
                  </w:r>
                </w:p>
              </w:tc>
              <w:tc>
                <w:tcPr>
                  <w:tcW w:w="411" w:type="pct"/>
                  <w:vAlign w:val="center"/>
                </w:tcPr>
                <w:p>
                  <w:pPr>
                    <w:adjustRightInd w:val="0"/>
                    <w:snapToGrid w:val="0"/>
                    <w:spacing w:line="240" w:lineRule="auto"/>
                    <w:jc w:val="center"/>
                    <w:rPr>
                      <w:rFonts w:hint="eastAsia"/>
                      <w:sz w:val="21"/>
                      <w:szCs w:val="21"/>
                      <w:u w:val="single"/>
                    </w:rPr>
                  </w:pPr>
                  <w:r>
                    <w:rPr>
                      <w:rFonts w:hint="eastAsia"/>
                      <w:sz w:val="21"/>
                      <w:szCs w:val="21"/>
                      <w:u w:val="single"/>
                    </w:rPr>
                    <w:t>沙堆村居民</w:t>
                  </w:r>
                </w:p>
              </w:tc>
              <w:tc>
                <w:tcPr>
                  <w:tcW w:w="498" w:type="pct"/>
                  <w:vAlign w:val="center"/>
                </w:tcPr>
                <w:p>
                  <w:pPr>
                    <w:adjustRightInd w:val="0"/>
                    <w:snapToGrid w:val="0"/>
                    <w:spacing w:line="240" w:lineRule="auto"/>
                    <w:jc w:val="center"/>
                    <w:rPr>
                      <w:color w:val="0000FF"/>
                      <w:sz w:val="21"/>
                      <w:szCs w:val="21"/>
                      <w:u w:val="single"/>
                    </w:rPr>
                  </w:pPr>
                  <w:r>
                    <w:rPr>
                      <w:rFonts w:hint="eastAsia"/>
                      <w:sz w:val="21"/>
                      <w:szCs w:val="21"/>
                      <w:u w:val="single"/>
                    </w:rPr>
                    <w:t>东</w:t>
                  </w:r>
                  <w:r>
                    <w:rPr>
                      <w:sz w:val="21"/>
                      <w:szCs w:val="21"/>
                      <w:u w:val="single"/>
                    </w:rPr>
                    <w:t>面20m</w:t>
                  </w:r>
                </w:p>
              </w:tc>
              <w:tc>
                <w:tcPr>
                  <w:tcW w:w="489" w:type="pct"/>
                  <w:vAlign w:val="center"/>
                </w:tcPr>
                <w:p>
                  <w:pPr>
                    <w:adjustRightInd w:val="0"/>
                    <w:snapToGrid w:val="0"/>
                    <w:spacing w:line="240" w:lineRule="auto"/>
                    <w:jc w:val="center"/>
                    <w:rPr>
                      <w:color w:val="0000FF"/>
                      <w:sz w:val="21"/>
                      <w:szCs w:val="21"/>
                      <w:u w:val="single"/>
                    </w:rPr>
                  </w:pPr>
                  <w:r>
                    <w:rPr>
                      <w:sz w:val="21"/>
                      <w:szCs w:val="21"/>
                      <w:u w:val="single"/>
                    </w:rPr>
                    <w:t>居住</w:t>
                  </w:r>
                </w:p>
              </w:tc>
              <w:tc>
                <w:tcPr>
                  <w:tcW w:w="618" w:type="pct"/>
                  <w:vAlign w:val="center"/>
                </w:tcPr>
                <w:p>
                  <w:pPr>
                    <w:adjustRightInd w:val="0"/>
                    <w:snapToGrid w:val="0"/>
                    <w:spacing w:line="240" w:lineRule="auto"/>
                    <w:jc w:val="center"/>
                    <w:rPr>
                      <w:color w:val="0000FF"/>
                      <w:sz w:val="21"/>
                      <w:szCs w:val="21"/>
                      <w:u w:val="single"/>
                    </w:rPr>
                  </w:pPr>
                  <w:r>
                    <w:rPr>
                      <w:sz w:val="21"/>
                      <w:szCs w:val="21"/>
                      <w:u w:val="single"/>
                    </w:rPr>
                    <w:t>1户约</w:t>
                  </w:r>
                  <w:r>
                    <w:rPr>
                      <w:rFonts w:hint="eastAsia"/>
                      <w:sz w:val="21"/>
                      <w:szCs w:val="21"/>
                      <w:u w:val="single"/>
                    </w:rPr>
                    <w:t>3</w:t>
                  </w:r>
                  <w:r>
                    <w:rPr>
                      <w:sz w:val="21"/>
                      <w:szCs w:val="21"/>
                      <w:u w:val="single"/>
                    </w:rPr>
                    <w:t>人</w:t>
                  </w:r>
                </w:p>
              </w:tc>
              <w:tc>
                <w:tcPr>
                  <w:tcW w:w="832" w:type="pct"/>
                  <w:vAlign w:val="center"/>
                </w:tcPr>
                <w:p>
                  <w:pPr>
                    <w:adjustRightInd w:val="0"/>
                    <w:snapToGrid w:val="0"/>
                    <w:spacing w:line="240" w:lineRule="auto"/>
                    <w:jc w:val="center"/>
                    <w:rPr>
                      <w:color w:val="0000FF"/>
                      <w:sz w:val="21"/>
                      <w:szCs w:val="21"/>
                      <w:u w:val="single"/>
                    </w:rPr>
                  </w:pPr>
                  <w:r>
                    <w:rPr>
                      <w:sz w:val="21"/>
                      <w:szCs w:val="21"/>
                      <w:u w:val="single"/>
                    </w:rPr>
                    <w:t>无</w:t>
                  </w:r>
                </w:p>
              </w:tc>
              <w:tc>
                <w:tcPr>
                  <w:tcW w:w="1150" w:type="pct"/>
                  <w:vMerge w:val="restart"/>
                  <w:vAlign w:val="center"/>
                </w:tcPr>
                <w:p>
                  <w:pPr>
                    <w:adjustRightInd w:val="0"/>
                    <w:snapToGrid w:val="0"/>
                    <w:spacing w:line="240" w:lineRule="auto"/>
                    <w:jc w:val="center"/>
                    <w:rPr>
                      <w:sz w:val="21"/>
                      <w:szCs w:val="21"/>
                      <w:u w:val="single"/>
                    </w:rPr>
                  </w:pPr>
                  <w:r>
                    <w:rPr>
                      <w:sz w:val="21"/>
                      <w:szCs w:val="21"/>
                      <w:u w:val="single"/>
                    </w:rPr>
                    <w:t>噪声敏感点执行《声环境质量标准》（GB3096-2008）中2类标准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3" w:hRule="atLeast"/>
                <w:jc w:val="center"/>
              </w:trPr>
              <w:tc>
                <w:tcPr>
                  <w:tcW w:w="348" w:type="pct"/>
                  <w:vMerge w:val="continue"/>
                  <w:vAlign w:val="center"/>
                </w:tcPr>
                <w:p>
                  <w:pPr>
                    <w:adjustRightInd w:val="0"/>
                    <w:snapToGrid w:val="0"/>
                    <w:spacing w:line="240" w:lineRule="auto"/>
                    <w:jc w:val="center"/>
                    <w:rPr>
                      <w:color w:val="0000FF"/>
                      <w:sz w:val="21"/>
                      <w:szCs w:val="21"/>
                      <w:u w:val="single"/>
                    </w:rPr>
                  </w:pPr>
                </w:p>
              </w:tc>
              <w:tc>
                <w:tcPr>
                  <w:tcW w:w="650" w:type="pct"/>
                  <w:vMerge w:val="continue"/>
                  <w:vAlign w:val="center"/>
                </w:tcPr>
                <w:p>
                  <w:pPr>
                    <w:adjustRightInd w:val="0"/>
                    <w:snapToGrid w:val="0"/>
                    <w:spacing w:line="240" w:lineRule="auto"/>
                    <w:jc w:val="center"/>
                    <w:rPr>
                      <w:color w:val="0000FF"/>
                      <w:sz w:val="21"/>
                      <w:szCs w:val="21"/>
                      <w:u w:val="single"/>
                    </w:rPr>
                  </w:pPr>
                </w:p>
              </w:tc>
              <w:tc>
                <w:tcPr>
                  <w:tcW w:w="411" w:type="pct"/>
                  <w:vAlign w:val="center"/>
                </w:tcPr>
                <w:p>
                  <w:pPr>
                    <w:adjustRightInd w:val="0"/>
                    <w:snapToGrid w:val="0"/>
                    <w:spacing w:line="240" w:lineRule="auto"/>
                    <w:jc w:val="center"/>
                    <w:rPr>
                      <w:rFonts w:hint="eastAsia"/>
                      <w:sz w:val="21"/>
                      <w:szCs w:val="21"/>
                      <w:u w:val="single"/>
                    </w:rPr>
                  </w:pPr>
                  <w:r>
                    <w:rPr>
                      <w:rFonts w:hint="eastAsia"/>
                      <w:sz w:val="21"/>
                      <w:szCs w:val="21"/>
                      <w:u w:val="single"/>
                    </w:rPr>
                    <w:t>沙堆村居民</w:t>
                  </w:r>
                </w:p>
              </w:tc>
              <w:tc>
                <w:tcPr>
                  <w:tcW w:w="498" w:type="pct"/>
                  <w:vAlign w:val="center"/>
                </w:tcPr>
                <w:p>
                  <w:pPr>
                    <w:adjustRightInd w:val="0"/>
                    <w:snapToGrid w:val="0"/>
                    <w:spacing w:line="240" w:lineRule="auto"/>
                    <w:jc w:val="center"/>
                    <w:rPr>
                      <w:color w:val="0000FF"/>
                      <w:sz w:val="21"/>
                      <w:szCs w:val="21"/>
                      <w:u w:val="single"/>
                    </w:rPr>
                  </w:pPr>
                  <w:r>
                    <w:rPr>
                      <w:sz w:val="21"/>
                      <w:szCs w:val="21"/>
                      <w:u w:val="single"/>
                    </w:rPr>
                    <w:t>东</w:t>
                  </w:r>
                  <w:r>
                    <w:rPr>
                      <w:rFonts w:hint="eastAsia"/>
                      <w:sz w:val="21"/>
                      <w:szCs w:val="21"/>
                      <w:u w:val="single"/>
                    </w:rPr>
                    <w:t>南</w:t>
                  </w:r>
                  <w:r>
                    <w:rPr>
                      <w:sz w:val="21"/>
                      <w:szCs w:val="21"/>
                      <w:u w:val="single"/>
                    </w:rPr>
                    <w:t>面</w:t>
                  </w:r>
                  <w:r>
                    <w:rPr>
                      <w:rFonts w:hint="eastAsia"/>
                      <w:sz w:val="21"/>
                      <w:szCs w:val="21"/>
                      <w:u w:val="single"/>
                    </w:rPr>
                    <w:t>50</w:t>
                  </w:r>
                  <w:r>
                    <w:rPr>
                      <w:sz w:val="21"/>
                      <w:szCs w:val="21"/>
                      <w:u w:val="single"/>
                    </w:rPr>
                    <w:t>m</w:t>
                  </w:r>
                </w:p>
              </w:tc>
              <w:tc>
                <w:tcPr>
                  <w:tcW w:w="489" w:type="pct"/>
                  <w:vAlign w:val="center"/>
                </w:tcPr>
                <w:p>
                  <w:pPr>
                    <w:adjustRightInd w:val="0"/>
                    <w:snapToGrid w:val="0"/>
                    <w:spacing w:line="240" w:lineRule="auto"/>
                    <w:jc w:val="center"/>
                    <w:rPr>
                      <w:color w:val="0000FF"/>
                      <w:sz w:val="21"/>
                      <w:szCs w:val="21"/>
                      <w:u w:val="single"/>
                    </w:rPr>
                  </w:pPr>
                  <w:r>
                    <w:rPr>
                      <w:sz w:val="21"/>
                      <w:szCs w:val="21"/>
                      <w:u w:val="single"/>
                    </w:rPr>
                    <w:t>居住</w:t>
                  </w:r>
                </w:p>
              </w:tc>
              <w:tc>
                <w:tcPr>
                  <w:tcW w:w="618" w:type="pct"/>
                  <w:vAlign w:val="center"/>
                </w:tcPr>
                <w:p>
                  <w:pPr>
                    <w:adjustRightInd w:val="0"/>
                    <w:snapToGrid w:val="0"/>
                    <w:spacing w:line="240" w:lineRule="auto"/>
                    <w:jc w:val="center"/>
                    <w:rPr>
                      <w:color w:val="0000FF"/>
                      <w:sz w:val="21"/>
                      <w:szCs w:val="21"/>
                      <w:u w:val="single"/>
                    </w:rPr>
                  </w:pPr>
                  <w:r>
                    <w:rPr>
                      <w:rFonts w:hint="eastAsia"/>
                      <w:sz w:val="21"/>
                      <w:szCs w:val="21"/>
                      <w:u w:val="single"/>
                    </w:rPr>
                    <w:t>2</w:t>
                  </w:r>
                  <w:r>
                    <w:rPr>
                      <w:sz w:val="21"/>
                      <w:szCs w:val="21"/>
                      <w:u w:val="single"/>
                    </w:rPr>
                    <w:t>户约</w:t>
                  </w:r>
                  <w:r>
                    <w:rPr>
                      <w:rFonts w:hint="eastAsia"/>
                      <w:sz w:val="21"/>
                      <w:szCs w:val="21"/>
                      <w:u w:val="single"/>
                    </w:rPr>
                    <w:t>6</w:t>
                  </w:r>
                  <w:r>
                    <w:rPr>
                      <w:sz w:val="21"/>
                      <w:szCs w:val="21"/>
                      <w:u w:val="single"/>
                    </w:rPr>
                    <w:t>人</w:t>
                  </w:r>
                </w:p>
              </w:tc>
              <w:tc>
                <w:tcPr>
                  <w:tcW w:w="832" w:type="pct"/>
                  <w:vAlign w:val="center"/>
                </w:tcPr>
                <w:p>
                  <w:pPr>
                    <w:adjustRightInd w:val="0"/>
                    <w:snapToGrid w:val="0"/>
                    <w:spacing w:line="240" w:lineRule="auto"/>
                    <w:jc w:val="center"/>
                    <w:rPr>
                      <w:color w:val="0000FF"/>
                      <w:sz w:val="21"/>
                      <w:szCs w:val="21"/>
                      <w:u w:val="single"/>
                    </w:rPr>
                  </w:pPr>
                  <w:r>
                    <w:rPr>
                      <w:rFonts w:hint="eastAsia"/>
                      <w:sz w:val="21"/>
                      <w:szCs w:val="21"/>
                      <w:u w:val="single"/>
                    </w:rPr>
                    <w:t>无</w:t>
                  </w:r>
                </w:p>
              </w:tc>
              <w:tc>
                <w:tcPr>
                  <w:tcW w:w="1150" w:type="pct"/>
                  <w:vMerge w:val="continue"/>
                  <w:vAlign w:val="center"/>
                </w:tcPr>
                <w:p>
                  <w:pPr>
                    <w:adjustRightInd w:val="0"/>
                    <w:snapToGrid w:val="0"/>
                    <w:spacing w:line="240" w:lineRule="auto"/>
                    <w:jc w:val="center"/>
                    <w:rPr>
                      <w:color w:val="0000FF"/>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3" w:hRule="atLeast"/>
                <w:jc w:val="center"/>
              </w:trPr>
              <w:tc>
                <w:tcPr>
                  <w:tcW w:w="348" w:type="pct"/>
                  <w:vMerge w:val="continue"/>
                  <w:vAlign w:val="center"/>
                </w:tcPr>
                <w:p>
                  <w:pPr>
                    <w:adjustRightInd w:val="0"/>
                    <w:snapToGrid w:val="0"/>
                    <w:spacing w:line="240" w:lineRule="auto"/>
                    <w:jc w:val="center"/>
                    <w:rPr>
                      <w:color w:val="0000FF"/>
                      <w:sz w:val="21"/>
                      <w:szCs w:val="21"/>
                      <w:u w:val="single"/>
                    </w:rPr>
                  </w:pPr>
                </w:p>
              </w:tc>
              <w:tc>
                <w:tcPr>
                  <w:tcW w:w="650" w:type="pct"/>
                  <w:vMerge w:val="continue"/>
                  <w:vAlign w:val="center"/>
                </w:tcPr>
                <w:p>
                  <w:pPr>
                    <w:adjustRightInd w:val="0"/>
                    <w:snapToGrid w:val="0"/>
                    <w:spacing w:line="240" w:lineRule="auto"/>
                    <w:jc w:val="center"/>
                    <w:rPr>
                      <w:color w:val="0000FF"/>
                      <w:sz w:val="21"/>
                      <w:szCs w:val="21"/>
                      <w:u w:val="single"/>
                    </w:rPr>
                  </w:pPr>
                </w:p>
              </w:tc>
              <w:tc>
                <w:tcPr>
                  <w:tcW w:w="411" w:type="pct"/>
                  <w:vAlign w:val="center"/>
                </w:tcPr>
                <w:p>
                  <w:pPr>
                    <w:adjustRightInd w:val="0"/>
                    <w:snapToGrid w:val="0"/>
                    <w:spacing w:line="240" w:lineRule="auto"/>
                    <w:jc w:val="center"/>
                    <w:rPr>
                      <w:rFonts w:hint="eastAsia"/>
                      <w:sz w:val="21"/>
                      <w:szCs w:val="21"/>
                      <w:u w:val="single"/>
                    </w:rPr>
                  </w:pPr>
                  <w:r>
                    <w:rPr>
                      <w:rFonts w:hint="eastAsia"/>
                      <w:sz w:val="21"/>
                      <w:szCs w:val="21"/>
                      <w:u w:val="single"/>
                    </w:rPr>
                    <w:t>沙堆村居民</w:t>
                  </w:r>
                </w:p>
              </w:tc>
              <w:tc>
                <w:tcPr>
                  <w:tcW w:w="498" w:type="pct"/>
                  <w:vAlign w:val="center"/>
                </w:tcPr>
                <w:p>
                  <w:pPr>
                    <w:adjustRightInd w:val="0"/>
                    <w:snapToGrid w:val="0"/>
                    <w:spacing w:line="240" w:lineRule="auto"/>
                    <w:jc w:val="center"/>
                    <w:rPr>
                      <w:color w:val="0000FF"/>
                      <w:sz w:val="21"/>
                      <w:szCs w:val="21"/>
                      <w:u w:val="single"/>
                    </w:rPr>
                  </w:pPr>
                  <w:r>
                    <w:rPr>
                      <w:rFonts w:hint="eastAsia"/>
                      <w:sz w:val="21"/>
                      <w:szCs w:val="21"/>
                      <w:u w:val="single"/>
                    </w:rPr>
                    <w:t>南</w:t>
                  </w:r>
                  <w:r>
                    <w:rPr>
                      <w:sz w:val="21"/>
                      <w:szCs w:val="21"/>
                      <w:u w:val="single"/>
                    </w:rPr>
                    <w:t>面</w:t>
                  </w:r>
                  <w:r>
                    <w:rPr>
                      <w:rFonts w:hint="eastAsia"/>
                      <w:sz w:val="21"/>
                      <w:szCs w:val="21"/>
                      <w:u w:val="single"/>
                    </w:rPr>
                    <w:t>20-25</w:t>
                  </w:r>
                  <w:r>
                    <w:rPr>
                      <w:sz w:val="21"/>
                      <w:szCs w:val="21"/>
                      <w:u w:val="single"/>
                    </w:rPr>
                    <w:t>m</w:t>
                  </w:r>
                </w:p>
              </w:tc>
              <w:tc>
                <w:tcPr>
                  <w:tcW w:w="489" w:type="pct"/>
                  <w:vAlign w:val="center"/>
                </w:tcPr>
                <w:p>
                  <w:pPr>
                    <w:adjustRightInd w:val="0"/>
                    <w:snapToGrid w:val="0"/>
                    <w:spacing w:line="240" w:lineRule="auto"/>
                    <w:jc w:val="center"/>
                    <w:rPr>
                      <w:color w:val="0000FF"/>
                      <w:sz w:val="21"/>
                      <w:szCs w:val="21"/>
                      <w:u w:val="single"/>
                    </w:rPr>
                  </w:pPr>
                  <w:r>
                    <w:rPr>
                      <w:sz w:val="21"/>
                      <w:szCs w:val="21"/>
                      <w:u w:val="single"/>
                    </w:rPr>
                    <w:t>居住</w:t>
                  </w:r>
                </w:p>
              </w:tc>
              <w:tc>
                <w:tcPr>
                  <w:tcW w:w="618" w:type="pct"/>
                  <w:vAlign w:val="center"/>
                </w:tcPr>
                <w:p>
                  <w:pPr>
                    <w:adjustRightInd w:val="0"/>
                    <w:snapToGrid w:val="0"/>
                    <w:spacing w:line="240" w:lineRule="auto"/>
                    <w:jc w:val="center"/>
                    <w:rPr>
                      <w:color w:val="0000FF"/>
                      <w:sz w:val="21"/>
                      <w:szCs w:val="21"/>
                      <w:u w:val="single"/>
                    </w:rPr>
                  </w:pPr>
                  <w:r>
                    <w:rPr>
                      <w:rFonts w:hint="eastAsia"/>
                      <w:sz w:val="21"/>
                      <w:szCs w:val="21"/>
                      <w:u w:val="single"/>
                    </w:rPr>
                    <w:t>2</w:t>
                  </w:r>
                  <w:r>
                    <w:rPr>
                      <w:sz w:val="21"/>
                      <w:szCs w:val="21"/>
                      <w:u w:val="single"/>
                    </w:rPr>
                    <w:t>户约</w:t>
                  </w:r>
                  <w:r>
                    <w:rPr>
                      <w:rFonts w:hint="eastAsia"/>
                      <w:sz w:val="21"/>
                      <w:szCs w:val="21"/>
                      <w:u w:val="single"/>
                    </w:rPr>
                    <w:t>6</w:t>
                  </w:r>
                  <w:r>
                    <w:rPr>
                      <w:sz w:val="21"/>
                      <w:szCs w:val="21"/>
                      <w:u w:val="single"/>
                    </w:rPr>
                    <w:t>人</w:t>
                  </w:r>
                </w:p>
              </w:tc>
              <w:tc>
                <w:tcPr>
                  <w:tcW w:w="832" w:type="pct"/>
                  <w:vAlign w:val="center"/>
                </w:tcPr>
                <w:p>
                  <w:pPr>
                    <w:adjustRightInd w:val="0"/>
                    <w:snapToGrid w:val="0"/>
                    <w:spacing w:line="240" w:lineRule="auto"/>
                    <w:jc w:val="center"/>
                    <w:rPr>
                      <w:color w:val="0000FF"/>
                      <w:sz w:val="21"/>
                      <w:szCs w:val="21"/>
                      <w:u w:val="single"/>
                    </w:rPr>
                  </w:pPr>
                  <w:r>
                    <w:rPr>
                      <w:rFonts w:hint="eastAsia"/>
                      <w:sz w:val="21"/>
                      <w:szCs w:val="21"/>
                      <w:u w:val="single"/>
                    </w:rPr>
                    <w:t>无</w:t>
                  </w:r>
                </w:p>
              </w:tc>
              <w:tc>
                <w:tcPr>
                  <w:tcW w:w="1150" w:type="pct"/>
                  <w:vAlign w:val="center"/>
                </w:tcPr>
                <w:p>
                  <w:pPr>
                    <w:adjustRightInd w:val="0"/>
                    <w:snapToGrid w:val="0"/>
                    <w:spacing w:line="240" w:lineRule="auto"/>
                    <w:jc w:val="center"/>
                    <w:rPr>
                      <w:color w:val="0000FF"/>
                      <w:sz w:val="21"/>
                      <w:szCs w:val="21"/>
                      <w:u w:val="single"/>
                    </w:rPr>
                  </w:pPr>
                  <w:r>
                    <w:rPr>
                      <w:sz w:val="21"/>
                      <w:szCs w:val="21"/>
                      <w:u w:val="single"/>
                    </w:rPr>
                    <w:t>噪声敏感点执行《声环境质量标准》（GB3096-2008）中</w:t>
                  </w:r>
                  <w:r>
                    <w:rPr>
                      <w:rFonts w:hint="eastAsia"/>
                      <w:sz w:val="21"/>
                      <w:szCs w:val="21"/>
                      <w:u w:val="single"/>
                      <w:lang w:val="en-US" w:eastAsia="zh-CN"/>
                    </w:rPr>
                    <w:t>4a</w:t>
                  </w:r>
                  <w:r>
                    <w:rPr>
                      <w:sz w:val="21"/>
                      <w:szCs w:val="21"/>
                      <w:u w:val="single"/>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3" w:hRule="atLeast"/>
                <w:jc w:val="center"/>
              </w:trPr>
              <w:tc>
                <w:tcPr>
                  <w:tcW w:w="348" w:type="pct"/>
                  <w:vMerge w:val="continue"/>
                  <w:vAlign w:val="center"/>
                </w:tcPr>
                <w:p>
                  <w:pPr>
                    <w:adjustRightInd w:val="0"/>
                    <w:snapToGrid w:val="0"/>
                    <w:spacing w:line="240" w:lineRule="auto"/>
                    <w:jc w:val="center"/>
                    <w:rPr>
                      <w:color w:val="0000FF"/>
                      <w:sz w:val="21"/>
                      <w:szCs w:val="21"/>
                      <w:u w:val="single"/>
                    </w:rPr>
                  </w:pPr>
                </w:p>
              </w:tc>
              <w:tc>
                <w:tcPr>
                  <w:tcW w:w="650" w:type="pct"/>
                  <w:vMerge w:val="restart"/>
                  <w:vAlign w:val="center"/>
                </w:tcPr>
                <w:p>
                  <w:pPr>
                    <w:adjustRightInd w:val="0"/>
                    <w:snapToGrid w:val="0"/>
                    <w:spacing w:line="240" w:lineRule="auto"/>
                    <w:jc w:val="center"/>
                    <w:rPr>
                      <w:rFonts w:hint="eastAsia"/>
                      <w:sz w:val="21"/>
                      <w:szCs w:val="21"/>
                      <w:u w:val="single"/>
                    </w:rPr>
                  </w:pPr>
                  <w:r>
                    <w:rPr>
                      <w:rFonts w:hint="eastAsia" w:ascii="Times New Roman" w:hAnsi="Times New Roman" w:cs="Times New Roman"/>
                      <w:color w:val="auto"/>
                      <w:sz w:val="21"/>
                      <w:szCs w:val="21"/>
                      <w:u w:val="single"/>
                      <w:lang w:eastAsia="zh-CN"/>
                    </w:rPr>
                    <w:t>运输道路两边（评价范围：</w:t>
                  </w:r>
                  <w:r>
                    <w:rPr>
                      <w:rFonts w:hint="eastAsia" w:ascii="Times New Roman" w:hAnsi="Times New Roman" w:cs="Times New Roman"/>
                      <w:color w:val="auto"/>
                      <w:sz w:val="21"/>
                      <w:szCs w:val="21"/>
                      <w:u w:val="single"/>
                      <w:lang w:val="en-US" w:eastAsia="zh-CN"/>
                    </w:rPr>
                    <w:t>50m内</w:t>
                  </w:r>
                  <w:r>
                    <w:rPr>
                      <w:rFonts w:hint="eastAsia" w:ascii="Times New Roman" w:hAnsi="Times New Roman" w:cs="Times New Roman"/>
                      <w:color w:val="auto"/>
                      <w:sz w:val="21"/>
                      <w:szCs w:val="21"/>
                      <w:u w:val="single"/>
                      <w:lang w:eastAsia="zh-CN"/>
                    </w:rPr>
                    <w:t>）</w:t>
                  </w:r>
                </w:p>
              </w:tc>
              <w:tc>
                <w:tcPr>
                  <w:tcW w:w="411" w:type="pct"/>
                  <w:vAlign w:val="center"/>
                </w:tcPr>
                <w:p>
                  <w:pPr>
                    <w:adjustRightInd w:val="0"/>
                    <w:snapToGrid w:val="0"/>
                    <w:spacing w:line="240" w:lineRule="auto"/>
                    <w:jc w:val="center"/>
                    <w:rPr>
                      <w:rFonts w:hint="eastAsia" w:eastAsia="宋体"/>
                      <w:sz w:val="21"/>
                      <w:szCs w:val="21"/>
                      <w:u w:val="single"/>
                      <w:lang w:eastAsia="zh-CN"/>
                    </w:rPr>
                  </w:pPr>
                  <w:r>
                    <w:rPr>
                      <w:rFonts w:hint="eastAsia"/>
                      <w:sz w:val="21"/>
                      <w:szCs w:val="21"/>
                      <w:u w:val="single"/>
                      <w:lang w:eastAsia="zh-CN"/>
                    </w:rPr>
                    <w:t>辰溪县居民</w:t>
                  </w:r>
                </w:p>
              </w:tc>
              <w:tc>
                <w:tcPr>
                  <w:tcW w:w="498" w:type="pct"/>
                  <w:vAlign w:val="center"/>
                </w:tcPr>
                <w:p>
                  <w:pPr>
                    <w:adjustRightInd w:val="0"/>
                    <w:snapToGrid w:val="0"/>
                    <w:spacing w:line="240" w:lineRule="auto"/>
                    <w:jc w:val="center"/>
                    <w:rPr>
                      <w:rFonts w:hint="eastAsia"/>
                      <w:sz w:val="21"/>
                      <w:szCs w:val="21"/>
                      <w:u w:val="single"/>
                    </w:rPr>
                  </w:pPr>
                  <w:r>
                    <w:rPr>
                      <w:rFonts w:hint="eastAsia" w:ascii="Times New Roman" w:hAnsi="Times New Roman" w:cs="Times New Roman"/>
                      <w:color w:val="auto"/>
                      <w:sz w:val="21"/>
                      <w:szCs w:val="21"/>
                      <w:u w:val="single"/>
                      <w:lang w:eastAsia="zh-CN"/>
                    </w:rPr>
                    <w:t>穿越左右</w:t>
                  </w:r>
                  <w:r>
                    <w:rPr>
                      <w:rFonts w:hint="eastAsia" w:ascii="Times New Roman" w:hAnsi="Times New Roman" w:cs="Times New Roman"/>
                      <w:color w:val="auto"/>
                      <w:sz w:val="21"/>
                      <w:szCs w:val="21"/>
                      <w:u w:val="single"/>
                      <w:lang w:val="en-US" w:eastAsia="zh-CN"/>
                    </w:rPr>
                    <w:t>10m</w:t>
                  </w:r>
                </w:p>
              </w:tc>
              <w:tc>
                <w:tcPr>
                  <w:tcW w:w="489" w:type="pct"/>
                  <w:vAlign w:val="center"/>
                </w:tcPr>
                <w:p>
                  <w:pPr>
                    <w:adjustRightInd w:val="0"/>
                    <w:snapToGrid w:val="0"/>
                    <w:spacing w:line="240" w:lineRule="auto"/>
                    <w:jc w:val="center"/>
                    <w:rPr>
                      <w:rFonts w:hint="eastAsia" w:eastAsia="宋体"/>
                      <w:sz w:val="21"/>
                      <w:szCs w:val="21"/>
                      <w:u w:val="single"/>
                      <w:lang w:eastAsia="zh-CN"/>
                    </w:rPr>
                  </w:pPr>
                  <w:r>
                    <w:rPr>
                      <w:rFonts w:hint="eastAsia"/>
                      <w:sz w:val="21"/>
                      <w:szCs w:val="21"/>
                      <w:u w:val="single"/>
                      <w:lang w:eastAsia="zh-CN"/>
                    </w:rPr>
                    <w:t>居住</w:t>
                  </w:r>
                </w:p>
              </w:tc>
              <w:tc>
                <w:tcPr>
                  <w:tcW w:w="618" w:type="pct"/>
                  <w:vAlign w:val="center"/>
                </w:tcPr>
                <w:p>
                  <w:pPr>
                    <w:adjustRightInd w:val="0"/>
                    <w:snapToGrid w:val="0"/>
                    <w:spacing w:line="240" w:lineRule="auto"/>
                    <w:jc w:val="center"/>
                    <w:rPr>
                      <w:rFonts w:hint="default" w:eastAsia="宋体"/>
                      <w:sz w:val="21"/>
                      <w:szCs w:val="21"/>
                      <w:u w:val="single"/>
                      <w:lang w:val="en-US" w:eastAsia="zh-CN"/>
                    </w:rPr>
                  </w:pPr>
                  <w:r>
                    <w:rPr>
                      <w:rFonts w:hint="eastAsia"/>
                      <w:sz w:val="21"/>
                      <w:szCs w:val="21"/>
                      <w:u w:val="single"/>
                      <w:lang w:val="en-US" w:eastAsia="zh-CN"/>
                    </w:rPr>
                    <w:t>20户约60人</w:t>
                  </w:r>
                </w:p>
              </w:tc>
              <w:tc>
                <w:tcPr>
                  <w:tcW w:w="832" w:type="pct"/>
                  <w:vAlign w:val="center"/>
                </w:tcPr>
                <w:p>
                  <w:pPr>
                    <w:adjustRightInd w:val="0"/>
                    <w:snapToGrid w:val="0"/>
                    <w:spacing w:line="240" w:lineRule="auto"/>
                    <w:jc w:val="center"/>
                    <w:rPr>
                      <w:rFonts w:hint="eastAsia" w:eastAsia="宋体"/>
                      <w:sz w:val="21"/>
                      <w:szCs w:val="21"/>
                      <w:u w:val="single"/>
                      <w:lang w:eastAsia="zh-CN"/>
                    </w:rPr>
                  </w:pPr>
                  <w:r>
                    <w:rPr>
                      <w:rFonts w:hint="eastAsia"/>
                      <w:sz w:val="21"/>
                      <w:szCs w:val="21"/>
                      <w:u w:val="single"/>
                      <w:lang w:eastAsia="zh-CN"/>
                    </w:rPr>
                    <w:t>无</w:t>
                  </w:r>
                </w:p>
              </w:tc>
              <w:tc>
                <w:tcPr>
                  <w:tcW w:w="1150" w:type="pct"/>
                  <w:vMerge w:val="restart"/>
                  <w:vAlign w:val="center"/>
                </w:tcPr>
                <w:p>
                  <w:pPr>
                    <w:adjustRightInd w:val="0"/>
                    <w:snapToGrid w:val="0"/>
                    <w:spacing w:line="240" w:lineRule="auto"/>
                    <w:jc w:val="center"/>
                    <w:rPr>
                      <w:sz w:val="21"/>
                      <w:szCs w:val="21"/>
                      <w:u w:val="single"/>
                    </w:rPr>
                  </w:pPr>
                  <w:r>
                    <w:rPr>
                      <w:sz w:val="21"/>
                      <w:szCs w:val="21"/>
                      <w:u w:val="single"/>
                    </w:rPr>
                    <w:t>噪声敏感点执行《声环境质量标准》（GB3096-2008）中</w:t>
                  </w:r>
                  <w:r>
                    <w:rPr>
                      <w:rFonts w:hint="eastAsia"/>
                      <w:sz w:val="21"/>
                      <w:szCs w:val="21"/>
                      <w:u w:val="single"/>
                      <w:lang w:val="en-US" w:eastAsia="zh-CN"/>
                    </w:rPr>
                    <w:t>4a</w:t>
                  </w:r>
                  <w:r>
                    <w:rPr>
                      <w:sz w:val="21"/>
                      <w:szCs w:val="21"/>
                      <w:u w:val="single"/>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3" w:hRule="atLeast"/>
                <w:jc w:val="center"/>
              </w:trPr>
              <w:tc>
                <w:tcPr>
                  <w:tcW w:w="348" w:type="pct"/>
                  <w:vMerge w:val="continue"/>
                  <w:vAlign w:val="center"/>
                </w:tcPr>
                <w:p>
                  <w:pPr>
                    <w:adjustRightInd w:val="0"/>
                    <w:snapToGrid w:val="0"/>
                    <w:spacing w:line="240" w:lineRule="auto"/>
                    <w:jc w:val="center"/>
                    <w:rPr>
                      <w:color w:val="0000FF"/>
                      <w:sz w:val="21"/>
                      <w:szCs w:val="21"/>
                      <w:u w:val="single"/>
                    </w:rPr>
                  </w:pPr>
                </w:p>
              </w:tc>
              <w:tc>
                <w:tcPr>
                  <w:tcW w:w="650" w:type="pct"/>
                  <w:vMerge w:val="continue"/>
                  <w:vAlign w:val="center"/>
                </w:tcPr>
                <w:p>
                  <w:pPr>
                    <w:adjustRightInd w:val="0"/>
                    <w:snapToGrid w:val="0"/>
                    <w:spacing w:line="240" w:lineRule="auto"/>
                    <w:jc w:val="center"/>
                    <w:rPr>
                      <w:rFonts w:hint="eastAsia" w:ascii="Times New Roman" w:hAnsi="Times New Roman" w:cs="Times New Roman"/>
                      <w:color w:val="auto"/>
                      <w:sz w:val="21"/>
                      <w:szCs w:val="21"/>
                      <w:u w:val="single"/>
                      <w:lang w:eastAsia="zh-CN"/>
                    </w:rPr>
                  </w:pPr>
                </w:p>
              </w:tc>
              <w:tc>
                <w:tcPr>
                  <w:tcW w:w="411" w:type="pct"/>
                  <w:vAlign w:val="center"/>
                </w:tcPr>
                <w:p>
                  <w:pPr>
                    <w:adjustRightInd w:val="0"/>
                    <w:snapToGrid w:val="0"/>
                    <w:spacing w:line="240" w:lineRule="auto"/>
                    <w:jc w:val="center"/>
                    <w:rPr>
                      <w:rFonts w:hint="eastAsia"/>
                      <w:sz w:val="21"/>
                      <w:szCs w:val="21"/>
                      <w:u w:val="single"/>
                      <w:lang w:eastAsia="zh-CN"/>
                    </w:rPr>
                  </w:pPr>
                  <w:r>
                    <w:rPr>
                      <w:rFonts w:hint="eastAsia"/>
                      <w:sz w:val="21"/>
                      <w:szCs w:val="21"/>
                      <w:u w:val="single"/>
                      <w:lang w:eastAsia="zh-CN"/>
                    </w:rPr>
                    <w:t>麻田村居民</w:t>
                  </w:r>
                </w:p>
              </w:tc>
              <w:tc>
                <w:tcPr>
                  <w:tcW w:w="498" w:type="pct"/>
                  <w:vAlign w:val="center"/>
                </w:tcPr>
                <w:p>
                  <w:pPr>
                    <w:adjustRightInd w:val="0"/>
                    <w:snapToGrid w:val="0"/>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cs="Times New Roman"/>
                      <w:color w:val="auto"/>
                      <w:sz w:val="21"/>
                      <w:szCs w:val="21"/>
                      <w:u w:val="single"/>
                      <w:lang w:eastAsia="zh-CN"/>
                    </w:rPr>
                    <w:t>穿越左右</w:t>
                  </w:r>
                  <w:r>
                    <w:rPr>
                      <w:rFonts w:hint="eastAsia" w:ascii="Times New Roman" w:hAnsi="Times New Roman" w:cs="Times New Roman"/>
                      <w:color w:val="auto"/>
                      <w:sz w:val="21"/>
                      <w:szCs w:val="21"/>
                      <w:u w:val="single"/>
                      <w:lang w:val="en-US" w:eastAsia="zh-CN"/>
                    </w:rPr>
                    <w:t>10m</w:t>
                  </w:r>
                </w:p>
              </w:tc>
              <w:tc>
                <w:tcPr>
                  <w:tcW w:w="489" w:type="pct"/>
                  <w:vAlign w:val="center"/>
                </w:tcPr>
                <w:p>
                  <w:pPr>
                    <w:adjustRightInd w:val="0"/>
                    <w:snapToGrid w:val="0"/>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lang w:eastAsia="zh-CN"/>
                    </w:rPr>
                    <w:t>居住</w:t>
                  </w:r>
                </w:p>
              </w:tc>
              <w:tc>
                <w:tcPr>
                  <w:tcW w:w="1036" w:type="dxa"/>
                  <w:vAlign w:val="center"/>
                </w:tcPr>
                <w:p>
                  <w:pPr>
                    <w:adjustRightInd w:val="0"/>
                    <w:snapToGrid w:val="0"/>
                    <w:spacing w:line="240" w:lineRule="auto"/>
                    <w:jc w:val="center"/>
                    <w:rPr>
                      <w:rFonts w:hint="eastAsia"/>
                      <w:sz w:val="21"/>
                      <w:szCs w:val="21"/>
                      <w:u w:val="single"/>
                      <w:lang w:val="en-US" w:eastAsia="zh-CN"/>
                    </w:rPr>
                  </w:pPr>
                  <w:r>
                    <w:rPr>
                      <w:rFonts w:hint="eastAsia"/>
                      <w:sz w:val="21"/>
                      <w:szCs w:val="21"/>
                      <w:u w:val="single"/>
                      <w:lang w:val="en-US" w:eastAsia="zh-CN"/>
                    </w:rPr>
                    <w:t>20户约60人</w:t>
                  </w:r>
                </w:p>
              </w:tc>
              <w:tc>
                <w:tcPr>
                  <w:tcW w:w="1395" w:type="dxa"/>
                  <w:vAlign w:val="center"/>
                </w:tcPr>
                <w:p>
                  <w:pPr>
                    <w:adjustRightInd w:val="0"/>
                    <w:snapToGrid w:val="0"/>
                    <w:spacing w:line="240" w:lineRule="auto"/>
                    <w:jc w:val="center"/>
                    <w:rPr>
                      <w:rFonts w:hint="eastAsia"/>
                      <w:sz w:val="21"/>
                      <w:szCs w:val="21"/>
                      <w:u w:val="single"/>
                      <w:lang w:eastAsia="zh-CN"/>
                    </w:rPr>
                  </w:pPr>
                  <w:r>
                    <w:rPr>
                      <w:rFonts w:hint="eastAsia"/>
                      <w:sz w:val="21"/>
                      <w:szCs w:val="21"/>
                      <w:u w:val="single"/>
                      <w:lang w:eastAsia="zh-CN"/>
                    </w:rPr>
                    <w:t>无</w:t>
                  </w:r>
                </w:p>
              </w:tc>
              <w:tc>
                <w:tcPr>
                  <w:tcW w:w="1150" w:type="pct"/>
                  <w:vMerge w:val="continue"/>
                  <w:vAlign w:val="center"/>
                </w:tcPr>
                <w:p>
                  <w:pPr>
                    <w:adjustRightInd w:val="0"/>
                    <w:snapToGrid w:val="0"/>
                    <w:spacing w:line="240" w:lineRule="auto"/>
                    <w:jc w:val="center"/>
                    <w:rPr>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3" w:hRule="atLeast"/>
                <w:jc w:val="center"/>
              </w:trPr>
              <w:tc>
                <w:tcPr>
                  <w:tcW w:w="348" w:type="pct"/>
                  <w:vMerge w:val="continue"/>
                  <w:vAlign w:val="center"/>
                </w:tcPr>
                <w:p>
                  <w:pPr>
                    <w:adjustRightInd w:val="0"/>
                    <w:snapToGrid w:val="0"/>
                    <w:spacing w:line="240" w:lineRule="auto"/>
                    <w:jc w:val="center"/>
                    <w:rPr>
                      <w:color w:val="0000FF"/>
                      <w:sz w:val="21"/>
                      <w:szCs w:val="21"/>
                      <w:u w:val="single"/>
                    </w:rPr>
                  </w:pPr>
                </w:p>
              </w:tc>
              <w:tc>
                <w:tcPr>
                  <w:tcW w:w="650" w:type="pct"/>
                  <w:vMerge w:val="continue"/>
                  <w:vAlign w:val="center"/>
                </w:tcPr>
                <w:p>
                  <w:pPr>
                    <w:adjustRightInd w:val="0"/>
                    <w:snapToGrid w:val="0"/>
                    <w:spacing w:line="240" w:lineRule="auto"/>
                    <w:jc w:val="center"/>
                    <w:rPr>
                      <w:rFonts w:hint="eastAsia" w:ascii="Times New Roman" w:hAnsi="Times New Roman" w:cs="Times New Roman"/>
                      <w:color w:val="auto"/>
                      <w:sz w:val="21"/>
                      <w:szCs w:val="21"/>
                      <w:u w:val="single"/>
                      <w:lang w:eastAsia="zh-CN"/>
                    </w:rPr>
                  </w:pPr>
                </w:p>
              </w:tc>
              <w:tc>
                <w:tcPr>
                  <w:tcW w:w="411" w:type="pct"/>
                  <w:vAlign w:val="center"/>
                </w:tcPr>
                <w:p>
                  <w:pPr>
                    <w:adjustRightInd w:val="0"/>
                    <w:snapToGrid w:val="0"/>
                    <w:spacing w:line="240" w:lineRule="auto"/>
                    <w:jc w:val="center"/>
                    <w:rPr>
                      <w:rFonts w:hint="eastAsia"/>
                      <w:sz w:val="21"/>
                      <w:szCs w:val="21"/>
                      <w:u w:val="single"/>
                      <w:lang w:eastAsia="zh-CN"/>
                    </w:rPr>
                  </w:pPr>
                  <w:r>
                    <w:rPr>
                      <w:rFonts w:hint="eastAsia"/>
                      <w:sz w:val="21"/>
                      <w:szCs w:val="21"/>
                      <w:u w:val="single"/>
                      <w:lang w:eastAsia="zh-CN"/>
                    </w:rPr>
                    <w:t>花塘坪村居民</w:t>
                  </w:r>
                </w:p>
              </w:tc>
              <w:tc>
                <w:tcPr>
                  <w:tcW w:w="498" w:type="pct"/>
                  <w:vAlign w:val="center"/>
                </w:tcPr>
                <w:p>
                  <w:pPr>
                    <w:adjustRightInd w:val="0"/>
                    <w:snapToGrid w:val="0"/>
                    <w:spacing w:line="240" w:lineRule="auto"/>
                    <w:jc w:val="center"/>
                    <w:rPr>
                      <w:rFonts w:hint="eastAsia"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eastAsia="zh-CN"/>
                    </w:rPr>
                    <w:t>穿越左右</w:t>
                  </w:r>
                  <w:r>
                    <w:rPr>
                      <w:rFonts w:hint="eastAsia" w:ascii="Times New Roman" w:hAnsi="Times New Roman" w:cs="Times New Roman"/>
                      <w:color w:val="auto"/>
                      <w:sz w:val="21"/>
                      <w:szCs w:val="21"/>
                      <w:u w:val="single"/>
                      <w:lang w:val="en-US" w:eastAsia="zh-CN"/>
                    </w:rPr>
                    <w:t>10m</w:t>
                  </w:r>
                </w:p>
              </w:tc>
              <w:tc>
                <w:tcPr>
                  <w:tcW w:w="489" w:type="pct"/>
                  <w:vAlign w:val="center"/>
                </w:tcPr>
                <w:p>
                  <w:pPr>
                    <w:adjustRightInd w:val="0"/>
                    <w:snapToGrid w:val="0"/>
                    <w:spacing w:line="240" w:lineRule="auto"/>
                    <w:jc w:val="center"/>
                    <w:rPr>
                      <w:rFonts w:hint="eastAsia"/>
                      <w:sz w:val="21"/>
                      <w:szCs w:val="21"/>
                      <w:u w:val="single"/>
                      <w:lang w:eastAsia="zh-CN"/>
                    </w:rPr>
                  </w:pPr>
                  <w:r>
                    <w:rPr>
                      <w:rFonts w:hint="eastAsia"/>
                      <w:sz w:val="21"/>
                      <w:szCs w:val="21"/>
                      <w:u w:val="single"/>
                      <w:lang w:eastAsia="zh-CN"/>
                    </w:rPr>
                    <w:t>居住</w:t>
                  </w:r>
                </w:p>
              </w:tc>
              <w:tc>
                <w:tcPr>
                  <w:tcW w:w="618" w:type="pct"/>
                  <w:vAlign w:val="center"/>
                </w:tcPr>
                <w:p>
                  <w:pPr>
                    <w:adjustRightInd w:val="0"/>
                    <w:snapToGrid w:val="0"/>
                    <w:spacing w:line="240" w:lineRule="auto"/>
                    <w:jc w:val="center"/>
                    <w:rPr>
                      <w:rFonts w:hint="default"/>
                      <w:sz w:val="21"/>
                      <w:szCs w:val="21"/>
                      <w:u w:val="single"/>
                      <w:lang w:val="en-US" w:eastAsia="zh-CN"/>
                    </w:rPr>
                  </w:pPr>
                  <w:r>
                    <w:rPr>
                      <w:rFonts w:hint="eastAsia"/>
                      <w:sz w:val="21"/>
                      <w:szCs w:val="21"/>
                      <w:u w:val="single"/>
                      <w:lang w:val="en-US" w:eastAsia="zh-CN"/>
                    </w:rPr>
                    <w:t>10户约30人</w:t>
                  </w:r>
                </w:p>
              </w:tc>
              <w:tc>
                <w:tcPr>
                  <w:tcW w:w="832" w:type="pct"/>
                  <w:vAlign w:val="center"/>
                </w:tcPr>
                <w:p>
                  <w:pPr>
                    <w:adjustRightInd w:val="0"/>
                    <w:snapToGrid w:val="0"/>
                    <w:spacing w:line="240" w:lineRule="auto"/>
                    <w:jc w:val="center"/>
                    <w:rPr>
                      <w:rFonts w:hint="eastAsia"/>
                      <w:sz w:val="21"/>
                      <w:szCs w:val="21"/>
                      <w:u w:val="single"/>
                      <w:lang w:eastAsia="zh-CN"/>
                    </w:rPr>
                  </w:pPr>
                  <w:r>
                    <w:rPr>
                      <w:rFonts w:hint="eastAsia"/>
                      <w:sz w:val="21"/>
                      <w:szCs w:val="21"/>
                      <w:u w:val="single"/>
                      <w:lang w:eastAsia="zh-CN"/>
                    </w:rPr>
                    <w:t>无</w:t>
                  </w:r>
                </w:p>
              </w:tc>
              <w:tc>
                <w:tcPr>
                  <w:tcW w:w="1150" w:type="pct"/>
                  <w:vMerge w:val="continue"/>
                  <w:vAlign w:val="center"/>
                </w:tcPr>
                <w:p>
                  <w:pPr>
                    <w:adjustRightInd w:val="0"/>
                    <w:snapToGrid w:val="0"/>
                    <w:spacing w:line="240" w:lineRule="auto"/>
                    <w:jc w:val="center"/>
                    <w:rPr>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3" w:hRule="atLeast"/>
                <w:jc w:val="center"/>
              </w:trPr>
              <w:tc>
                <w:tcPr>
                  <w:tcW w:w="348" w:type="pct"/>
                  <w:vMerge w:val="continue"/>
                  <w:vAlign w:val="center"/>
                </w:tcPr>
                <w:p>
                  <w:pPr>
                    <w:adjustRightInd w:val="0"/>
                    <w:snapToGrid w:val="0"/>
                    <w:spacing w:line="240" w:lineRule="auto"/>
                    <w:jc w:val="center"/>
                    <w:rPr>
                      <w:color w:val="0000FF"/>
                      <w:sz w:val="21"/>
                      <w:szCs w:val="21"/>
                      <w:u w:val="single"/>
                    </w:rPr>
                  </w:pPr>
                </w:p>
              </w:tc>
              <w:tc>
                <w:tcPr>
                  <w:tcW w:w="650" w:type="pct"/>
                  <w:vMerge w:val="continue"/>
                  <w:vAlign w:val="center"/>
                </w:tcPr>
                <w:p>
                  <w:pPr>
                    <w:adjustRightInd w:val="0"/>
                    <w:snapToGrid w:val="0"/>
                    <w:spacing w:line="240" w:lineRule="auto"/>
                    <w:jc w:val="center"/>
                    <w:rPr>
                      <w:rFonts w:hint="eastAsia" w:ascii="Times New Roman" w:hAnsi="Times New Roman" w:cs="Times New Roman"/>
                      <w:color w:val="auto"/>
                      <w:sz w:val="21"/>
                      <w:szCs w:val="21"/>
                      <w:u w:val="single"/>
                      <w:lang w:eastAsia="zh-CN"/>
                    </w:rPr>
                  </w:pPr>
                </w:p>
              </w:tc>
              <w:tc>
                <w:tcPr>
                  <w:tcW w:w="411" w:type="pct"/>
                  <w:vAlign w:val="center"/>
                </w:tcPr>
                <w:p>
                  <w:pPr>
                    <w:adjustRightInd w:val="0"/>
                    <w:snapToGrid w:val="0"/>
                    <w:spacing w:line="240" w:lineRule="auto"/>
                    <w:jc w:val="center"/>
                    <w:rPr>
                      <w:rFonts w:hint="eastAsia"/>
                      <w:sz w:val="21"/>
                      <w:szCs w:val="21"/>
                      <w:u w:val="single"/>
                      <w:lang w:eastAsia="zh-CN"/>
                    </w:rPr>
                  </w:pPr>
                  <w:r>
                    <w:rPr>
                      <w:rFonts w:hint="eastAsia"/>
                      <w:sz w:val="21"/>
                      <w:szCs w:val="21"/>
                      <w:u w:val="single"/>
                      <w:lang w:eastAsia="zh-CN"/>
                    </w:rPr>
                    <w:t>锦滨村居民</w:t>
                  </w:r>
                </w:p>
              </w:tc>
              <w:tc>
                <w:tcPr>
                  <w:tcW w:w="498" w:type="pct"/>
                  <w:vAlign w:val="center"/>
                </w:tcPr>
                <w:p>
                  <w:pPr>
                    <w:adjustRightInd w:val="0"/>
                    <w:snapToGrid w:val="0"/>
                    <w:spacing w:line="240" w:lineRule="auto"/>
                    <w:jc w:val="center"/>
                    <w:rPr>
                      <w:rFonts w:hint="eastAsia"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eastAsia="zh-CN"/>
                    </w:rPr>
                    <w:t>穿越左右</w:t>
                  </w:r>
                  <w:r>
                    <w:rPr>
                      <w:rFonts w:hint="eastAsia" w:ascii="Times New Roman" w:hAnsi="Times New Roman" w:cs="Times New Roman"/>
                      <w:color w:val="auto"/>
                      <w:sz w:val="21"/>
                      <w:szCs w:val="21"/>
                      <w:u w:val="single"/>
                      <w:lang w:val="en-US" w:eastAsia="zh-CN"/>
                    </w:rPr>
                    <w:t>10m</w:t>
                  </w:r>
                </w:p>
              </w:tc>
              <w:tc>
                <w:tcPr>
                  <w:tcW w:w="489" w:type="pct"/>
                  <w:vAlign w:val="center"/>
                </w:tcPr>
                <w:p>
                  <w:pPr>
                    <w:adjustRightInd w:val="0"/>
                    <w:snapToGrid w:val="0"/>
                    <w:spacing w:line="240" w:lineRule="auto"/>
                    <w:jc w:val="center"/>
                    <w:rPr>
                      <w:rFonts w:hint="eastAsia"/>
                      <w:sz w:val="21"/>
                      <w:szCs w:val="21"/>
                      <w:u w:val="single"/>
                      <w:lang w:eastAsia="zh-CN"/>
                    </w:rPr>
                  </w:pPr>
                  <w:r>
                    <w:rPr>
                      <w:rFonts w:hint="eastAsia"/>
                      <w:sz w:val="21"/>
                      <w:szCs w:val="21"/>
                      <w:u w:val="single"/>
                      <w:lang w:eastAsia="zh-CN"/>
                    </w:rPr>
                    <w:t>居住</w:t>
                  </w:r>
                </w:p>
              </w:tc>
              <w:tc>
                <w:tcPr>
                  <w:tcW w:w="618" w:type="pct"/>
                  <w:vAlign w:val="center"/>
                </w:tcPr>
                <w:p>
                  <w:pPr>
                    <w:adjustRightInd w:val="0"/>
                    <w:snapToGrid w:val="0"/>
                    <w:spacing w:line="240" w:lineRule="auto"/>
                    <w:jc w:val="center"/>
                    <w:rPr>
                      <w:rFonts w:hint="default"/>
                      <w:sz w:val="21"/>
                      <w:szCs w:val="21"/>
                      <w:u w:val="single"/>
                      <w:lang w:val="en-US" w:eastAsia="zh-CN"/>
                    </w:rPr>
                  </w:pPr>
                  <w:r>
                    <w:rPr>
                      <w:rFonts w:hint="eastAsia"/>
                      <w:sz w:val="21"/>
                      <w:szCs w:val="21"/>
                      <w:u w:val="single"/>
                      <w:lang w:val="en-US" w:eastAsia="zh-CN"/>
                    </w:rPr>
                    <w:t>8户约24人</w:t>
                  </w:r>
                </w:p>
              </w:tc>
              <w:tc>
                <w:tcPr>
                  <w:tcW w:w="832" w:type="pct"/>
                  <w:vAlign w:val="center"/>
                </w:tcPr>
                <w:p>
                  <w:pPr>
                    <w:adjustRightInd w:val="0"/>
                    <w:snapToGrid w:val="0"/>
                    <w:spacing w:line="240" w:lineRule="auto"/>
                    <w:jc w:val="center"/>
                    <w:rPr>
                      <w:rFonts w:hint="eastAsia"/>
                      <w:sz w:val="21"/>
                      <w:szCs w:val="21"/>
                      <w:u w:val="single"/>
                      <w:lang w:eastAsia="zh-CN"/>
                    </w:rPr>
                  </w:pPr>
                  <w:r>
                    <w:rPr>
                      <w:rFonts w:hint="eastAsia"/>
                      <w:sz w:val="21"/>
                      <w:szCs w:val="21"/>
                      <w:u w:val="single"/>
                      <w:lang w:eastAsia="zh-CN"/>
                    </w:rPr>
                    <w:t>无</w:t>
                  </w:r>
                </w:p>
              </w:tc>
              <w:tc>
                <w:tcPr>
                  <w:tcW w:w="1150" w:type="pct"/>
                  <w:vMerge w:val="continue"/>
                  <w:vAlign w:val="center"/>
                </w:tcPr>
                <w:p>
                  <w:pPr>
                    <w:adjustRightInd w:val="0"/>
                    <w:snapToGrid w:val="0"/>
                    <w:spacing w:line="240" w:lineRule="auto"/>
                    <w:jc w:val="center"/>
                    <w:rPr>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3" w:hRule="atLeast"/>
                <w:jc w:val="center"/>
              </w:trPr>
              <w:tc>
                <w:tcPr>
                  <w:tcW w:w="348" w:type="pct"/>
                  <w:vMerge w:val="continue"/>
                  <w:vAlign w:val="center"/>
                </w:tcPr>
                <w:p>
                  <w:pPr>
                    <w:adjustRightInd w:val="0"/>
                    <w:snapToGrid w:val="0"/>
                    <w:spacing w:line="240" w:lineRule="auto"/>
                    <w:jc w:val="center"/>
                    <w:rPr>
                      <w:color w:val="0000FF"/>
                      <w:sz w:val="21"/>
                      <w:szCs w:val="21"/>
                      <w:u w:val="single"/>
                    </w:rPr>
                  </w:pPr>
                </w:p>
              </w:tc>
              <w:tc>
                <w:tcPr>
                  <w:tcW w:w="650" w:type="pct"/>
                  <w:vMerge w:val="continue"/>
                  <w:vAlign w:val="center"/>
                </w:tcPr>
                <w:p>
                  <w:pPr>
                    <w:adjustRightInd w:val="0"/>
                    <w:snapToGrid w:val="0"/>
                    <w:spacing w:line="240" w:lineRule="auto"/>
                    <w:jc w:val="center"/>
                    <w:rPr>
                      <w:rFonts w:hint="eastAsia" w:ascii="Times New Roman" w:hAnsi="Times New Roman" w:cs="Times New Roman"/>
                      <w:color w:val="auto"/>
                      <w:sz w:val="21"/>
                      <w:szCs w:val="21"/>
                      <w:u w:val="single"/>
                      <w:lang w:eastAsia="zh-CN"/>
                    </w:rPr>
                  </w:pPr>
                </w:p>
              </w:tc>
              <w:tc>
                <w:tcPr>
                  <w:tcW w:w="411" w:type="pct"/>
                  <w:vAlign w:val="center"/>
                </w:tcPr>
                <w:p>
                  <w:pPr>
                    <w:adjustRightInd w:val="0"/>
                    <w:snapToGrid w:val="0"/>
                    <w:spacing w:line="240" w:lineRule="auto"/>
                    <w:jc w:val="center"/>
                    <w:rPr>
                      <w:rFonts w:hint="eastAsia"/>
                      <w:sz w:val="21"/>
                      <w:szCs w:val="21"/>
                      <w:u w:val="single"/>
                      <w:lang w:eastAsia="zh-CN"/>
                    </w:rPr>
                  </w:pPr>
                  <w:r>
                    <w:rPr>
                      <w:rFonts w:hint="eastAsia"/>
                      <w:sz w:val="21"/>
                      <w:szCs w:val="21"/>
                      <w:u w:val="single"/>
                      <w:lang w:eastAsia="zh-CN"/>
                    </w:rPr>
                    <w:t>新店村居民</w:t>
                  </w:r>
                </w:p>
              </w:tc>
              <w:tc>
                <w:tcPr>
                  <w:tcW w:w="498" w:type="pct"/>
                  <w:vAlign w:val="center"/>
                </w:tcPr>
                <w:p>
                  <w:pPr>
                    <w:adjustRightInd w:val="0"/>
                    <w:snapToGrid w:val="0"/>
                    <w:spacing w:line="240" w:lineRule="auto"/>
                    <w:jc w:val="center"/>
                    <w:rPr>
                      <w:rFonts w:hint="eastAsia"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eastAsia="zh-CN"/>
                    </w:rPr>
                    <w:t>穿越左右</w:t>
                  </w:r>
                  <w:r>
                    <w:rPr>
                      <w:rFonts w:hint="eastAsia" w:ascii="Times New Roman" w:hAnsi="Times New Roman" w:cs="Times New Roman"/>
                      <w:color w:val="auto"/>
                      <w:sz w:val="21"/>
                      <w:szCs w:val="21"/>
                      <w:u w:val="single"/>
                      <w:lang w:val="en-US" w:eastAsia="zh-CN"/>
                    </w:rPr>
                    <w:t>10m</w:t>
                  </w:r>
                </w:p>
              </w:tc>
              <w:tc>
                <w:tcPr>
                  <w:tcW w:w="489" w:type="pct"/>
                  <w:vAlign w:val="center"/>
                </w:tcPr>
                <w:p>
                  <w:pPr>
                    <w:adjustRightInd w:val="0"/>
                    <w:snapToGrid w:val="0"/>
                    <w:spacing w:line="240" w:lineRule="auto"/>
                    <w:jc w:val="center"/>
                    <w:rPr>
                      <w:rFonts w:hint="eastAsia"/>
                      <w:sz w:val="21"/>
                      <w:szCs w:val="21"/>
                      <w:u w:val="single"/>
                      <w:lang w:eastAsia="zh-CN"/>
                    </w:rPr>
                  </w:pPr>
                  <w:r>
                    <w:rPr>
                      <w:rFonts w:hint="eastAsia"/>
                      <w:sz w:val="21"/>
                      <w:szCs w:val="21"/>
                      <w:u w:val="single"/>
                      <w:lang w:eastAsia="zh-CN"/>
                    </w:rPr>
                    <w:t>居住</w:t>
                  </w:r>
                </w:p>
              </w:tc>
              <w:tc>
                <w:tcPr>
                  <w:tcW w:w="618" w:type="pct"/>
                  <w:vAlign w:val="center"/>
                </w:tcPr>
                <w:p>
                  <w:pPr>
                    <w:adjustRightInd w:val="0"/>
                    <w:snapToGrid w:val="0"/>
                    <w:spacing w:line="240" w:lineRule="auto"/>
                    <w:jc w:val="center"/>
                    <w:rPr>
                      <w:rFonts w:hint="default"/>
                      <w:sz w:val="21"/>
                      <w:szCs w:val="21"/>
                      <w:u w:val="single"/>
                      <w:lang w:val="en-US" w:eastAsia="zh-CN"/>
                    </w:rPr>
                  </w:pPr>
                  <w:r>
                    <w:rPr>
                      <w:rFonts w:hint="eastAsia"/>
                      <w:sz w:val="21"/>
                      <w:szCs w:val="21"/>
                      <w:u w:val="single"/>
                      <w:lang w:val="en-US" w:eastAsia="zh-CN"/>
                    </w:rPr>
                    <w:t>10户约30人</w:t>
                  </w:r>
                </w:p>
              </w:tc>
              <w:tc>
                <w:tcPr>
                  <w:tcW w:w="832" w:type="pct"/>
                  <w:vAlign w:val="center"/>
                </w:tcPr>
                <w:p>
                  <w:pPr>
                    <w:adjustRightInd w:val="0"/>
                    <w:snapToGrid w:val="0"/>
                    <w:spacing w:line="240" w:lineRule="auto"/>
                    <w:jc w:val="center"/>
                    <w:rPr>
                      <w:rFonts w:hint="eastAsia"/>
                      <w:sz w:val="21"/>
                      <w:szCs w:val="21"/>
                      <w:u w:val="single"/>
                      <w:lang w:eastAsia="zh-CN"/>
                    </w:rPr>
                  </w:pPr>
                  <w:r>
                    <w:rPr>
                      <w:rFonts w:hint="eastAsia"/>
                      <w:sz w:val="21"/>
                      <w:szCs w:val="21"/>
                      <w:u w:val="single"/>
                      <w:lang w:eastAsia="zh-CN"/>
                    </w:rPr>
                    <w:t>无</w:t>
                  </w:r>
                </w:p>
              </w:tc>
              <w:tc>
                <w:tcPr>
                  <w:tcW w:w="1150" w:type="pct"/>
                  <w:vMerge w:val="continue"/>
                  <w:vAlign w:val="center"/>
                </w:tcPr>
                <w:p>
                  <w:pPr>
                    <w:adjustRightInd w:val="0"/>
                    <w:snapToGrid w:val="0"/>
                    <w:spacing w:line="240" w:lineRule="auto"/>
                    <w:jc w:val="center"/>
                    <w:rPr>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3" w:hRule="atLeast"/>
                <w:jc w:val="center"/>
              </w:trPr>
              <w:tc>
                <w:tcPr>
                  <w:tcW w:w="348" w:type="pct"/>
                  <w:vMerge w:val="continue"/>
                  <w:vAlign w:val="center"/>
                </w:tcPr>
                <w:p>
                  <w:pPr>
                    <w:adjustRightInd w:val="0"/>
                    <w:snapToGrid w:val="0"/>
                    <w:spacing w:line="240" w:lineRule="auto"/>
                    <w:jc w:val="center"/>
                    <w:rPr>
                      <w:color w:val="0000FF"/>
                      <w:sz w:val="21"/>
                      <w:szCs w:val="21"/>
                      <w:u w:val="single"/>
                    </w:rPr>
                  </w:pPr>
                </w:p>
              </w:tc>
              <w:tc>
                <w:tcPr>
                  <w:tcW w:w="650" w:type="pct"/>
                  <w:vMerge w:val="continue"/>
                  <w:vAlign w:val="center"/>
                </w:tcPr>
                <w:p>
                  <w:pPr>
                    <w:adjustRightInd w:val="0"/>
                    <w:snapToGrid w:val="0"/>
                    <w:spacing w:line="240" w:lineRule="auto"/>
                    <w:jc w:val="center"/>
                    <w:rPr>
                      <w:rFonts w:hint="eastAsia" w:ascii="Times New Roman" w:hAnsi="Times New Roman" w:cs="Times New Roman"/>
                      <w:color w:val="auto"/>
                      <w:sz w:val="21"/>
                      <w:szCs w:val="21"/>
                      <w:u w:val="single"/>
                      <w:lang w:eastAsia="zh-CN"/>
                    </w:rPr>
                  </w:pPr>
                </w:p>
              </w:tc>
              <w:tc>
                <w:tcPr>
                  <w:tcW w:w="411" w:type="pct"/>
                  <w:vAlign w:val="center"/>
                </w:tcPr>
                <w:p>
                  <w:pPr>
                    <w:adjustRightInd w:val="0"/>
                    <w:snapToGrid w:val="0"/>
                    <w:spacing w:line="240" w:lineRule="auto"/>
                    <w:jc w:val="center"/>
                    <w:rPr>
                      <w:rFonts w:hint="eastAsia" w:eastAsia="宋体"/>
                      <w:sz w:val="21"/>
                      <w:szCs w:val="21"/>
                      <w:u w:val="single"/>
                      <w:lang w:eastAsia="zh-CN"/>
                    </w:rPr>
                  </w:pPr>
                  <w:r>
                    <w:rPr>
                      <w:rFonts w:hint="eastAsia"/>
                      <w:sz w:val="21"/>
                      <w:szCs w:val="21"/>
                      <w:u w:val="single"/>
                      <w:lang w:eastAsia="zh-CN"/>
                    </w:rPr>
                    <w:t>火马冲镇居民</w:t>
                  </w:r>
                </w:p>
              </w:tc>
              <w:tc>
                <w:tcPr>
                  <w:tcW w:w="498" w:type="pct"/>
                  <w:vAlign w:val="center"/>
                </w:tcPr>
                <w:p>
                  <w:pPr>
                    <w:adjustRightInd w:val="0"/>
                    <w:snapToGrid w:val="0"/>
                    <w:spacing w:line="240" w:lineRule="auto"/>
                    <w:jc w:val="center"/>
                    <w:rPr>
                      <w:rFonts w:hint="eastAsia"/>
                      <w:sz w:val="21"/>
                      <w:szCs w:val="21"/>
                      <w:u w:val="single"/>
                    </w:rPr>
                  </w:pPr>
                  <w:r>
                    <w:rPr>
                      <w:rFonts w:hint="eastAsia" w:ascii="Times New Roman" w:hAnsi="Times New Roman" w:cs="Times New Roman"/>
                      <w:color w:val="auto"/>
                      <w:sz w:val="21"/>
                      <w:szCs w:val="21"/>
                      <w:u w:val="single"/>
                      <w:lang w:eastAsia="zh-CN"/>
                    </w:rPr>
                    <w:t>穿越左右</w:t>
                  </w:r>
                  <w:r>
                    <w:rPr>
                      <w:rFonts w:hint="eastAsia" w:ascii="Times New Roman" w:hAnsi="Times New Roman" w:cs="Times New Roman"/>
                      <w:color w:val="auto"/>
                      <w:sz w:val="21"/>
                      <w:szCs w:val="21"/>
                      <w:u w:val="single"/>
                      <w:lang w:val="en-US" w:eastAsia="zh-CN"/>
                    </w:rPr>
                    <w:t>10m</w:t>
                  </w:r>
                </w:p>
              </w:tc>
              <w:tc>
                <w:tcPr>
                  <w:tcW w:w="489" w:type="pct"/>
                  <w:vAlign w:val="center"/>
                </w:tcPr>
                <w:p>
                  <w:pPr>
                    <w:adjustRightInd w:val="0"/>
                    <w:snapToGrid w:val="0"/>
                    <w:spacing w:line="240" w:lineRule="auto"/>
                    <w:jc w:val="center"/>
                    <w:rPr>
                      <w:sz w:val="21"/>
                      <w:szCs w:val="21"/>
                      <w:u w:val="single"/>
                    </w:rPr>
                  </w:pPr>
                  <w:r>
                    <w:rPr>
                      <w:rFonts w:hint="eastAsia"/>
                      <w:sz w:val="21"/>
                      <w:szCs w:val="21"/>
                      <w:u w:val="single"/>
                      <w:lang w:eastAsia="zh-CN"/>
                    </w:rPr>
                    <w:t>居住</w:t>
                  </w:r>
                </w:p>
              </w:tc>
              <w:tc>
                <w:tcPr>
                  <w:tcW w:w="618" w:type="pct"/>
                  <w:vAlign w:val="center"/>
                </w:tcPr>
                <w:p>
                  <w:pPr>
                    <w:adjustRightInd w:val="0"/>
                    <w:snapToGrid w:val="0"/>
                    <w:spacing w:line="240" w:lineRule="auto"/>
                    <w:jc w:val="center"/>
                    <w:rPr>
                      <w:rFonts w:hint="default" w:eastAsia="宋体"/>
                      <w:sz w:val="21"/>
                      <w:szCs w:val="21"/>
                      <w:u w:val="single"/>
                      <w:lang w:val="en-US" w:eastAsia="zh-CN"/>
                    </w:rPr>
                  </w:pPr>
                  <w:r>
                    <w:rPr>
                      <w:rFonts w:hint="eastAsia"/>
                      <w:sz w:val="21"/>
                      <w:szCs w:val="21"/>
                      <w:u w:val="single"/>
                      <w:lang w:val="en-US" w:eastAsia="zh-CN"/>
                    </w:rPr>
                    <w:t>20户约60人</w:t>
                  </w:r>
                </w:p>
              </w:tc>
              <w:tc>
                <w:tcPr>
                  <w:tcW w:w="832" w:type="pct"/>
                  <w:vAlign w:val="center"/>
                </w:tcPr>
                <w:p>
                  <w:pPr>
                    <w:adjustRightInd w:val="0"/>
                    <w:snapToGrid w:val="0"/>
                    <w:spacing w:line="240" w:lineRule="auto"/>
                    <w:jc w:val="center"/>
                    <w:rPr>
                      <w:rFonts w:hint="eastAsia"/>
                      <w:sz w:val="21"/>
                      <w:szCs w:val="21"/>
                      <w:u w:val="single"/>
                    </w:rPr>
                  </w:pPr>
                  <w:r>
                    <w:rPr>
                      <w:rFonts w:hint="eastAsia"/>
                      <w:sz w:val="21"/>
                      <w:szCs w:val="21"/>
                      <w:u w:val="single"/>
                      <w:lang w:eastAsia="zh-CN"/>
                    </w:rPr>
                    <w:t>无</w:t>
                  </w:r>
                </w:p>
              </w:tc>
              <w:tc>
                <w:tcPr>
                  <w:tcW w:w="1150" w:type="pct"/>
                  <w:vMerge w:val="continue"/>
                  <w:vAlign w:val="center"/>
                </w:tcPr>
                <w:p>
                  <w:pPr>
                    <w:adjustRightInd w:val="0"/>
                    <w:snapToGrid w:val="0"/>
                    <w:spacing w:line="240" w:lineRule="auto"/>
                    <w:jc w:val="center"/>
                    <w:rPr>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6" w:hRule="atLeast"/>
                <w:jc w:val="center"/>
              </w:trPr>
              <w:tc>
                <w:tcPr>
                  <w:tcW w:w="348" w:type="pct"/>
                  <w:vMerge w:val="restart"/>
                  <w:vAlign w:val="center"/>
                </w:tcPr>
                <w:p>
                  <w:pPr>
                    <w:adjustRightInd w:val="0"/>
                    <w:snapToGrid w:val="0"/>
                    <w:spacing w:line="240" w:lineRule="auto"/>
                    <w:jc w:val="center"/>
                    <w:rPr>
                      <w:rFonts w:hint="eastAsia" w:eastAsia="宋体"/>
                      <w:color w:val="auto"/>
                      <w:sz w:val="21"/>
                      <w:szCs w:val="21"/>
                      <w:u w:val="single"/>
                      <w:lang w:eastAsia="zh-CN"/>
                    </w:rPr>
                  </w:pPr>
                  <w:r>
                    <w:rPr>
                      <w:rFonts w:hint="eastAsia"/>
                      <w:color w:val="auto"/>
                      <w:sz w:val="21"/>
                      <w:szCs w:val="21"/>
                      <w:u w:val="single"/>
                      <w:lang w:eastAsia="zh-CN"/>
                    </w:rPr>
                    <w:t>生态环境</w:t>
                  </w:r>
                </w:p>
              </w:tc>
              <w:tc>
                <w:tcPr>
                  <w:tcW w:w="1061" w:type="pct"/>
                  <w:gridSpan w:val="2"/>
                  <w:vAlign w:val="center"/>
                </w:tcPr>
                <w:p>
                  <w:pPr>
                    <w:adjustRightInd w:val="0"/>
                    <w:snapToGrid w:val="0"/>
                    <w:spacing w:line="240" w:lineRule="auto"/>
                    <w:jc w:val="center"/>
                    <w:rPr>
                      <w:rFonts w:hint="eastAsia" w:ascii="Times New Roman" w:hAnsi="Times New Roman" w:eastAsia="宋体" w:cs="Times New Roman"/>
                      <w:color w:val="auto"/>
                      <w:sz w:val="21"/>
                      <w:szCs w:val="21"/>
                      <w:u w:val="single"/>
                      <w:lang w:eastAsia="zh-CN"/>
                    </w:rPr>
                  </w:pPr>
                  <w:r>
                    <w:rPr>
                      <w:rFonts w:hint="eastAsia" w:ascii="Times New Roman" w:hAnsi="Times New Roman" w:eastAsia="宋体" w:cs="Times New Roman"/>
                      <w:color w:val="auto"/>
                      <w:sz w:val="21"/>
                      <w:szCs w:val="21"/>
                      <w:u w:val="single"/>
                    </w:rPr>
                    <w:t>沅水特有鱼类国家级水产种质资源保护区</w:t>
                  </w:r>
                  <w:r>
                    <w:rPr>
                      <w:rFonts w:hint="eastAsia" w:cs="Times New Roman"/>
                      <w:color w:val="auto"/>
                      <w:sz w:val="21"/>
                      <w:szCs w:val="21"/>
                      <w:u w:val="single"/>
                      <w:lang w:eastAsia="zh-CN"/>
                    </w:rPr>
                    <w:t>实验区</w:t>
                  </w:r>
                </w:p>
              </w:tc>
              <w:tc>
                <w:tcPr>
                  <w:tcW w:w="498" w:type="pct"/>
                  <w:vAlign w:val="center"/>
                </w:tcPr>
                <w:p>
                  <w:pPr>
                    <w:adjustRightInd w:val="0"/>
                    <w:snapToGrid w:val="0"/>
                    <w:spacing w:line="240" w:lineRule="auto"/>
                    <w:jc w:val="center"/>
                    <w:rPr>
                      <w:rFonts w:hint="default" w:eastAsia="宋体"/>
                      <w:sz w:val="21"/>
                      <w:szCs w:val="21"/>
                      <w:u w:val="single"/>
                      <w:lang w:val="en-US" w:eastAsia="zh-CN"/>
                    </w:rPr>
                  </w:pPr>
                  <w:r>
                    <w:rPr>
                      <w:rFonts w:hint="eastAsia"/>
                      <w:sz w:val="21"/>
                      <w:szCs w:val="21"/>
                      <w:u w:val="single"/>
                      <w:lang w:eastAsia="zh-CN"/>
                    </w:rPr>
                    <w:t>北面</w:t>
                  </w:r>
                  <w:r>
                    <w:rPr>
                      <w:rFonts w:hint="eastAsia"/>
                      <w:sz w:val="21"/>
                      <w:szCs w:val="21"/>
                      <w:u w:val="single"/>
                      <w:lang w:val="en-US" w:eastAsia="zh-CN"/>
                    </w:rPr>
                    <w:t>1m</w:t>
                  </w:r>
                </w:p>
              </w:tc>
              <w:tc>
                <w:tcPr>
                  <w:tcW w:w="1107" w:type="pct"/>
                  <w:gridSpan w:val="2"/>
                  <w:vAlign w:val="center"/>
                </w:tcPr>
                <w:p>
                  <w:pPr>
                    <w:adjustRightInd w:val="0"/>
                    <w:snapToGrid w:val="0"/>
                    <w:spacing w:line="240" w:lineRule="auto"/>
                    <w:jc w:val="center"/>
                    <w:rPr>
                      <w:rFonts w:hint="eastAsia" w:ascii="Times New Roman" w:hAnsi="Times New Roman" w:eastAsia="宋体" w:cs="Times New Roman"/>
                      <w:kern w:val="2"/>
                      <w:sz w:val="21"/>
                      <w:szCs w:val="21"/>
                      <w:u w:val="single"/>
                      <w:lang w:bidi="ar"/>
                    </w:rPr>
                  </w:pPr>
                  <w:r>
                    <w:rPr>
                      <w:rFonts w:hint="eastAsia" w:ascii="Times New Roman" w:hAnsi="Times New Roman" w:eastAsia="宋体" w:cs="Times New Roman"/>
                      <w:kern w:val="2"/>
                      <w:sz w:val="21"/>
                      <w:szCs w:val="21"/>
                      <w:u w:val="single"/>
                      <w:lang w:bidi="ar"/>
                    </w:rPr>
                    <w:t>国家级水产种质资源保护区</w:t>
                  </w:r>
                </w:p>
                <w:p>
                  <w:pPr>
                    <w:adjustRightInd w:val="0"/>
                    <w:snapToGrid w:val="0"/>
                    <w:spacing w:line="240" w:lineRule="auto"/>
                    <w:jc w:val="center"/>
                    <w:rPr>
                      <w:rFonts w:hint="eastAsia" w:ascii="Times New Roman" w:hAnsi="Times New Roman" w:eastAsia="宋体" w:cs="Times New Roman"/>
                      <w:kern w:val="2"/>
                      <w:sz w:val="21"/>
                      <w:szCs w:val="21"/>
                      <w:u w:val="single"/>
                      <w:lang w:bidi="ar"/>
                    </w:rPr>
                  </w:pPr>
                </w:p>
              </w:tc>
              <w:tc>
                <w:tcPr>
                  <w:tcW w:w="832" w:type="pct"/>
                  <w:vAlign w:val="center"/>
                </w:tcPr>
                <w:p>
                  <w:pPr>
                    <w:adjustRightInd w:val="0"/>
                    <w:snapToGrid w:val="0"/>
                    <w:spacing w:line="240" w:lineRule="auto"/>
                    <w:jc w:val="center"/>
                    <w:rPr>
                      <w:rFonts w:hint="eastAsia" w:eastAsia="宋体"/>
                      <w:sz w:val="21"/>
                      <w:szCs w:val="21"/>
                      <w:u w:val="single"/>
                      <w:lang w:eastAsia="zh-CN"/>
                    </w:rPr>
                  </w:pPr>
                  <w:r>
                    <w:rPr>
                      <w:rFonts w:hint="eastAsia"/>
                      <w:sz w:val="21"/>
                      <w:szCs w:val="21"/>
                      <w:u w:val="single"/>
                      <w:lang w:eastAsia="zh-CN"/>
                    </w:rPr>
                    <w:t>无</w:t>
                  </w:r>
                </w:p>
              </w:tc>
              <w:tc>
                <w:tcPr>
                  <w:tcW w:w="1150" w:type="pct"/>
                  <w:vAlign w:val="center"/>
                </w:tcPr>
                <w:p>
                  <w:pPr>
                    <w:adjustRightInd w:val="0"/>
                    <w:snapToGrid w:val="0"/>
                    <w:spacing w:line="240" w:lineRule="auto"/>
                    <w:jc w:val="center"/>
                    <w:rPr>
                      <w:rFonts w:hint="eastAsia" w:eastAsia="宋体"/>
                      <w:color w:val="0000FF"/>
                      <w:sz w:val="21"/>
                      <w:szCs w:val="21"/>
                      <w:u w:val="single"/>
                      <w:lang w:val="en-US" w:eastAsia="zh-CN"/>
                    </w:rPr>
                  </w:pPr>
                  <w:r>
                    <w:rPr>
                      <w:rFonts w:hint="eastAsia"/>
                      <w:color w:val="0000FF"/>
                      <w:sz w:val="21"/>
                      <w:szCs w:val="21"/>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6" w:hRule="atLeast"/>
                <w:jc w:val="center"/>
              </w:trPr>
              <w:tc>
                <w:tcPr>
                  <w:tcW w:w="348" w:type="pct"/>
                  <w:vMerge w:val="continue"/>
                  <w:vAlign w:val="center"/>
                </w:tcPr>
                <w:p>
                  <w:pPr>
                    <w:adjustRightInd w:val="0"/>
                    <w:snapToGrid w:val="0"/>
                    <w:spacing w:line="240" w:lineRule="auto"/>
                    <w:jc w:val="center"/>
                    <w:rPr>
                      <w:rFonts w:hint="eastAsia"/>
                      <w:color w:val="auto"/>
                      <w:sz w:val="21"/>
                      <w:szCs w:val="21"/>
                      <w:u w:val="single"/>
                      <w:lang w:eastAsia="zh-CN"/>
                    </w:rPr>
                  </w:pPr>
                </w:p>
              </w:tc>
              <w:tc>
                <w:tcPr>
                  <w:tcW w:w="1061" w:type="pct"/>
                  <w:gridSpan w:val="2"/>
                  <w:vAlign w:val="center"/>
                </w:tcPr>
                <w:p>
                  <w:pPr>
                    <w:adjustRightInd w:val="0"/>
                    <w:snapToGrid w:val="0"/>
                    <w:spacing w:line="240" w:lineRule="auto"/>
                    <w:jc w:val="center"/>
                    <w:rPr>
                      <w:rFonts w:hint="eastAsia" w:ascii="Times New Roman" w:hAnsi="Times New Roman" w:eastAsia="宋体" w:cs="Times New Roman"/>
                      <w:color w:val="auto"/>
                      <w:sz w:val="21"/>
                      <w:szCs w:val="21"/>
                      <w:u w:val="single"/>
                      <w:lang w:eastAsia="zh-CN"/>
                    </w:rPr>
                  </w:pPr>
                  <w:r>
                    <w:rPr>
                      <w:rFonts w:hint="eastAsia" w:ascii="Times New Roman" w:hAnsi="Times New Roman" w:eastAsia="宋体" w:cs="Times New Roman"/>
                      <w:color w:val="auto"/>
                      <w:sz w:val="21"/>
                      <w:szCs w:val="21"/>
                      <w:u w:val="single"/>
                    </w:rPr>
                    <w:t>沅水辰溪段鲌类黄颡鱼国家级水产种质资源保护区</w:t>
                  </w:r>
                  <w:r>
                    <w:rPr>
                      <w:rFonts w:hint="eastAsia" w:ascii="Times New Roman" w:hAnsi="Times New Roman" w:eastAsia="宋体" w:cs="Times New Roman"/>
                      <w:color w:val="auto"/>
                      <w:sz w:val="21"/>
                      <w:szCs w:val="21"/>
                      <w:u w:val="single"/>
                      <w:lang w:eastAsia="zh-CN"/>
                    </w:rPr>
                    <w:t>核心区</w:t>
                  </w:r>
                </w:p>
              </w:tc>
              <w:tc>
                <w:tcPr>
                  <w:tcW w:w="498" w:type="pct"/>
                  <w:vAlign w:val="center"/>
                </w:tcPr>
                <w:p>
                  <w:pPr>
                    <w:adjustRightInd w:val="0"/>
                    <w:snapToGrid w:val="0"/>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lang w:eastAsia="zh-CN"/>
                    </w:rPr>
                    <w:t>北面</w:t>
                  </w:r>
                  <w:r>
                    <w:rPr>
                      <w:rFonts w:hint="eastAsia"/>
                      <w:sz w:val="21"/>
                      <w:szCs w:val="21"/>
                      <w:u w:val="single"/>
                      <w:lang w:val="en-US" w:eastAsia="zh-CN"/>
                    </w:rPr>
                    <w:t>1m</w:t>
                  </w:r>
                </w:p>
              </w:tc>
              <w:tc>
                <w:tcPr>
                  <w:tcW w:w="1107" w:type="pct"/>
                  <w:gridSpan w:val="2"/>
                  <w:vAlign w:val="center"/>
                </w:tcPr>
                <w:p>
                  <w:pPr>
                    <w:adjustRightInd w:val="0"/>
                    <w:snapToGrid w:val="0"/>
                    <w:spacing w:line="240" w:lineRule="auto"/>
                    <w:jc w:val="center"/>
                    <w:rPr>
                      <w:rFonts w:hint="eastAsia" w:ascii="Times New Roman" w:hAnsi="Times New Roman" w:eastAsia="宋体" w:cs="Times New Roman"/>
                      <w:kern w:val="2"/>
                      <w:sz w:val="21"/>
                      <w:szCs w:val="21"/>
                      <w:u w:val="single"/>
                      <w:lang w:bidi="ar"/>
                    </w:rPr>
                  </w:pPr>
                  <w:r>
                    <w:rPr>
                      <w:rFonts w:hint="eastAsia" w:ascii="Times New Roman" w:hAnsi="Times New Roman" w:eastAsia="宋体" w:cs="Times New Roman"/>
                      <w:kern w:val="2"/>
                      <w:sz w:val="21"/>
                      <w:szCs w:val="21"/>
                      <w:u w:val="single"/>
                      <w:lang w:bidi="ar"/>
                    </w:rPr>
                    <w:t>国家级水产种质资源保护区</w:t>
                  </w:r>
                </w:p>
                <w:p>
                  <w:pPr>
                    <w:adjustRightInd w:val="0"/>
                    <w:snapToGrid w:val="0"/>
                    <w:spacing w:line="240" w:lineRule="auto"/>
                    <w:jc w:val="center"/>
                    <w:rPr>
                      <w:rFonts w:hint="eastAsia" w:ascii="Times New Roman" w:hAnsi="Times New Roman" w:eastAsia="宋体" w:cs="Times New Roman"/>
                      <w:kern w:val="2"/>
                      <w:sz w:val="21"/>
                      <w:szCs w:val="21"/>
                      <w:u w:val="single"/>
                      <w:lang w:val="en-US" w:eastAsia="zh-CN" w:bidi="ar"/>
                    </w:rPr>
                  </w:pPr>
                </w:p>
              </w:tc>
              <w:tc>
                <w:tcPr>
                  <w:tcW w:w="832" w:type="pct"/>
                  <w:vAlign w:val="center"/>
                </w:tcPr>
                <w:p>
                  <w:pPr>
                    <w:adjustRightInd w:val="0"/>
                    <w:snapToGrid w:val="0"/>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lang w:eastAsia="zh-CN"/>
                    </w:rPr>
                    <w:t>无</w:t>
                  </w:r>
                </w:p>
              </w:tc>
              <w:tc>
                <w:tcPr>
                  <w:tcW w:w="1150" w:type="pct"/>
                  <w:vAlign w:val="center"/>
                </w:tcPr>
                <w:p>
                  <w:pPr>
                    <w:adjustRightInd w:val="0"/>
                    <w:snapToGrid w:val="0"/>
                    <w:spacing w:line="240" w:lineRule="auto"/>
                    <w:jc w:val="center"/>
                    <w:rPr>
                      <w:rFonts w:hint="eastAsia" w:ascii="Times New Roman" w:hAnsi="Times New Roman" w:eastAsia="宋体" w:cs="Times New Roman"/>
                      <w:color w:val="0000FF"/>
                      <w:kern w:val="2"/>
                      <w:sz w:val="21"/>
                      <w:szCs w:val="21"/>
                      <w:u w:val="single"/>
                      <w:lang w:val="en-US" w:eastAsia="zh-CN" w:bidi="ar-SA"/>
                    </w:rPr>
                  </w:pPr>
                  <w:r>
                    <w:rPr>
                      <w:rFonts w:hint="eastAsia"/>
                      <w:color w:val="0000FF"/>
                      <w:sz w:val="21"/>
                      <w:szCs w:val="21"/>
                      <w:u w:val="single"/>
                      <w:lang w:val="en-US" w:eastAsia="zh-CN"/>
                    </w:rPr>
                    <w:t>/</w:t>
                  </w:r>
                </w:p>
              </w:tc>
            </w:tr>
          </w:tbl>
          <w:p>
            <w:pPr>
              <w:adjustRightInd w:val="0"/>
              <w:snapToGrid w:val="0"/>
              <w:spacing w:line="240" w:lineRule="auto"/>
              <w:rPr>
                <w:color w:val="0000FF"/>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00" w:type="dxa"/>
            <w:tcMar>
              <w:left w:w="28" w:type="dxa"/>
              <w:right w:w="28" w:type="dxa"/>
            </w:tcMar>
            <w:vAlign w:val="center"/>
          </w:tcPr>
          <w:p>
            <w:pPr>
              <w:adjustRightInd w:val="0"/>
              <w:snapToGrid w:val="0"/>
              <w:jc w:val="center"/>
              <w:rPr>
                <w:kern w:val="0"/>
                <w:szCs w:val="21"/>
              </w:rPr>
            </w:pPr>
            <w:r>
              <w:rPr>
                <w:kern w:val="0"/>
                <w:szCs w:val="21"/>
              </w:rPr>
              <w:t>污染</w:t>
            </w:r>
          </w:p>
          <w:p>
            <w:pPr>
              <w:adjustRightInd w:val="0"/>
              <w:snapToGrid w:val="0"/>
              <w:jc w:val="center"/>
              <w:rPr>
                <w:kern w:val="0"/>
                <w:szCs w:val="21"/>
              </w:rPr>
            </w:pPr>
            <w:r>
              <w:rPr>
                <w:kern w:val="0"/>
                <w:szCs w:val="21"/>
              </w:rPr>
              <w:t>物排</w:t>
            </w:r>
          </w:p>
          <w:p>
            <w:pPr>
              <w:adjustRightInd w:val="0"/>
              <w:snapToGrid w:val="0"/>
              <w:jc w:val="center"/>
              <w:rPr>
                <w:kern w:val="0"/>
                <w:szCs w:val="21"/>
              </w:rPr>
            </w:pPr>
            <w:r>
              <w:rPr>
                <w:kern w:val="0"/>
                <w:szCs w:val="21"/>
              </w:rPr>
              <w:t>放控</w:t>
            </w:r>
          </w:p>
          <w:p>
            <w:pPr>
              <w:adjustRightInd w:val="0"/>
              <w:snapToGrid w:val="0"/>
              <w:jc w:val="center"/>
              <w:rPr>
                <w:kern w:val="0"/>
                <w:szCs w:val="21"/>
              </w:rPr>
            </w:pPr>
            <w:r>
              <w:rPr>
                <w:kern w:val="0"/>
                <w:szCs w:val="21"/>
              </w:rPr>
              <w:t>制标</w:t>
            </w:r>
          </w:p>
          <w:p>
            <w:pPr>
              <w:adjustRightInd w:val="0"/>
              <w:snapToGrid w:val="0"/>
              <w:jc w:val="center"/>
              <w:rPr>
                <w:color w:val="0000FF"/>
                <w:kern w:val="0"/>
                <w:szCs w:val="21"/>
              </w:rPr>
            </w:pPr>
            <w:r>
              <w:rPr>
                <w:kern w:val="0"/>
                <w:szCs w:val="21"/>
              </w:rPr>
              <w:t>准</w:t>
            </w:r>
          </w:p>
        </w:tc>
        <w:tc>
          <w:tcPr>
            <w:tcW w:w="8190" w:type="dxa"/>
          </w:tcPr>
          <w:p>
            <w:pPr>
              <w:widowControl/>
              <w:numPr>
                <w:ilvl w:val="1"/>
                <w:numId w:val="0"/>
              </w:numPr>
              <w:ind w:left="284" w:firstLine="480" w:firstLineChars="200"/>
            </w:pPr>
            <w:bookmarkStart w:id="54" w:name="_Toc18782"/>
            <w:bookmarkStart w:id="55" w:name="_Toc68160374"/>
            <w:r>
              <w:t>3.</w:t>
            </w:r>
            <w:r>
              <w:rPr>
                <w:rFonts w:hint="eastAsia"/>
              </w:rPr>
              <w:t>8</w:t>
            </w:r>
            <w:r>
              <w:t>污染物排放控制标准</w:t>
            </w:r>
            <w:bookmarkEnd w:id="54"/>
            <w:bookmarkEnd w:id="55"/>
          </w:p>
          <w:p>
            <w:pPr>
              <w:widowControl/>
              <w:numPr>
                <w:ilvl w:val="2"/>
                <w:numId w:val="0"/>
              </w:numPr>
              <w:ind w:left="709" w:firstLine="480" w:firstLineChars="200"/>
            </w:pPr>
            <w:bookmarkStart w:id="56" w:name="_Toc25231"/>
            <w:bookmarkStart w:id="57" w:name="_Toc68160375"/>
            <w:r>
              <w:t>1、废气排放标准</w:t>
            </w:r>
            <w:bookmarkEnd w:id="56"/>
            <w:bookmarkEnd w:id="57"/>
          </w:p>
          <w:p>
            <w:pPr>
              <w:widowControl/>
              <w:autoSpaceDE/>
              <w:autoSpaceDN/>
              <w:adjustRightInd/>
              <w:ind w:firstLine="480" w:firstLineChars="200"/>
              <w:jc w:val="left"/>
            </w:pPr>
            <w:r>
              <w:t>颗粒物执行《大气污染物综合排放标准》（GB16297-1996）中表2的无组织排放监控浓度限值，食堂油烟执行《饮食业油烟排放标准（试行）》（GB18483-2001）具体标准值见</w:t>
            </w:r>
            <w:r>
              <w:rPr>
                <w:rFonts w:hint="eastAsia"/>
              </w:rPr>
              <w:t>下表</w:t>
            </w:r>
            <w:r>
              <w:t>。</w:t>
            </w:r>
          </w:p>
          <w:p>
            <w:pPr>
              <w:widowControl/>
              <w:spacing w:line="240" w:lineRule="auto"/>
              <w:ind w:firstLine="421" w:firstLineChars="200"/>
              <w:jc w:val="left"/>
              <w:rPr>
                <w:b/>
                <w:bCs/>
                <w:sz w:val="21"/>
                <w:szCs w:val="21"/>
              </w:rPr>
            </w:pPr>
            <w:r>
              <w:rPr>
                <w:b/>
                <w:bCs/>
                <w:sz w:val="21"/>
                <w:szCs w:val="21"/>
              </w:rPr>
              <w:t>表3-</w:t>
            </w:r>
            <w:r>
              <w:rPr>
                <w:rFonts w:hint="eastAsia"/>
                <w:b/>
                <w:bCs/>
                <w:sz w:val="21"/>
                <w:szCs w:val="21"/>
              </w:rPr>
              <w:t>7</w:t>
            </w:r>
            <w:r>
              <w:rPr>
                <w:b/>
                <w:bCs/>
                <w:sz w:val="21"/>
                <w:szCs w:val="21"/>
              </w:rPr>
              <w:t xml:space="preserve"> 《废气污染物综合排放标准》（GB16297-1996）</w:t>
            </w:r>
          </w:p>
          <w:tbl>
            <w:tblPr>
              <w:tblStyle w:val="22"/>
              <w:tblW w:w="4999"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565"/>
              <w:gridCol w:w="1336"/>
              <w:gridCol w:w="2943"/>
              <w:gridCol w:w="153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5" w:hRule="atLeast"/>
                <w:jc w:val="center"/>
              </w:trPr>
              <w:tc>
                <w:tcPr>
                  <w:tcW w:w="1531" w:type="pct"/>
                  <w:vAlign w:val="center"/>
                </w:tcPr>
                <w:p>
                  <w:pPr>
                    <w:widowControl/>
                    <w:adjustRightInd/>
                    <w:snapToGrid/>
                    <w:spacing w:line="240" w:lineRule="auto"/>
                    <w:ind w:firstLine="421" w:firstLineChars="200"/>
                    <w:jc w:val="left"/>
                    <w:rPr>
                      <w:b/>
                      <w:bCs/>
                      <w:sz w:val="21"/>
                      <w:szCs w:val="21"/>
                    </w:rPr>
                  </w:pPr>
                  <w:r>
                    <w:rPr>
                      <w:b/>
                      <w:bCs/>
                      <w:sz w:val="21"/>
                      <w:szCs w:val="21"/>
                    </w:rPr>
                    <w:t>标准</w:t>
                  </w:r>
                </w:p>
              </w:tc>
              <w:tc>
                <w:tcPr>
                  <w:tcW w:w="3468" w:type="pct"/>
                  <w:gridSpan w:val="3"/>
                  <w:vAlign w:val="center"/>
                </w:tcPr>
                <w:p>
                  <w:pPr>
                    <w:widowControl/>
                    <w:adjustRightInd/>
                    <w:snapToGrid/>
                    <w:spacing w:line="240" w:lineRule="auto"/>
                    <w:ind w:firstLine="421" w:firstLineChars="200"/>
                    <w:jc w:val="left"/>
                    <w:rPr>
                      <w:b/>
                      <w:bCs/>
                      <w:sz w:val="21"/>
                      <w:szCs w:val="21"/>
                    </w:rPr>
                  </w:pPr>
                  <w:r>
                    <w:rPr>
                      <w:b/>
                      <w:bCs/>
                      <w:sz w:val="21"/>
                      <w:szCs w:val="21"/>
                    </w:rPr>
                    <w:t>评价标准值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56" w:hRule="atLeast"/>
                <w:jc w:val="center"/>
              </w:trPr>
              <w:tc>
                <w:tcPr>
                  <w:tcW w:w="1531" w:type="pct"/>
                  <w:vMerge w:val="restart"/>
                  <w:vAlign w:val="center"/>
                </w:tcPr>
                <w:p>
                  <w:pPr>
                    <w:widowControl/>
                    <w:adjustRightInd/>
                    <w:snapToGrid/>
                    <w:spacing w:line="240" w:lineRule="auto"/>
                    <w:ind w:firstLine="420" w:firstLineChars="200"/>
                    <w:jc w:val="left"/>
                    <w:rPr>
                      <w:sz w:val="21"/>
                      <w:szCs w:val="21"/>
                    </w:rPr>
                  </w:pPr>
                  <w:r>
                    <w:rPr>
                      <w:sz w:val="21"/>
                      <w:szCs w:val="21"/>
                    </w:rPr>
                    <w:t>《大气污染物综合排放标准》（GB16297-1996）</w:t>
                  </w:r>
                </w:p>
              </w:tc>
              <w:tc>
                <w:tcPr>
                  <w:tcW w:w="3468" w:type="pct"/>
                  <w:gridSpan w:val="3"/>
                  <w:vAlign w:val="center"/>
                </w:tcPr>
                <w:p>
                  <w:pPr>
                    <w:widowControl/>
                    <w:adjustRightInd/>
                    <w:snapToGrid/>
                    <w:spacing w:line="240" w:lineRule="auto"/>
                    <w:ind w:firstLine="420" w:firstLineChars="200"/>
                    <w:jc w:val="left"/>
                    <w:rPr>
                      <w:sz w:val="21"/>
                      <w:szCs w:val="21"/>
                    </w:rPr>
                  </w:pPr>
                  <w:r>
                    <w:rPr>
                      <w:sz w:val="21"/>
                      <w:szCs w:val="21"/>
                    </w:rPr>
                    <w:t>无组织排放监控浓度限值mg/m³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531" w:type="pct"/>
                  <w:vMerge w:val="continue"/>
                  <w:vAlign w:val="center"/>
                </w:tcPr>
                <w:p>
                  <w:pPr>
                    <w:widowControl/>
                    <w:adjustRightInd/>
                    <w:snapToGrid/>
                    <w:spacing w:line="240" w:lineRule="auto"/>
                    <w:ind w:firstLine="420" w:firstLineChars="200"/>
                    <w:jc w:val="left"/>
                    <w:rPr>
                      <w:sz w:val="21"/>
                      <w:szCs w:val="21"/>
                    </w:rPr>
                  </w:pPr>
                </w:p>
              </w:tc>
              <w:tc>
                <w:tcPr>
                  <w:tcW w:w="797" w:type="pct"/>
                  <w:vAlign w:val="center"/>
                </w:tcPr>
                <w:p>
                  <w:pPr>
                    <w:widowControl/>
                    <w:adjustRightInd/>
                    <w:snapToGrid/>
                    <w:spacing w:line="240" w:lineRule="auto"/>
                    <w:ind w:firstLine="420" w:firstLineChars="200"/>
                    <w:jc w:val="left"/>
                    <w:rPr>
                      <w:sz w:val="21"/>
                      <w:szCs w:val="21"/>
                    </w:rPr>
                  </w:pPr>
                  <w:r>
                    <w:rPr>
                      <w:sz w:val="21"/>
                      <w:szCs w:val="21"/>
                    </w:rPr>
                    <w:t>污染物</w:t>
                  </w:r>
                </w:p>
              </w:tc>
              <w:tc>
                <w:tcPr>
                  <w:tcW w:w="1756" w:type="pct"/>
                  <w:vAlign w:val="center"/>
                </w:tcPr>
                <w:p>
                  <w:pPr>
                    <w:widowControl/>
                    <w:adjustRightInd/>
                    <w:snapToGrid/>
                    <w:spacing w:line="240" w:lineRule="auto"/>
                    <w:ind w:firstLine="420" w:firstLineChars="200"/>
                    <w:jc w:val="left"/>
                    <w:rPr>
                      <w:sz w:val="21"/>
                      <w:szCs w:val="21"/>
                    </w:rPr>
                  </w:pPr>
                  <w:r>
                    <w:rPr>
                      <w:sz w:val="21"/>
                      <w:szCs w:val="21"/>
                    </w:rPr>
                    <w:t>监控点</w:t>
                  </w:r>
                </w:p>
              </w:tc>
              <w:tc>
                <w:tcPr>
                  <w:tcW w:w="914" w:type="pct"/>
                  <w:vAlign w:val="center"/>
                </w:tcPr>
                <w:p>
                  <w:pPr>
                    <w:widowControl/>
                    <w:adjustRightInd/>
                    <w:snapToGrid/>
                    <w:spacing w:line="240" w:lineRule="auto"/>
                    <w:ind w:firstLine="420" w:firstLineChars="200"/>
                    <w:jc w:val="left"/>
                    <w:rPr>
                      <w:sz w:val="21"/>
                      <w:szCs w:val="21"/>
                    </w:rPr>
                  </w:pPr>
                  <w:r>
                    <w:rPr>
                      <w:sz w:val="21"/>
                      <w:szCs w:val="21"/>
                    </w:rPr>
                    <w:t>浓度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531" w:type="pct"/>
                  <w:vMerge w:val="continue"/>
                  <w:vAlign w:val="center"/>
                </w:tcPr>
                <w:p>
                  <w:pPr>
                    <w:widowControl/>
                    <w:adjustRightInd/>
                    <w:snapToGrid/>
                    <w:spacing w:line="240" w:lineRule="auto"/>
                    <w:ind w:firstLine="420" w:firstLineChars="200"/>
                    <w:jc w:val="left"/>
                    <w:rPr>
                      <w:sz w:val="21"/>
                      <w:szCs w:val="21"/>
                    </w:rPr>
                  </w:pPr>
                </w:p>
              </w:tc>
              <w:tc>
                <w:tcPr>
                  <w:tcW w:w="797" w:type="pct"/>
                  <w:vAlign w:val="center"/>
                </w:tcPr>
                <w:p>
                  <w:pPr>
                    <w:widowControl/>
                    <w:adjustRightInd/>
                    <w:snapToGrid/>
                    <w:spacing w:line="240" w:lineRule="auto"/>
                    <w:ind w:firstLine="420" w:firstLineChars="200"/>
                    <w:jc w:val="left"/>
                    <w:rPr>
                      <w:sz w:val="21"/>
                      <w:szCs w:val="21"/>
                    </w:rPr>
                  </w:pPr>
                  <w:r>
                    <w:rPr>
                      <w:sz w:val="21"/>
                      <w:szCs w:val="21"/>
                    </w:rPr>
                    <w:t>颗粒物</w:t>
                  </w:r>
                </w:p>
              </w:tc>
              <w:tc>
                <w:tcPr>
                  <w:tcW w:w="1756" w:type="pct"/>
                  <w:vAlign w:val="center"/>
                </w:tcPr>
                <w:p>
                  <w:pPr>
                    <w:widowControl/>
                    <w:adjustRightInd/>
                    <w:snapToGrid/>
                    <w:spacing w:line="240" w:lineRule="auto"/>
                    <w:ind w:firstLine="420" w:firstLineChars="200"/>
                    <w:jc w:val="left"/>
                    <w:rPr>
                      <w:sz w:val="21"/>
                      <w:szCs w:val="21"/>
                    </w:rPr>
                  </w:pPr>
                  <w:r>
                    <w:rPr>
                      <w:sz w:val="21"/>
                      <w:szCs w:val="21"/>
                    </w:rPr>
                    <w:t>周界外浓度最高点</w:t>
                  </w:r>
                </w:p>
              </w:tc>
              <w:tc>
                <w:tcPr>
                  <w:tcW w:w="914" w:type="pct"/>
                  <w:vAlign w:val="center"/>
                </w:tcPr>
                <w:p>
                  <w:pPr>
                    <w:widowControl/>
                    <w:adjustRightInd/>
                    <w:snapToGrid/>
                    <w:spacing w:line="240" w:lineRule="auto"/>
                    <w:ind w:firstLine="420" w:firstLineChars="200"/>
                    <w:jc w:val="left"/>
                    <w:rPr>
                      <w:sz w:val="21"/>
                      <w:szCs w:val="21"/>
                    </w:rPr>
                  </w:pPr>
                  <w:r>
                    <w:rPr>
                      <w:sz w:val="21"/>
                      <w:szCs w:val="21"/>
                    </w:rPr>
                    <w:t>1.0</w:t>
                  </w:r>
                </w:p>
              </w:tc>
            </w:tr>
          </w:tbl>
          <w:p>
            <w:pPr>
              <w:widowControl/>
              <w:spacing w:line="240" w:lineRule="auto"/>
              <w:ind w:firstLine="421" w:firstLineChars="200"/>
              <w:jc w:val="left"/>
            </w:pPr>
            <w:bookmarkStart w:id="58" w:name="_Toc68160376"/>
            <w:r>
              <w:rPr>
                <w:b/>
                <w:bCs/>
                <w:sz w:val="21"/>
                <w:szCs w:val="21"/>
              </w:rPr>
              <w:t>表3-</w:t>
            </w:r>
            <w:r>
              <w:rPr>
                <w:rFonts w:hint="eastAsia"/>
                <w:b/>
                <w:bCs/>
                <w:sz w:val="21"/>
                <w:szCs w:val="21"/>
              </w:rPr>
              <w:t>8</w:t>
            </w:r>
            <w:r>
              <w:rPr>
                <w:b/>
                <w:bCs/>
                <w:sz w:val="21"/>
                <w:szCs w:val="21"/>
              </w:rPr>
              <w:t xml:space="preserve"> 《饮食业油烟排放标准（试行）》（GB18483-2001）</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0"/>
              <w:gridCol w:w="1838"/>
              <w:gridCol w:w="2448"/>
              <w:gridCol w:w="2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Align w:val="center"/>
                </w:tcPr>
                <w:p>
                  <w:pPr>
                    <w:widowControl/>
                    <w:adjustRightInd/>
                    <w:snapToGrid/>
                    <w:spacing w:line="240" w:lineRule="auto"/>
                    <w:ind w:firstLine="421" w:firstLineChars="200"/>
                    <w:jc w:val="left"/>
                    <w:rPr>
                      <w:b/>
                      <w:bCs/>
                      <w:sz w:val="21"/>
                      <w:szCs w:val="21"/>
                    </w:rPr>
                  </w:pPr>
                  <w:r>
                    <w:rPr>
                      <w:b/>
                      <w:bCs/>
                      <w:sz w:val="21"/>
                      <w:szCs w:val="21"/>
                    </w:rPr>
                    <w:t>规模</w:t>
                  </w:r>
                </w:p>
              </w:tc>
              <w:tc>
                <w:tcPr>
                  <w:tcW w:w="1096" w:type="pct"/>
                  <w:vAlign w:val="center"/>
                </w:tcPr>
                <w:p>
                  <w:pPr>
                    <w:widowControl/>
                    <w:adjustRightInd/>
                    <w:snapToGrid/>
                    <w:spacing w:line="240" w:lineRule="auto"/>
                    <w:ind w:firstLine="421" w:firstLineChars="200"/>
                    <w:jc w:val="left"/>
                    <w:rPr>
                      <w:b/>
                      <w:bCs/>
                      <w:sz w:val="21"/>
                      <w:szCs w:val="21"/>
                    </w:rPr>
                  </w:pPr>
                  <w:r>
                    <w:rPr>
                      <w:b/>
                      <w:bCs/>
                      <w:sz w:val="21"/>
                      <w:szCs w:val="21"/>
                    </w:rPr>
                    <w:t>基准灶台数</w:t>
                  </w:r>
                </w:p>
              </w:tc>
              <w:tc>
                <w:tcPr>
                  <w:tcW w:w="1460" w:type="pct"/>
                  <w:vAlign w:val="center"/>
                </w:tcPr>
                <w:p>
                  <w:pPr>
                    <w:widowControl/>
                    <w:adjustRightInd/>
                    <w:snapToGrid/>
                    <w:spacing w:line="240" w:lineRule="auto"/>
                    <w:ind w:firstLine="421" w:firstLineChars="200"/>
                    <w:jc w:val="left"/>
                    <w:rPr>
                      <w:b/>
                      <w:bCs/>
                      <w:sz w:val="21"/>
                      <w:szCs w:val="21"/>
                    </w:rPr>
                  </w:pPr>
                  <w:r>
                    <w:rPr>
                      <w:b/>
                      <w:bCs/>
                      <w:sz w:val="21"/>
                      <w:szCs w:val="21"/>
                    </w:rPr>
                    <w:t>最高允许排放浓度</w:t>
                  </w:r>
                </w:p>
              </w:tc>
              <w:tc>
                <w:tcPr>
                  <w:tcW w:w="1786" w:type="pct"/>
                  <w:vAlign w:val="center"/>
                </w:tcPr>
                <w:p>
                  <w:pPr>
                    <w:widowControl/>
                    <w:adjustRightInd/>
                    <w:snapToGrid/>
                    <w:spacing w:line="240" w:lineRule="auto"/>
                    <w:ind w:firstLine="421" w:firstLineChars="200"/>
                    <w:jc w:val="left"/>
                    <w:rPr>
                      <w:b/>
                      <w:bCs/>
                      <w:sz w:val="21"/>
                      <w:szCs w:val="21"/>
                    </w:rPr>
                  </w:pPr>
                  <w:r>
                    <w:rPr>
                      <w:b/>
                      <w:bCs/>
                      <w:sz w:val="21"/>
                      <w:szCs w:val="21"/>
                    </w:rPr>
                    <w:t>净化设施最低去除效率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Align w:val="center"/>
                </w:tcPr>
                <w:p>
                  <w:pPr>
                    <w:widowControl/>
                    <w:adjustRightInd/>
                    <w:snapToGrid/>
                    <w:spacing w:line="240" w:lineRule="auto"/>
                    <w:ind w:firstLine="420" w:firstLineChars="200"/>
                    <w:jc w:val="left"/>
                    <w:rPr>
                      <w:sz w:val="21"/>
                      <w:szCs w:val="21"/>
                    </w:rPr>
                  </w:pPr>
                  <w:r>
                    <w:rPr>
                      <w:sz w:val="21"/>
                      <w:szCs w:val="21"/>
                    </w:rPr>
                    <w:t>小型</w:t>
                  </w:r>
                </w:p>
              </w:tc>
              <w:tc>
                <w:tcPr>
                  <w:tcW w:w="1096" w:type="pct"/>
                  <w:vAlign w:val="center"/>
                </w:tcPr>
                <w:p>
                  <w:pPr>
                    <w:widowControl/>
                    <w:adjustRightInd/>
                    <w:snapToGrid/>
                    <w:spacing w:line="240" w:lineRule="auto"/>
                    <w:ind w:firstLine="420" w:firstLineChars="200"/>
                    <w:jc w:val="left"/>
                    <w:rPr>
                      <w:sz w:val="21"/>
                      <w:szCs w:val="21"/>
                    </w:rPr>
                  </w:pPr>
                  <w:r>
                    <w:rPr>
                      <w:sz w:val="21"/>
                      <w:szCs w:val="21"/>
                    </w:rPr>
                    <w:t>1≥，＜3</w:t>
                  </w:r>
                </w:p>
              </w:tc>
              <w:tc>
                <w:tcPr>
                  <w:tcW w:w="1460" w:type="pct"/>
                  <w:vAlign w:val="center"/>
                </w:tcPr>
                <w:p>
                  <w:pPr>
                    <w:widowControl/>
                    <w:adjustRightInd/>
                    <w:snapToGrid/>
                    <w:spacing w:line="240" w:lineRule="auto"/>
                    <w:ind w:firstLine="420" w:firstLineChars="200"/>
                    <w:jc w:val="left"/>
                    <w:rPr>
                      <w:sz w:val="21"/>
                      <w:szCs w:val="21"/>
                    </w:rPr>
                  </w:pPr>
                  <w:r>
                    <w:rPr>
                      <w:sz w:val="21"/>
                      <w:szCs w:val="21"/>
                    </w:rPr>
                    <w:t>2.0mg/m</w:t>
                  </w:r>
                  <w:r>
                    <w:rPr>
                      <w:sz w:val="21"/>
                      <w:szCs w:val="21"/>
                      <w:vertAlign w:val="superscript"/>
                    </w:rPr>
                    <w:t>3</w:t>
                  </w:r>
                </w:p>
              </w:tc>
              <w:tc>
                <w:tcPr>
                  <w:tcW w:w="1786" w:type="pct"/>
                  <w:vAlign w:val="center"/>
                </w:tcPr>
                <w:p>
                  <w:pPr>
                    <w:widowControl/>
                    <w:adjustRightInd/>
                    <w:snapToGrid/>
                    <w:spacing w:line="240" w:lineRule="auto"/>
                    <w:ind w:firstLine="420" w:firstLineChars="200"/>
                    <w:jc w:val="left"/>
                    <w:rPr>
                      <w:sz w:val="21"/>
                      <w:szCs w:val="21"/>
                    </w:rPr>
                  </w:pPr>
                  <w:r>
                    <w:rPr>
                      <w:sz w:val="21"/>
                      <w:szCs w:val="21"/>
                    </w:rPr>
                    <w:t>65%</w:t>
                  </w:r>
                </w:p>
              </w:tc>
            </w:tr>
          </w:tbl>
          <w:p>
            <w:pPr>
              <w:widowControl/>
              <w:numPr>
                <w:ilvl w:val="2"/>
                <w:numId w:val="0"/>
              </w:numPr>
              <w:ind w:left="709" w:firstLine="480" w:firstLineChars="200"/>
            </w:pPr>
            <w:bookmarkStart w:id="59" w:name="_Toc11265"/>
            <w:r>
              <w:t>2、废水排放标准</w:t>
            </w:r>
            <w:bookmarkEnd w:id="58"/>
            <w:bookmarkEnd w:id="59"/>
          </w:p>
          <w:p>
            <w:pPr>
              <w:widowControl/>
              <w:ind w:firstLine="480" w:firstLineChars="200"/>
            </w:pPr>
            <w:r>
              <w:t>项目生产废水经处理后</w:t>
            </w:r>
            <w:r>
              <w:rPr>
                <w:rFonts w:hint="eastAsia"/>
              </w:rPr>
              <w:t>回用于生产</w:t>
            </w:r>
            <w:r>
              <w:t>，不外排，生活污水经</w:t>
            </w:r>
            <w:r>
              <w:rPr>
                <w:rFonts w:hint="eastAsia"/>
              </w:rPr>
              <w:t>隔油</w:t>
            </w:r>
            <w:r>
              <w:t>化粪池处理后用于林地、</w:t>
            </w:r>
            <w:r>
              <w:rPr>
                <w:rFonts w:hint="eastAsia"/>
              </w:rPr>
              <w:t>菜地施肥</w:t>
            </w:r>
            <w:r>
              <w:t>；厂区初期雨水经</w:t>
            </w:r>
            <w:r>
              <w:rPr>
                <w:rFonts w:hint="eastAsia"/>
              </w:rPr>
              <w:t>沉淀处理后回用于生产（洒水降尘等）</w:t>
            </w:r>
            <w:r>
              <w:t>。</w:t>
            </w:r>
          </w:p>
          <w:p>
            <w:pPr>
              <w:widowControl/>
              <w:numPr>
                <w:ilvl w:val="2"/>
                <w:numId w:val="0"/>
              </w:numPr>
              <w:ind w:left="709" w:firstLine="480" w:firstLineChars="200"/>
            </w:pPr>
            <w:bookmarkStart w:id="60" w:name="_Toc68160377"/>
            <w:bookmarkStart w:id="61" w:name="_Toc14408"/>
            <w:r>
              <w:t>3、噪声排放标准</w:t>
            </w:r>
            <w:bookmarkEnd w:id="60"/>
            <w:bookmarkEnd w:id="61"/>
          </w:p>
          <w:p>
            <w:pPr>
              <w:widowControl/>
              <w:ind w:firstLine="480" w:firstLineChars="200"/>
            </w:pPr>
            <w:r>
              <w:t>施工期场界执行《建筑施工场界环境噪声排放标准》（GB12523-2011）；营运期</w:t>
            </w:r>
            <w:r>
              <w:rPr>
                <w:rFonts w:hint="eastAsia"/>
              </w:rPr>
              <w:t>东、西、北</w:t>
            </w:r>
            <w:r>
              <w:t>厂界噪声执行《工业企业厂界环境噪声排放标准》（GB12348-2008）中的</w:t>
            </w:r>
            <w:r>
              <w:rPr>
                <w:rFonts w:hint="eastAsia"/>
              </w:rPr>
              <w:t>2</w:t>
            </w:r>
            <w:r>
              <w:t>类标准</w:t>
            </w:r>
            <w:r>
              <w:rPr>
                <w:rFonts w:hint="eastAsia"/>
              </w:rPr>
              <w:t>，南厂界噪声执行</w:t>
            </w:r>
            <w:r>
              <w:t>《工业企业厂界环境噪声排放标准》（GB12348-2008）中的</w:t>
            </w:r>
            <w:r>
              <w:rPr>
                <w:rFonts w:hint="eastAsia"/>
              </w:rPr>
              <w:t>4类标准</w:t>
            </w:r>
            <w:r>
              <w:t>。具体限值见</w:t>
            </w:r>
            <w:r>
              <w:rPr>
                <w:rFonts w:hint="eastAsia"/>
              </w:rPr>
              <w:t>下</w:t>
            </w:r>
            <w:r>
              <w:t>表。</w:t>
            </w:r>
          </w:p>
          <w:p>
            <w:pPr>
              <w:widowControl/>
              <w:spacing w:line="240" w:lineRule="auto"/>
              <w:ind w:firstLine="0" w:firstLineChars="0"/>
              <w:jc w:val="center"/>
              <w:rPr>
                <w:b/>
                <w:bCs/>
                <w:sz w:val="21"/>
                <w:szCs w:val="21"/>
              </w:rPr>
            </w:pPr>
            <w:r>
              <w:rPr>
                <w:b/>
                <w:bCs/>
                <w:sz w:val="21"/>
                <w:szCs w:val="21"/>
              </w:rPr>
              <w:t>表3-</w:t>
            </w:r>
            <w:r>
              <w:rPr>
                <w:rFonts w:hint="eastAsia"/>
                <w:b/>
                <w:bCs/>
                <w:sz w:val="21"/>
                <w:szCs w:val="21"/>
              </w:rPr>
              <w:t>9</w:t>
            </w:r>
            <w:r>
              <w:rPr>
                <w:b/>
                <w:bCs/>
                <w:sz w:val="21"/>
                <w:szCs w:val="21"/>
              </w:rPr>
              <w:t xml:space="preserve"> 《建筑施工场界环境噪声排放标准》（GB12523-2011）</w:t>
            </w:r>
          </w:p>
          <w:tbl>
            <w:tblPr>
              <w:tblStyle w:val="2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88"/>
              <w:gridCol w:w="4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2499" w:type="pct"/>
                  <w:tcBorders>
                    <w:tl2br w:val="nil"/>
                    <w:tr2bl w:val="nil"/>
                  </w:tcBorders>
                </w:tcPr>
                <w:p>
                  <w:pPr>
                    <w:widowControl/>
                    <w:spacing w:line="240" w:lineRule="auto"/>
                    <w:ind w:firstLine="421" w:firstLineChars="200"/>
                    <w:jc w:val="left"/>
                    <w:rPr>
                      <w:b/>
                      <w:bCs/>
                      <w:sz w:val="21"/>
                      <w:szCs w:val="21"/>
                    </w:rPr>
                  </w:pPr>
                  <w:r>
                    <w:rPr>
                      <w:b/>
                      <w:bCs/>
                      <w:sz w:val="21"/>
                      <w:szCs w:val="21"/>
                    </w:rPr>
                    <w:t>昼间</w:t>
                  </w:r>
                </w:p>
              </w:tc>
              <w:tc>
                <w:tcPr>
                  <w:tcW w:w="2500" w:type="pct"/>
                  <w:tcBorders>
                    <w:tl2br w:val="nil"/>
                    <w:tr2bl w:val="nil"/>
                  </w:tcBorders>
                </w:tcPr>
                <w:p>
                  <w:pPr>
                    <w:widowControl/>
                    <w:spacing w:line="240" w:lineRule="auto"/>
                    <w:ind w:firstLine="421" w:firstLineChars="200"/>
                    <w:jc w:val="left"/>
                    <w:rPr>
                      <w:b/>
                      <w:bCs/>
                      <w:sz w:val="21"/>
                      <w:szCs w:val="21"/>
                    </w:rPr>
                  </w:pPr>
                  <w:r>
                    <w:rPr>
                      <w:b/>
                      <w:bCs/>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5" w:hRule="atLeast"/>
              </w:trPr>
              <w:tc>
                <w:tcPr>
                  <w:tcW w:w="2499" w:type="pct"/>
                  <w:tcBorders>
                    <w:tl2br w:val="nil"/>
                    <w:tr2bl w:val="nil"/>
                  </w:tcBorders>
                </w:tcPr>
                <w:p>
                  <w:pPr>
                    <w:widowControl/>
                    <w:spacing w:line="240" w:lineRule="auto"/>
                    <w:ind w:firstLine="420" w:firstLineChars="200"/>
                    <w:jc w:val="left"/>
                    <w:rPr>
                      <w:sz w:val="21"/>
                      <w:szCs w:val="21"/>
                    </w:rPr>
                  </w:pPr>
                  <w:r>
                    <w:rPr>
                      <w:sz w:val="21"/>
                      <w:szCs w:val="21"/>
                    </w:rPr>
                    <w:t>70dB（A）</w:t>
                  </w:r>
                </w:p>
              </w:tc>
              <w:tc>
                <w:tcPr>
                  <w:tcW w:w="2500" w:type="pct"/>
                  <w:tcBorders>
                    <w:tl2br w:val="nil"/>
                    <w:tr2bl w:val="nil"/>
                  </w:tcBorders>
                </w:tcPr>
                <w:p>
                  <w:pPr>
                    <w:widowControl/>
                    <w:spacing w:line="240" w:lineRule="auto"/>
                    <w:ind w:firstLine="420" w:firstLineChars="200"/>
                    <w:jc w:val="left"/>
                    <w:rPr>
                      <w:sz w:val="21"/>
                      <w:szCs w:val="21"/>
                    </w:rPr>
                  </w:pPr>
                  <w:r>
                    <w:rPr>
                      <w:sz w:val="21"/>
                      <w:szCs w:val="21"/>
                    </w:rPr>
                    <w:t>55dB(A)</w:t>
                  </w:r>
                </w:p>
              </w:tc>
            </w:tr>
          </w:tbl>
          <w:p>
            <w:pPr>
              <w:widowControl/>
              <w:spacing w:line="240" w:lineRule="auto"/>
              <w:ind w:firstLine="0" w:firstLineChars="0"/>
              <w:jc w:val="center"/>
              <w:rPr>
                <w:b/>
                <w:bCs/>
                <w:sz w:val="21"/>
                <w:szCs w:val="21"/>
              </w:rPr>
            </w:pPr>
            <w:r>
              <w:rPr>
                <w:b/>
                <w:bCs/>
                <w:sz w:val="21"/>
                <w:szCs w:val="21"/>
              </w:rPr>
              <w:t>表3-</w:t>
            </w:r>
            <w:r>
              <w:rPr>
                <w:rFonts w:hint="eastAsia"/>
                <w:b/>
                <w:bCs/>
                <w:sz w:val="21"/>
                <w:szCs w:val="21"/>
              </w:rPr>
              <w:t>10</w:t>
            </w:r>
            <w:r>
              <w:rPr>
                <w:b/>
                <w:bCs/>
                <w:sz w:val="21"/>
                <w:szCs w:val="21"/>
              </w:rPr>
              <w:t xml:space="preserve"> 《工业企业厂界环境噪声排放标准》  单位：dB(A)</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768"/>
              <w:gridCol w:w="3047"/>
              <w:gridCol w:w="356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86" w:hRule="atLeast"/>
                <w:jc w:val="center"/>
              </w:trPr>
              <w:tc>
                <w:tcPr>
                  <w:tcW w:w="1055" w:type="pct"/>
                  <w:shd w:val="clear" w:color="auto" w:fill="auto"/>
                  <w:vAlign w:val="center"/>
                </w:tcPr>
                <w:p>
                  <w:pPr>
                    <w:widowControl/>
                    <w:spacing w:line="240" w:lineRule="auto"/>
                    <w:ind w:firstLine="421" w:firstLineChars="200"/>
                    <w:jc w:val="left"/>
                    <w:rPr>
                      <w:b/>
                      <w:bCs/>
                      <w:sz w:val="21"/>
                      <w:szCs w:val="21"/>
                    </w:rPr>
                  </w:pPr>
                  <w:r>
                    <w:rPr>
                      <w:b/>
                      <w:bCs/>
                      <w:sz w:val="21"/>
                      <w:szCs w:val="21"/>
                    </w:rPr>
                    <w:t>功能区</w:t>
                  </w:r>
                </w:p>
              </w:tc>
              <w:tc>
                <w:tcPr>
                  <w:tcW w:w="1818" w:type="pct"/>
                  <w:shd w:val="clear" w:color="auto" w:fill="auto"/>
                  <w:vAlign w:val="center"/>
                </w:tcPr>
                <w:p>
                  <w:pPr>
                    <w:widowControl/>
                    <w:spacing w:line="240" w:lineRule="auto"/>
                    <w:ind w:firstLine="421" w:firstLineChars="200"/>
                    <w:jc w:val="left"/>
                    <w:rPr>
                      <w:b/>
                      <w:bCs/>
                      <w:sz w:val="21"/>
                      <w:szCs w:val="21"/>
                    </w:rPr>
                  </w:pPr>
                  <w:r>
                    <w:rPr>
                      <w:b/>
                      <w:bCs/>
                      <w:sz w:val="21"/>
                      <w:szCs w:val="21"/>
                    </w:rPr>
                    <w:t>昼间</w:t>
                  </w:r>
                </w:p>
              </w:tc>
              <w:tc>
                <w:tcPr>
                  <w:tcW w:w="2125" w:type="pct"/>
                  <w:shd w:val="clear" w:color="auto" w:fill="auto"/>
                  <w:vAlign w:val="center"/>
                </w:tcPr>
                <w:p>
                  <w:pPr>
                    <w:widowControl/>
                    <w:spacing w:line="240" w:lineRule="auto"/>
                    <w:ind w:firstLine="421" w:firstLineChars="200"/>
                    <w:jc w:val="left"/>
                    <w:rPr>
                      <w:b/>
                      <w:bCs/>
                      <w:sz w:val="21"/>
                      <w:szCs w:val="21"/>
                    </w:rPr>
                  </w:pPr>
                  <w:r>
                    <w:rPr>
                      <w:b/>
                      <w:bCs/>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3" w:hRule="atLeast"/>
                <w:jc w:val="center"/>
              </w:trPr>
              <w:tc>
                <w:tcPr>
                  <w:tcW w:w="1055" w:type="pct"/>
                  <w:shd w:val="clear" w:color="auto" w:fill="auto"/>
                  <w:vAlign w:val="center"/>
                </w:tcPr>
                <w:p>
                  <w:pPr>
                    <w:widowControl/>
                    <w:spacing w:line="240" w:lineRule="auto"/>
                    <w:ind w:firstLine="420" w:firstLineChars="200"/>
                    <w:jc w:val="left"/>
                    <w:rPr>
                      <w:sz w:val="21"/>
                      <w:szCs w:val="21"/>
                    </w:rPr>
                  </w:pPr>
                  <w:r>
                    <w:rPr>
                      <w:sz w:val="21"/>
                      <w:szCs w:val="21"/>
                    </w:rPr>
                    <w:t>2类区</w:t>
                  </w:r>
                </w:p>
              </w:tc>
              <w:tc>
                <w:tcPr>
                  <w:tcW w:w="1818" w:type="pct"/>
                  <w:shd w:val="clear" w:color="auto" w:fill="auto"/>
                  <w:vAlign w:val="center"/>
                </w:tcPr>
                <w:p>
                  <w:pPr>
                    <w:widowControl/>
                    <w:spacing w:line="240" w:lineRule="auto"/>
                    <w:ind w:firstLine="420" w:firstLineChars="200"/>
                    <w:jc w:val="left"/>
                    <w:rPr>
                      <w:sz w:val="21"/>
                      <w:szCs w:val="21"/>
                    </w:rPr>
                  </w:pPr>
                  <w:r>
                    <w:rPr>
                      <w:sz w:val="21"/>
                      <w:szCs w:val="21"/>
                    </w:rPr>
                    <w:t>60</w:t>
                  </w:r>
                </w:p>
              </w:tc>
              <w:tc>
                <w:tcPr>
                  <w:tcW w:w="2125" w:type="pct"/>
                  <w:shd w:val="clear" w:color="auto" w:fill="auto"/>
                  <w:vAlign w:val="center"/>
                </w:tcPr>
                <w:p>
                  <w:pPr>
                    <w:widowControl/>
                    <w:spacing w:line="240" w:lineRule="auto"/>
                    <w:ind w:firstLine="420" w:firstLineChars="200"/>
                    <w:jc w:val="left"/>
                    <w:rPr>
                      <w:sz w:val="21"/>
                      <w:szCs w:val="21"/>
                    </w:rPr>
                  </w:pPr>
                  <w:r>
                    <w:rPr>
                      <w:sz w:val="21"/>
                      <w:szCs w:val="21"/>
                    </w:rPr>
                    <w:t>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3" w:hRule="atLeast"/>
                <w:jc w:val="center"/>
              </w:trPr>
              <w:tc>
                <w:tcPr>
                  <w:tcW w:w="1055" w:type="pct"/>
                  <w:shd w:val="clear" w:color="auto" w:fill="auto"/>
                  <w:vAlign w:val="center"/>
                </w:tcPr>
                <w:p>
                  <w:pPr>
                    <w:widowControl/>
                    <w:spacing w:line="240" w:lineRule="auto"/>
                    <w:ind w:firstLine="420" w:firstLineChars="200"/>
                    <w:jc w:val="left"/>
                    <w:rPr>
                      <w:sz w:val="21"/>
                      <w:szCs w:val="21"/>
                    </w:rPr>
                  </w:pPr>
                  <w:bookmarkStart w:id="62" w:name="_Toc68160378"/>
                  <w:bookmarkStart w:id="63" w:name="_Toc8843"/>
                  <w:r>
                    <w:rPr>
                      <w:rFonts w:hint="eastAsia"/>
                      <w:sz w:val="21"/>
                      <w:szCs w:val="21"/>
                    </w:rPr>
                    <w:t>4类区</w:t>
                  </w:r>
                </w:p>
              </w:tc>
              <w:tc>
                <w:tcPr>
                  <w:tcW w:w="1818" w:type="pct"/>
                  <w:shd w:val="clear" w:color="auto" w:fill="auto"/>
                  <w:vAlign w:val="center"/>
                </w:tcPr>
                <w:p>
                  <w:pPr>
                    <w:widowControl/>
                    <w:spacing w:line="240" w:lineRule="auto"/>
                    <w:ind w:firstLine="420" w:firstLineChars="200"/>
                    <w:jc w:val="left"/>
                    <w:rPr>
                      <w:sz w:val="21"/>
                      <w:szCs w:val="21"/>
                    </w:rPr>
                  </w:pPr>
                  <w:r>
                    <w:rPr>
                      <w:rFonts w:hint="eastAsia"/>
                      <w:sz w:val="21"/>
                      <w:szCs w:val="21"/>
                    </w:rPr>
                    <w:t>70</w:t>
                  </w:r>
                </w:p>
              </w:tc>
              <w:tc>
                <w:tcPr>
                  <w:tcW w:w="2125" w:type="pct"/>
                  <w:shd w:val="clear" w:color="auto" w:fill="auto"/>
                  <w:vAlign w:val="center"/>
                </w:tcPr>
                <w:p>
                  <w:pPr>
                    <w:widowControl/>
                    <w:spacing w:line="240" w:lineRule="auto"/>
                    <w:ind w:firstLine="420" w:firstLineChars="200"/>
                    <w:jc w:val="left"/>
                    <w:rPr>
                      <w:sz w:val="21"/>
                      <w:szCs w:val="21"/>
                    </w:rPr>
                  </w:pPr>
                  <w:r>
                    <w:rPr>
                      <w:rFonts w:hint="eastAsia"/>
                      <w:sz w:val="21"/>
                      <w:szCs w:val="21"/>
                    </w:rPr>
                    <w:t>55</w:t>
                  </w:r>
                </w:p>
              </w:tc>
            </w:tr>
          </w:tbl>
          <w:p>
            <w:pPr>
              <w:widowControl/>
              <w:numPr>
                <w:ilvl w:val="2"/>
                <w:numId w:val="0"/>
              </w:numPr>
              <w:ind w:left="709" w:firstLine="480" w:firstLineChars="200"/>
            </w:pPr>
            <w:r>
              <w:t>4、固废排放标准</w:t>
            </w:r>
            <w:bookmarkEnd w:id="62"/>
            <w:bookmarkEnd w:id="63"/>
          </w:p>
          <w:p>
            <w:pPr>
              <w:widowControl/>
              <w:ind w:firstLine="480" w:firstLineChars="200"/>
            </w:pPr>
            <w:r>
              <w:t>项目产生的一般固体废弃物排放执行《一般工业固体废物贮存和填埋污染控制标准》（GB18599-2020）。</w:t>
            </w:r>
          </w:p>
          <w:p>
            <w:pPr>
              <w:widowControl/>
              <w:ind w:firstLine="480" w:firstLineChars="200"/>
            </w:pPr>
            <w:r>
              <w:t>生活垃圾</w:t>
            </w:r>
            <w:r>
              <w:rPr>
                <w:rFonts w:hint="eastAsia"/>
                <w:lang w:eastAsia="zh-CN"/>
              </w:rPr>
              <w:t>集中收集后交由环卫部门处置</w:t>
            </w:r>
            <w:r>
              <w:t>。</w:t>
            </w:r>
          </w:p>
          <w:p>
            <w:pPr>
              <w:widowControl/>
              <w:ind w:firstLine="480" w:firstLineChars="200"/>
              <w:rPr>
                <w:color w:val="0000FF"/>
              </w:rPr>
            </w:pPr>
            <w:r>
              <w:t>危险废物贮存执行《危险废物贮存污染物控制标准》（GB18597-20</w:t>
            </w:r>
            <w:r>
              <w:rPr>
                <w:rFonts w:hint="eastAsia"/>
              </w:rPr>
              <w:t>23</w:t>
            </w:r>
            <w:r>
              <w:t>）中的相关标准。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800" w:type="dxa"/>
            <w:vAlign w:val="center"/>
          </w:tcPr>
          <w:p>
            <w:pPr>
              <w:adjustRightInd w:val="0"/>
              <w:snapToGrid w:val="0"/>
              <w:jc w:val="center"/>
              <w:rPr>
                <w:kern w:val="0"/>
                <w:szCs w:val="21"/>
                <w:u w:val="single"/>
              </w:rPr>
            </w:pPr>
            <w:r>
              <w:rPr>
                <w:kern w:val="0"/>
                <w:szCs w:val="21"/>
                <w:u w:val="single"/>
              </w:rPr>
              <w:t>总量</w:t>
            </w:r>
          </w:p>
          <w:p>
            <w:pPr>
              <w:adjustRightInd w:val="0"/>
              <w:snapToGrid w:val="0"/>
              <w:jc w:val="center"/>
              <w:rPr>
                <w:kern w:val="0"/>
                <w:szCs w:val="21"/>
                <w:u w:val="single"/>
              </w:rPr>
            </w:pPr>
            <w:r>
              <w:rPr>
                <w:kern w:val="0"/>
                <w:szCs w:val="21"/>
                <w:u w:val="single"/>
              </w:rPr>
              <w:t>控制</w:t>
            </w:r>
          </w:p>
          <w:p>
            <w:pPr>
              <w:adjustRightInd w:val="0"/>
              <w:snapToGrid w:val="0"/>
              <w:jc w:val="center"/>
              <w:rPr>
                <w:color w:val="0000FF"/>
                <w:kern w:val="0"/>
                <w:szCs w:val="21"/>
                <w:u w:val="single"/>
              </w:rPr>
            </w:pPr>
            <w:r>
              <w:rPr>
                <w:kern w:val="0"/>
                <w:szCs w:val="21"/>
                <w:u w:val="single"/>
              </w:rPr>
              <w:t>指标</w:t>
            </w:r>
          </w:p>
        </w:tc>
        <w:tc>
          <w:tcPr>
            <w:tcW w:w="8190" w:type="dxa"/>
          </w:tcPr>
          <w:p>
            <w:pPr>
              <w:widowControl/>
              <w:ind w:firstLine="0" w:firstLineChars="0"/>
              <w:jc w:val="both"/>
              <w:rPr>
                <w:u w:val="single"/>
              </w:rPr>
            </w:pPr>
            <w:bookmarkStart w:id="64" w:name="_Toc39274019"/>
          </w:p>
          <w:p>
            <w:pPr>
              <w:widowControl/>
              <w:ind w:firstLine="0" w:firstLineChars="0"/>
              <w:jc w:val="both"/>
              <w:rPr>
                <w:u w:val="single"/>
              </w:rPr>
            </w:pPr>
          </w:p>
          <w:bookmarkEnd w:id="64"/>
          <w:p>
            <w:pPr>
              <w:widowControl/>
              <w:ind w:firstLine="0" w:firstLineChars="0"/>
              <w:jc w:val="center"/>
              <w:rPr>
                <w:rFonts w:hint="eastAsia" w:eastAsia="宋体"/>
                <w:color w:val="0000FF"/>
                <w:u w:val="single"/>
                <w:lang w:eastAsia="zh-CN"/>
              </w:rPr>
            </w:pPr>
            <w:r>
              <w:rPr>
                <w:rFonts w:hint="eastAsia"/>
                <w:u w:val="single"/>
                <w:lang w:eastAsia="zh-CN"/>
              </w:rPr>
              <w:t>无</w:t>
            </w:r>
          </w:p>
          <w:p>
            <w:pPr>
              <w:pStyle w:val="11"/>
              <w:jc w:val="both"/>
              <w:rPr>
                <w:rFonts w:eastAsia="宋体"/>
                <w:color w:val="0000FF"/>
                <w:sz w:val="21"/>
                <w:u w:val="single"/>
              </w:rPr>
            </w:pPr>
          </w:p>
          <w:p>
            <w:pPr>
              <w:pStyle w:val="11"/>
              <w:jc w:val="both"/>
              <w:rPr>
                <w:rFonts w:eastAsia="宋体"/>
                <w:color w:val="0000FF"/>
                <w:sz w:val="21"/>
                <w:u w:val="single"/>
              </w:rPr>
            </w:pPr>
          </w:p>
        </w:tc>
      </w:tr>
    </w:tbl>
    <w:p>
      <w:pPr>
        <w:pStyle w:val="31"/>
        <w:numPr>
          <w:ilvl w:val="0"/>
          <w:numId w:val="0"/>
        </w:numPr>
        <w:rPr>
          <w:snapToGrid w:val="0"/>
        </w:rPr>
      </w:pPr>
      <w:r>
        <w:rPr>
          <w:snapToGrid w:val="0"/>
          <w:color w:val="0000FF"/>
          <w:sz w:val="36"/>
          <w:szCs w:val="36"/>
        </w:rPr>
        <w:br w:type="page"/>
      </w:r>
      <w:bookmarkStart w:id="65" w:name="_Toc68160379"/>
      <w:bookmarkStart w:id="66" w:name="_Toc7084"/>
      <w:r>
        <w:rPr>
          <w:b w:val="0"/>
          <w:snapToGrid w:val="0"/>
          <w:kern w:val="0"/>
          <w:sz w:val="30"/>
          <w:szCs w:val="30"/>
        </w:rPr>
        <w:t>四、主要环境影响和保护措施</w:t>
      </w:r>
      <w:bookmarkEnd w:id="65"/>
      <w:bookmarkEnd w:id="66"/>
    </w:p>
    <w:tbl>
      <w:tblPr>
        <w:tblStyle w:val="22"/>
        <w:tblW w:w="832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96"/>
        <w:gridCol w:w="803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296" w:type="dxa"/>
            <w:tcMar>
              <w:left w:w="28" w:type="dxa"/>
              <w:right w:w="28" w:type="dxa"/>
            </w:tcMar>
            <w:vAlign w:val="center"/>
          </w:tcPr>
          <w:p>
            <w:pPr>
              <w:widowControl/>
              <w:adjustRightInd w:val="0"/>
              <w:snapToGrid w:val="0"/>
              <w:jc w:val="center"/>
              <w:rPr>
                <w:szCs w:val="21"/>
              </w:rPr>
            </w:pPr>
            <w:r>
              <w:rPr>
                <w:szCs w:val="21"/>
              </w:rPr>
              <w:t>施工</w:t>
            </w:r>
          </w:p>
          <w:p>
            <w:pPr>
              <w:widowControl/>
              <w:adjustRightInd w:val="0"/>
              <w:snapToGrid w:val="0"/>
              <w:jc w:val="center"/>
              <w:rPr>
                <w:szCs w:val="21"/>
              </w:rPr>
            </w:pPr>
            <w:r>
              <w:rPr>
                <w:szCs w:val="21"/>
              </w:rPr>
              <w:t>期环</w:t>
            </w:r>
          </w:p>
          <w:p>
            <w:pPr>
              <w:widowControl/>
              <w:adjustRightInd w:val="0"/>
              <w:snapToGrid w:val="0"/>
              <w:jc w:val="center"/>
              <w:rPr>
                <w:szCs w:val="21"/>
              </w:rPr>
            </w:pPr>
            <w:r>
              <w:rPr>
                <w:szCs w:val="21"/>
              </w:rPr>
              <w:t>境保</w:t>
            </w:r>
          </w:p>
          <w:p>
            <w:pPr>
              <w:widowControl/>
              <w:adjustRightInd w:val="0"/>
              <w:snapToGrid w:val="0"/>
              <w:jc w:val="center"/>
              <w:rPr>
                <w:szCs w:val="21"/>
              </w:rPr>
            </w:pPr>
            <w:r>
              <w:rPr>
                <w:szCs w:val="21"/>
              </w:rPr>
              <w:t>护措</w:t>
            </w:r>
          </w:p>
          <w:p>
            <w:pPr>
              <w:widowControl/>
              <w:adjustRightInd w:val="0"/>
              <w:snapToGrid w:val="0"/>
              <w:jc w:val="center"/>
              <w:rPr>
                <w:bCs/>
                <w:color w:val="0000FF"/>
                <w:szCs w:val="21"/>
              </w:rPr>
            </w:pPr>
            <w:r>
              <w:rPr>
                <w:szCs w:val="21"/>
              </w:rPr>
              <w:t>施</w:t>
            </w:r>
          </w:p>
        </w:tc>
        <w:tc>
          <w:tcPr>
            <w:tcW w:w="8031" w:type="dxa"/>
            <w:vAlign w:val="center"/>
          </w:tcPr>
          <w:p>
            <w:pPr>
              <w:pStyle w:val="34"/>
              <w:numPr>
                <w:ilvl w:val="2"/>
                <w:numId w:val="0"/>
              </w:numPr>
              <w:ind w:firstLine="480"/>
            </w:pPr>
            <w:bookmarkStart w:id="67" w:name="_Toc6397"/>
            <w:bookmarkStart w:id="68" w:name="_Toc68160380"/>
            <w:r>
              <w:t>4.1施工期环境保护措施</w:t>
            </w:r>
            <w:bookmarkEnd w:id="67"/>
            <w:bookmarkEnd w:id="68"/>
          </w:p>
          <w:p>
            <w:pPr>
              <w:pStyle w:val="34"/>
              <w:numPr>
                <w:ilvl w:val="2"/>
                <w:numId w:val="0"/>
              </w:numPr>
              <w:ind w:firstLine="480" w:firstLineChars="200"/>
              <w:rPr>
                <w:snapToGrid w:val="0"/>
                <w:color w:val="0000FF"/>
                <w:kern w:val="0"/>
              </w:rPr>
            </w:pPr>
            <w:bookmarkStart w:id="69" w:name="_Toc68160381"/>
            <w:bookmarkStart w:id="70" w:name="_Toc30110"/>
            <w:r>
              <w:rPr>
                <w:b w:val="0"/>
                <w:u w:val="single"/>
              </w:rPr>
              <w:t>建设项目</w:t>
            </w:r>
            <w:r>
              <w:rPr>
                <w:rFonts w:hint="eastAsia"/>
                <w:b w:val="0"/>
                <w:u w:val="single"/>
              </w:rPr>
              <w:t>砂石</w:t>
            </w:r>
            <w:r>
              <w:rPr>
                <w:b w:val="0"/>
                <w:u w:val="single"/>
              </w:rPr>
              <w:t>生产线已建设完成</w:t>
            </w:r>
            <w:r>
              <w:rPr>
                <w:rFonts w:hint="eastAsia"/>
                <w:b w:val="0"/>
                <w:u w:val="single"/>
                <w:lang w:val="en-US" w:eastAsia="zh-CN"/>
              </w:rPr>
              <w:t>并投入运行</w:t>
            </w:r>
            <w:r>
              <w:rPr>
                <w:b w:val="0"/>
                <w:u w:val="single"/>
              </w:rPr>
              <w:t>，</w:t>
            </w:r>
            <w:r>
              <w:rPr>
                <w:rFonts w:hint="eastAsia"/>
                <w:b w:val="0"/>
                <w:u w:val="single"/>
              </w:rPr>
              <w:t>尚需建设的</w:t>
            </w:r>
            <w:r>
              <w:rPr>
                <w:b w:val="0"/>
                <w:u w:val="single"/>
              </w:rPr>
              <w:t>内容主要为</w:t>
            </w:r>
            <w:r>
              <w:rPr>
                <w:rFonts w:hint="eastAsia"/>
                <w:b w:val="0"/>
                <w:u w:val="single"/>
              </w:rPr>
              <w:t>危废间、初期雨水池</w:t>
            </w:r>
            <w:r>
              <w:rPr>
                <w:rFonts w:hint="eastAsia"/>
                <w:b w:val="0"/>
                <w:u w:val="single"/>
                <w:lang w:eastAsia="zh-CN"/>
              </w:rPr>
              <w:t>、洗车平台沉淀池</w:t>
            </w:r>
            <w:r>
              <w:rPr>
                <w:rFonts w:hint="eastAsia"/>
                <w:b w:val="0"/>
                <w:u w:val="single"/>
              </w:rPr>
              <w:t>建设以及</w:t>
            </w:r>
            <w:r>
              <w:rPr>
                <w:b w:val="0"/>
                <w:u w:val="single"/>
              </w:rPr>
              <w:t>现有</w:t>
            </w:r>
            <w:r>
              <w:rPr>
                <w:rFonts w:hint="eastAsia"/>
                <w:b w:val="0"/>
                <w:u w:val="single"/>
              </w:rPr>
              <w:t>成品</w:t>
            </w:r>
            <w:r>
              <w:rPr>
                <w:b w:val="0"/>
                <w:u w:val="single"/>
              </w:rPr>
              <w:t>堆场</w:t>
            </w:r>
            <w:r>
              <w:rPr>
                <w:rFonts w:hint="eastAsia"/>
                <w:b w:val="0"/>
                <w:u w:val="single"/>
                <w:lang w:eastAsia="zh-CN"/>
              </w:rPr>
              <w:t>、破碎工序</w:t>
            </w:r>
            <w:r>
              <w:rPr>
                <w:rFonts w:hint="eastAsia"/>
                <w:b w:val="0"/>
                <w:u w:val="single"/>
              </w:rPr>
              <w:t>等</w:t>
            </w:r>
            <w:r>
              <w:rPr>
                <w:b w:val="0"/>
                <w:u w:val="single"/>
              </w:rPr>
              <w:t>环保设施的改造等</w:t>
            </w:r>
            <w:r>
              <w:rPr>
                <w:rFonts w:hint="eastAsia"/>
                <w:b w:val="0"/>
                <w:u w:val="single"/>
                <w:lang w:eastAsia="zh-CN"/>
              </w:rPr>
              <w:t>，本次不进行详细评价</w:t>
            </w:r>
            <w:r>
              <w:rPr>
                <w:b w:val="0"/>
              </w:rPr>
              <w:t>。</w:t>
            </w:r>
            <w:bookmarkEnd w:id="69"/>
            <w:bookmarkEnd w:id="7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296" w:type="dxa"/>
            <w:tcMar>
              <w:left w:w="28" w:type="dxa"/>
              <w:right w:w="28" w:type="dxa"/>
            </w:tcMar>
            <w:vAlign w:val="center"/>
          </w:tcPr>
          <w:p>
            <w:pPr>
              <w:adjustRightInd w:val="0"/>
              <w:snapToGrid w:val="0"/>
              <w:jc w:val="center"/>
              <w:rPr>
                <w:bCs/>
                <w:szCs w:val="21"/>
              </w:rPr>
            </w:pPr>
            <w:r>
              <w:rPr>
                <w:bCs/>
                <w:szCs w:val="21"/>
              </w:rPr>
              <w:t>运营</w:t>
            </w:r>
          </w:p>
          <w:p>
            <w:pPr>
              <w:adjustRightInd w:val="0"/>
              <w:snapToGrid w:val="0"/>
              <w:jc w:val="center"/>
              <w:rPr>
                <w:bCs/>
                <w:szCs w:val="21"/>
              </w:rPr>
            </w:pPr>
            <w:r>
              <w:rPr>
                <w:bCs/>
                <w:szCs w:val="21"/>
              </w:rPr>
              <w:t>期环</w:t>
            </w:r>
          </w:p>
          <w:p>
            <w:pPr>
              <w:adjustRightInd w:val="0"/>
              <w:snapToGrid w:val="0"/>
              <w:jc w:val="center"/>
              <w:rPr>
                <w:bCs/>
                <w:szCs w:val="21"/>
              </w:rPr>
            </w:pPr>
            <w:r>
              <w:rPr>
                <w:bCs/>
                <w:szCs w:val="21"/>
              </w:rPr>
              <w:t>境影</w:t>
            </w:r>
          </w:p>
          <w:p>
            <w:pPr>
              <w:adjustRightInd w:val="0"/>
              <w:snapToGrid w:val="0"/>
              <w:jc w:val="center"/>
              <w:rPr>
                <w:bCs/>
                <w:szCs w:val="21"/>
              </w:rPr>
            </w:pPr>
            <w:r>
              <w:rPr>
                <w:bCs/>
                <w:szCs w:val="21"/>
              </w:rPr>
              <w:t>响和</w:t>
            </w:r>
          </w:p>
          <w:p>
            <w:pPr>
              <w:adjustRightInd w:val="0"/>
              <w:snapToGrid w:val="0"/>
              <w:jc w:val="center"/>
              <w:rPr>
                <w:bCs/>
                <w:szCs w:val="21"/>
              </w:rPr>
            </w:pPr>
            <w:r>
              <w:rPr>
                <w:bCs/>
                <w:szCs w:val="21"/>
              </w:rPr>
              <w:t>保护</w:t>
            </w:r>
          </w:p>
          <w:p>
            <w:pPr>
              <w:adjustRightInd w:val="0"/>
              <w:snapToGrid w:val="0"/>
              <w:jc w:val="center"/>
              <w:rPr>
                <w:bCs/>
                <w:color w:val="0000FF"/>
                <w:szCs w:val="21"/>
              </w:rPr>
            </w:pPr>
            <w:r>
              <w:rPr>
                <w:bCs/>
                <w:szCs w:val="21"/>
              </w:rPr>
              <w:t>措施</w:t>
            </w:r>
          </w:p>
        </w:tc>
        <w:tc>
          <w:tcPr>
            <w:tcW w:w="8031" w:type="dxa"/>
          </w:tcPr>
          <w:p>
            <w:pPr>
              <w:pStyle w:val="30"/>
              <w:numPr>
                <w:ilvl w:val="1"/>
                <w:numId w:val="0"/>
              </w:numPr>
              <w:ind w:left="284"/>
            </w:pPr>
            <w:bookmarkStart w:id="71" w:name="_Toc68160385"/>
            <w:bookmarkStart w:id="72" w:name="_Toc13983"/>
            <w:r>
              <w:t>4.2运营期环境影响及保护措施</w:t>
            </w:r>
            <w:bookmarkEnd w:id="71"/>
            <w:bookmarkEnd w:id="72"/>
          </w:p>
          <w:p>
            <w:pPr>
              <w:pStyle w:val="34"/>
              <w:numPr>
                <w:ilvl w:val="2"/>
                <w:numId w:val="0"/>
              </w:numPr>
              <w:ind w:firstLine="481" w:firstLineChars="200"/>
            </w:pPr>
            <w:bookmarkStart w:id="73" w:name="_Toc68160386"/>
            <w:bookmarkStart w:id="74" w:name="_Toc32464"/>
            <w:r>
              <w:t>4.2.1、废气</w:t>
            </w:r>
            <w:bookmarkEnd w:id="73"/>
            <w:bookmarkEnd w:id="74"/>
          </w:p>
          <w:p>
            <w:pPr>
              <w:autoSpaceDE w:val="0"/>
              <w:autoSpaceDN w:val="0"/>
              <w:adjustRightInd w:val="0"/>
              <w:ind w:firstLine="480" w:firstLineChars="200"/>
              <w:jc w:val="left"/>
              <w:rPr>
                <w:color w:val="0000FF"/>
                <w:kern w:val="0"/>
              </w:rPr>
            </w:pPr>
            <w:bookmarkStart w:id="75" w:name="_Toc13180"/>
            <w:r>
              <w:rPr>
                <w:kern w:val="0"/>
                <w:u w:val="single"/>
              </w:rPr>
              <w:t>本项目运营期大气污染物主要为</w:t>
            </w:r>
            <w:r>
              <w:rPr>
                <w:rFonts w:hint="eastAsia"/>
                <w:kern w:val="0"/>
                <w:u w:val="single"/>
              </w:rPr>
              <w:t>成品</w:t>
            </w:r>
            <w:r>
              <w:rPr>
                <w:kern w:val="0"/>
                <w:u w:val="single"/>
              </w:rPr>
              <w:t>堆场扬尘、</w:t>
            </w:r>
            <w:r>
              <w:rPr>
                <w:rFonts w:hint="eastAsia"/>
                <w:kern w:val="0"/>
                <w:u w:val="single"/>
              </w:rPr>
              <w:t>装卸</w:t>
            </w:r>
            <w:r>
              <w:rPr>
                <w:kern w:val="0"/>
                <w:u w:val="single"/>
              </w:rPr>
              <w:t>粉尘、运输车辆扬尘、生产过程中产生的破碎筛分</w:t>
            </w:r>
            <w:r>
              <w:rPr>
                <w:rFonts w:hint="eastAsia"/>
                <w:kern w:val="0"/>
                <w:u w:val="single"/>
              </w:rPr>
              <w:t>制砂</w:t>
            </w:r>
            <w:r>
              <w:rPr>
                <w:kern w:val="0"/>
                <w:u w:val="single"/>
              </w:rPr>
              <w:t>粉尘、运输车辆汽车尾气及</w:t>
            </w:r>
            <w:r>
              <w:rPr>
                <w:u w:val="single"/>
              </w:rPr>
              <w:t>食堂油烟</w:t>
            </w:r>
            <w:r>
              <w:rPr>
                <w:rFonts w:hint="eastAsia"/>
                <w:u w:val="single"/>
                <w:lang w:eastAsia="zh-CN"/>
              </w:rPr>
              <w:t>，本</w:t>
            </w:r>
            <w:r>
              <w:rPr>
                <w:spacing w:val="-6"/>
                <w:u w:val="single"/>
              </w:rPr>
              <w:t>项目原料量</w:t>
            </w:r>
            <w:r>
              <w:rPr>
                <w:rFonts w:hint="eastAsia"/>
                <w:spacing w:val="-6"/>
                <w:u w:val="single"/>
                <w:lang w:eastAsia="zh-CN"/>
              </w:rPr>
              <w:t>为</w:t>
            </w:r>
            <w:r>
              <w:rPr>
                <w:rFonts w:hint="eastAsia"/>
                <w:spacing w:val="-6"/>
                <w:u w:val="single"/>
                <w:lang w:val="en-US" w:eastAsia="zh-CN"/>
              </w:rPr>
              <w:t>1250000</w:t>
            </w:r>
            <w:r>
              <w:rPr>
                <w:spacing w:val="-6"/>
                <w:u w:val="single"/>
              </w:rPr>
              <w:t>t/a</w:t>
            </w:r>
            <w:r>
              <w:rPr>
                <w:rFonts w:hint="eastAsia"/>
                <w:spacing w:val="-6"/>
                <w:u w:val="single"/>
                <w:lang w:eastAsia="zh-CN"/>
              </w:rPr>
              <w:t>，成品量为</w:t>
            </w:r>
            <w:r>
              <w:rPr>
                <w:rFonts w:hint="eastAsia"/>
                <w:spacing w:val="-6"/>
                <w:u w:val="single"/>
                <w:lang w:val="en-US" w:eastAsia="zh-CN"/>
              </w:rPr>
              <w:t>120万吨/a</w:t>
            </w:r>
            <w:r>
              <w:rPr>
                <w:rFonts w:hint="eastAsia"/>
                <w:spacing w:val="-6"/>
                <w:u w:val="single"/>
                <w:lang w:eastAsia="zh-CN"/>
              </w:rPr>
              <w:t>，根据业主提供资料，原料及成品运输车辆均委外，运输车运输时间为</w:t>
            </w:r>
            <w:r>
              <w:rPr>
                <w:rFonts w:hint="eastAsia"/>
                <w:spacing w:val="-6"/>
                <w:u w:val="single"/>
                <w:lang w:val="en-US" w:eastAsia="zh-CN"/>
              </w:rPr>
              <w:t>12小时/d（6:00~18:00）</w:t>
            </w:r>
            <w:r>
              <w:rPr>
                <w:kern w:val="0"/>
                <w:u w:val="single"/>
              </w:rPr>
              <w:t>。</w:t>
            </w:r>
          </w:p>
          <w:p>
            <w:pPr>
              <w:pStyle w:val="40"/>
              <w:numPr>
                <w:ilvl w:val="3"/>
                <w:numId w:val="0"/>
              </w:numPr>
              <w:ind w:left="454"/>
            </w:pPr>
            <w:r>
              <w:t>1、污染源强及污染防治措施</w:t>
            </w:r>
            <w:bookmarkEnd w:id="75"/>
          </w:p>
          <w:p>
            <w:pPr>
              <w:pStyle w:val="41"/>
              <w:ind w:left="420" w:firstLine="0" w:firstLineChars="0"/>
              <w:rPr>
                <w:bCs/>
                <w:spacing w:val="-10"/>
                <w:szCs w:val="21"/>
              </w:rPr>
            </w:pPr>
            <w:r>
              <w:rPr>
                <w:bCs/>
                <w:spacing w:val="-10"/>
                <w:szCs w:val="21"/>
              </w:rPr>
              <w:t>（1）</w:t>
            </w:r>
            <w:r>
              <w:rPr>
                <w:rFonts w:hint="eastAsia"/>
                <w:bCs/>
                <w:spacing w:val="-10"/>
                <w:szCs w:val="21"/>
              </w:rPr>
              <w:t>成品</w:t>
            </w:r>
            <w:r>
              <w:rPr>
                <w:bCs/>
                <w:spacing w:val="-10"/>
                <w:szCs w:val="21"/>
              </w:rPr>
              <w:t>堆场扬尘</w:t>
            </w:r>
          </w:p>
          <w:p>
            <w:pPr>
              <w:pStyle w:val="6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sz w:val="24"/>
                <w:szCs w:val="24"/>
                <w:highlight w:val="none"/>
                <w:u w:val="none" w:color="auto"/>
              </w:rPr>
            </w:pPr>
            <w:r>
              <w:rPr>
                <w:rFonts w:hint="default" w:ascii="Times New Roman" w:hAnsi="Times New Roman" w:eastAsia="宋体" w:cs="Times New Roman"/>
                <w:color w:val="000000"/>
                <w:sz w:val="24"/>
                <w:szCs w:val="24"/>
                <w:highlight w:val="none"/>
                <w:u w:val="none" w:color="auto"/>
              </w:rPr>
              <w:t xml:space="preserve">根据有关调研资料分析，堆场主要的环境空气问题是粒径较小的砂粒在风力作用下起动输送，会对下风向环境空气造成污染。 </w:t>
            </w:r>
          </w:p>
          <w:p>
            <w:pPr>
              <w:pStyle w:val="6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sz w:val="24"/>
                <w:szCs w:val="24"/>
                <w:highlight w:val="none"/>
                <w:u w:val="none" w:color="auto"/>
              </w:rPr>
            </w:pPr>
            <w:r>
              <w:rPr>
                <w:rFonts w:hint="default" w:ascii="Times New Roman" w:hAnsi="Times New Roman" w:eastAsia="宋体" w:cs="Times New Roman"/>
                <w:color w:val="000000"/>
                <w:sz w:val="24"/>
                <w:szCs w:val="24"/>
                <w:highlight w:val="none"/>
                <w:u w:val="none" w:color="auto"/>
              </w:rPr>
              <w:t>A、可起尘部分</w:t>
            </w:r>
          </w:p>
          <w:p>
            <w:pPr>
              <w:pStyle w:val="6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sz w:val="24"/>
                <w:szCs w:val="24"/>
                <w:highlight w:val="none"/>
                <w:u w:val="none" w:color="auto"/>
              </w:rPr>
            </w:pPr>
            <w:r>
              <w:rPr>
                <w:rFonts w:hint="default" w:ascii="Times New Roman" w:hAnsi="Times New Roman" w:eastAsia="宋体" w:cs="Times New Roman"/>
                <w:color w:val="000000"/>
                <w:sz w:val="24"/>
                <w:szCs w:val="24"/>
                <w:highlight w:val="none"/>
                <w:u w:val="none" w:color="auto"/>
              </w:rPr>
              <w:t>所谓可起尘部分，系指粒径为2～6mm（平均粒径为4mm）的砂颗粒。它一般在砂中占24.5%，在可起尘部分中，不同粒径颗粒物的百分数见</w:t>
            </w:r>
            <w:r>
              <w:rPr>
                <w:rFonts w:hint="eastAsia" w:ascii="Times New Roman" w:hAnsi="Times New Roman" w:cs="Times New Roman"/>
                <w:color w:val="000000"/>
                <w:sz w:val="24"/>
                <w:szCs w:val="24"/>
                <w:highlight w:val="none"/>
                <w:u w:val="none" w:color="auto"/>
                <w:lang w:eastAsia="zh-CN"/>
              </w:rPr>
              <w:t>下</w:t>
            </w:r>
            <w:r>
              <w:rPr>
                <w:rFonts w:hint="eastAsia" w:ascii="Times New Roman" w:hAnsi="Times New Roman" w:eastAsia="宋体" w:cs="Times New Roman"/>
                <w:color w:val="000000"/>
                <w:sz w:val="24"/>
                <w:szCs w:val="24"/>
                <w:highlight w:val="none"/>
                <w:u w:val="none" w:color="auto"/>
                <w:lang w:eastAsia="zh-CN"/>
              </w:rPr>
              <w:t>表</w:t>
            </w:r>
            <w:r>
              <w:rPr>
                <w:rFonts w:hint="default" w:ascii="Times New Roman" w:hAnsi="Times New Roman" w:eastAsia="宋体" w:cs="Times New Roman"/>
                <w:color w:val="000000"/>
                <w:sz w:val="24"/>
                <w:szCs w:val="24"/>
                <w:highlight w:val="none"/>
                <w:u w:val="none" w:color="auto"/>
              </w:rPr>
              <w:t>。砂的可起尘部分中&lt;100um 的约占10.01%，&lt;75um 的约占7.84%，&lt;10um 约占0.71%。</w:t>
            </w:r>
          </w:p>
          <w:p>
            <w:pPr>
              <w:pStyle w:val="60"/>
              <w:spacing w:line="240" w:lineRule="auto"/>
              <w:ind w:firstLine="422"/>
              <w:jc w:val="center"/>
              <w:rPr>
                <w:rFonts w:hint="default" w:ascii="Times New Roman" w:hAnsi="Times New Roman" w:eastAsia="宋体" w:cs="Times New Roman"/>
                <w:color w:val="000000"/>
                <w:sz w:val="24"/>
                <w:szCs w:val="24"/>
                <w:highlight w:val="none"/>
                <w:u w:val="none" w:color="auto"/>
              </w:rPr>
            </w:pPr>
            <w:r>
              <w:rPr>
                <w:rFonts w:hint="eastAsia" w:ascii="Times New Roman" w:hAnsi="Times New Roman" w:eastAsia="宋体" w:cs="Times New Roman"/>
                <w:b/>
                <w:bCs/>
                <w:color w:val="000000"/>
                <w:sz w:val="21"/>
                <w:szCs w:val="21"/>
                <w:highlight w:val="none"/>
                <w:u w:val="none" w:color="auto"/>
                <w:lang w:eastAsia="zh-CN"/>
              </w:rPr>
              <w:t>表4-</w:t>
            </w:r>
            <w:r>
              <w:rPr>
                <w:rFonts w:hint="eastAsia" w:eastAsia="宋体" w:cs="Times New Roman"/>
                <w:b/>
                <w:bCs/>
                <w:color w:val="000000"/>
                <w:sz w:val="21"/>
                <w:szCs w:val="21"/>
                <w:highlight w:val="none"/>
                <w:u w:val="none" w:color="auto"/>
                <w:lang w:val="en-US" w:eastAsia="zh-CN"/>
              </w:rPr>
              <w:t>1</w:t>
            </w:r>
            <w:r>
              <w:rPr>
                <w:rFonts w:hint="default" w:ascii="Times New Roman" w:hAnsi="Times New Roman" w:eastAsia="宋体" w:cs="Times New Roman"/>
                <w:b/>
                <w:bCs/>
                <w:color w:val="000000"/>
                <w:sz w:val="21"/>
                <w:szCs w:val="21"/>
                <w:highlight w:val="none"/>
                <w:u w:val="none" w:color="auto"/>
              </w:rPr>
              <w:t xml:space="preserve"> </w:t>
            </w:r>
            <w:r>
              <w:rPr>
                <w:rFonts w:hint="eastAsia" w:eastAsia="宋体" w:cs="Times New Roman"/>
                <w:b/>
                <w:bCs/>
                <w:color w:val="000000"/>
                <w:sz w:val="21"/>
                <w:szCs w:val="21"/>
                <w:highlight w:val="none"/>
                <w:u w:val="none" w:color="auto"/>
                <w:lang w:val="en-US" w:eastAsia="zh-CN"/>
              </w:rPr>
              <w:t xml:space="preserve"> </w:t>
            </w:r>
            <w:r>
              <w:rPr>
                <w:rFonts w:hint="default" w:ascii="Times New Roman" w:hAnsi="Times New Roman" w:eastAsia="宋体" w:cs="Times New Roman"/>
                <w:b/>
                <w:bCs/>
                <w:color w:val="000000"/>
                <w:sz w:val="21"/>
                <w:szCs w:val="21"/>
                <w:highlight w:val="none"/>
                <w:u w:val="none" w:color="auto"/>
              </w:rPr>
              <w:t>不同粒径颗粒物的百分数</w:t>
            </w:r>
          </w:p>
          <w:tbl>
            <w:tblPr>
              <w:tblStyle w:val="22"/>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1019"/>
              <w:gridCol w:w="928"/>
              <w:gridCol w:w="836"/>
              <w:gridCol w:w="836"/>
              <w:gridCol w:w="836"/>
              <w:gridCol w:w="653"/>
              <w:gridCol w:w="653"/>
              <w:gridCol w:w="654"/>
              <w:gridCol w:w="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粒径范围（um）</w:t>
                  </w:r>
                </w:p>
              </w:tc>
              <w:tc>
                <w:tcPr>
                  <w:tcW w:w="65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6000~2000</w:t>
                  </w:r>
                </w:p>
              </w:tc>
              <w:tc>
                <w:tcPr>
                  <w:tcW w:w="5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2000~900</w:t>
                  </w:r>
                </w:p>
              </w:tc>
              <w:tc>
                <w:tcPr>
                  <w:tcW w:w="53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900~500</w:t>
                  </w:r>
                </w:p>
              </w:tc>
              <w:tc>
                <w:tcPr>
                  <w:tcW w:w="53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500~280</w:t>
                  </w:r>
                </w:p>
              </w:tc>
              <w:tc>
                <w:tcPr>
                  <w:tcW w:w="53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280~180</w:t>
                  </w:r>
                </w:p>
              </w:tc>
              <w:tc>
                <w:tcPr>
                  <w:tcW w:w="4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98~65</w:t>
                  </w:r>
                </w:p>
              </w:tc>
              <w:tc>
                <w:tcPr>
                  <w:tcW w:w="4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65~45</w:t>
                  </w:r>
                </w:p>
              </w:tc>
              <w:tc>
                <w:tcPr>
                  <w:tcW w:w="4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45~38</w:t>
                  </w:r>
                </w:p>
              </w:tc>
              <w:tc>
                <w:tcPr>
                  <w:tcW w:w="38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&lt;38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平均粒径（um）</w:t>
                  </w:r>
                </w:p>
              </w:tc>
              <w:tc>
                <w:tcPr>
                  <w:tcW w:w="65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4000</w:t>
                  </w:r>
                </w:p>
              </w:tc>
              <w:tc>
                <w:tcPr>
                  <w:tcW w:w="5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1450</w:t>
                  </w:r>
                </w:p>
              </w:tc>
              <w:tc>
                <w:tcPr>
                  <w:tcW w:w="53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700</w:t>
                  </w:r>
                </w:p>
              </w:tc>
              <w:tc>
                <w:tcPr>
                  <w:tcW w:w="53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390</w:t>
                  </w:r>
                </w:p>
              </w:tc>
              <w:tc>
                <w:tcPr>
                  <w:tcW w:w="53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230</w:t>
                  </w:r>
                </w:p>
              </w:tc>
              <w:tc>
                <w:tcPr>
                  <w:tcW w:w="4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82</w:t>
                  </w:r>
                </w:p>
              </w:tc>
              <w:tc>
                <w:tcPr>
                  <w:tcW w:w="4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55</w:t>
                  </w:r>
                </w:p>
              </w:tc>
              <w:tc>
                <w:tcPr>
                  <w:tcW w:w="4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42</w:t>
                  </w:r>
                </w:p>
              </w:tc>
              <w:tc>
                <w:tcPr>
                  <w:tcW w:w="38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百分含量%</w:t>
                  </w:r>
                </w:p>
              </w:tc>
              <w:tc>
                <w:tcPr>
                  <w:tcW w:w="65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42.44</w:t>
                  </w:r>
                </w:p>
              </w:tc>
              <w:tc>
                <w:tcPr>
                  <w:tcW w:w="5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19.05</w:t>
                  </w:r>
                </w:p>
              </w:tc>
              <w:tc>
                <w:tcPr>
                  <w:tcW w:w="53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10.74</w:t>
                  </w:r>
                </w:p>
              </w:tc>
              <w:tc>
                <w:tcPr>
                  <w:tcW w:w="53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8.34</w:t>
                  </w:r>
                </w:p>
              </w:tc>
              <w:tc>
                <w:tcPr>
                  <w:tcW w:w="53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4.8</w:t>
                  </w:r>
                </w:p>
              </w:tc>
              <w:tc>
                <w:tcPr>
                  <w:tcW w:w="4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2.97</w:t>
                  </w:r>
                </w:p>
              </w:tc>
              <w:tc>
                <w:tcPr>
                  <w:tcW w:w="4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1.72</w:t>
                  </w:r>
                </w:p>
              </w:tc>
              <w:tc>
                <w:tcPr>
                  <w:tcW w:w="4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1.44</w:t>
                  </w:r>
                </w:p>
              </w:tc>
              <w:tc>
                <w:tcPr>
                  <w:tcW w:w="38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累积百分数%</w:t>
                  </w:r>
                </w:p>
              </w:tc>
              <w:tc>
                <w:tcPr>
                  <w:tcW w:w="65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42.44</w:t>
                  </w:r>
                </w:p>
              </w:tc>
              <w:tc>
                <w:tcPr>
                  <w:tcW w:w="5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62.04</w:t>
                  </w:r>
                </w:p>
              </w:tc>
              <w:tc>
                <w:tcPr>
                  <w:tcW w:w="53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72.78</w:t>
                  </w:r>
                </w:p>
              </w:tc>
              <w:tc>
                <w:tcPr>
                  <w:tcW w:w="53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81.12</w:t>
                  </w:r>
                </w:p>
              </w:tc>
              <w:tc>
                <w:tcPr>
                  <w:tcW w:w="53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85.70</w:t>
                  </w:r>
                </w:p>
              </w:tc>
              <w:tc>
                <w:tcPr>
                  <w:tcW w:w="4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92.75</w:t>
                  </w:r>
                </w:p>
              </w:tc>
              <w:tc>
                <w:tcPr>
                  <w:tcW w:w="4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92.97</w:t>
                  </w:r>
                </w:p>
              </w:tc>
              <w:tc>
                <w:tcPr>
                  <w:tcW w:w="4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95.80</w:t>
                  </w:r>
                </w:p>
              </w:tc>
              <w:tc>
                <w:tcPr>
                  <w:tcW w:w="38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99.91</w:t>
                  </w:r>
                </w:p>
              </w:tc>
            </w:tr>
          </w:tbl>
          <w:p>
            <w:pPr>
              <w:pStyle w:val="6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highlight w:val="none"/>
                <w:u w:val="none" w:color="auto"/>
              </w:rPr>
            </w:pPr>
            <w:r>
              <w:rPr>
                <w:rFonts w:hint="default" w:ascii="Times New Roman" w:hAnsi="Times New Roman" w:eastAsia="宋体" w:cs="Times New Roman"/>
                <w:color w:val="000000"/>
                <w:sz w:val="24"/>
                <w:szCs w:val="24"/>
                <w:highlight w:val="none"/>
                <w:u w:val="none" w:color="auto"/>
              </w:rPr>
              <w:t>B、起动风速</w:t>
            </w:r>
          </w:p>
          <w:p>
            <w:pPr>
              <w:pStyle w:val="6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highlight w:val="none"/>
                <w:u w:val="none" w:color="auto"/>
              </w:rPr>
            </w:pPr>
            <w:r>
              <w:rPr>
                <w:rFonts w:hint="default" w:ascii="Times New Roman" w:hAnsi="Times New Roman" w:eastAsia="宋体" w:cs="Times New Roman"/>
                <w:color w:val="000000"/>
                <w:sz w:val="24"/>
                <w:szCs w:val="24"/>
                <w:highlight w:val="none"/>
                <w:u w:val="none" w:color="auto"/>
              </w:rPr>
              <w:t>砂场中的砂粒只要达到一定风速才会起尘，这种临界风速成为起动风速，它主要同颗粒直径及物料含水率有关。对于露天堆场来说，一般认为，堆砂的起动风速为4.4m/s（50m高处），则其地面风速应为2.94m/s。</w:t>
            </w:r>
          </w:p>
          <w:p>
            <w:pPr>
              <w:pStyle w:val="6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highlight w:val="none"/>
                <w:u w:val="none" w:color="auto"/>
              </w:rPr>
            </w:pPr>
            <w:r>
              <w:rPr>
                <w:rFonts w:hint="default" w:ascii="Times New Roman" w:hAnsi="Times New Roman" w:eastAsia="宋体" w:cs="Times New Roman"/>
                <w:color w:val="000000"/>
                <w:sz w:val="24"/>
                <w:szCs w:val="24"/>
                <w:highlight w:val="none"/>
                <w:u w:val="none" w:color="auto"/>
              </w:rPr>
              <w:t>C、</w:t>
            </w:r>
            <w:r>
              <w:rPr>
                <w:rFonts w:hint="default" w:ascii="Times New Roman" w:hAnsi="Times New Roman" w:eastAsia="宋体" w:cs="Times New Roman"/>
                <w:color w:val="000000"/>
                <w:sz w:val="24"/>
                <w:szCs w:val="24"/>
                <w:highlight w:val="none"/>
                <w:u w:val="none" w:color="auto"/>
                <w:lang w:eastAsia="zh-CN"/>
              </w:rPr>
              <w:t>砂</w:t>
            </w:r>
            <w:r>
              <w:rPr>
                <w:rFonts w:hint="default" w:ascii="Times New Roman" w:hAnsi="Times New Roman" w:eastAsia="宋体" w:cs="Times New Roman"/>
                <w:color w:val="000000"/>
                <w:sz w:val="24"/>
                <w:szCs w:val="24"/>
                <w:highlight w:val="none"/>
                <w:u w:val="none" w:color="auto"/>
              </w:rPr>
              <w:t>堆场风力起尘量计算</w:t>
            </w:r>
          </w:p>
          <w:p>
            <w:pPr>
              <w:pStyle w:val="6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highlight w:val="none"/>
                <w:u w:val="none" w:color="auto"/>
              </w:rPr>
            </w:pPr>
            <w:r>
              <w:rPr>
                <w:rFonts w:hint="default" w:ascii="Times New Roman" w:hAnsi="Times New Roman" w:eastAsia="宋体" w:cs="Times New Roman"/>
                <w:color w:val="000000"/>
                <w:sz w:val="24"/>
                <w:szCs w:val="24"/>
                <w:highlight w:val="none"/>
                <w:u w:val="none" w:color="auto"/>
              </w:rPr>
              <w:t>计算模式采用修正后的《秦皇岛砂石料装卸中对起尘机理扩散规律的研究》推荐的起尘公式：</w:t>
            </w:r>
          </w:p>
          <w:p>
            <w:pPr>
              <w:pStyle w:val="60"/>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center"/>
              <w:textAlignment w:val="auto"/>
              <w:rPr>
                <w:rFonts w:hint="default" w:ascii="Times New Roman" w:hAnsi="Times New Roman" w:eastAsia="宋体" w:cs="Times New Roman"/>
                <w:color w:val="000000"/>
                <w:sz w:val="24"/>
                <w:szCs w:val="24"/>
                <w:highlight w:val="none"/>
                <w:u w:val="none" w:color="auto"/>
              </w:rPr>
            </w:pPr>
            <w:r>
              <w:rPr>
                <w:rFonts w:hint="default" w:ascii="Times New Roman" w:hAnsi="Times New Roman" w:eastAsia="宋体" w:cs="Times New Roman"/>
                <w:color w:val="000000"/>
                <w:sz w:val="24"/>
                <w:szCs w:val="24"/>
                <w:highlight w:val="none"/>
                <w:u w:val="none" w:color="auto"/>
              </w:rPr>
              <w:drawing>
                <wp:inline distT="0" distB="0" distL="114300" distR="114300">
                  <wp:extent cx="2047875" cy="510540"/>
                  <wp:effectExtent l="0" t="0" r="9525"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2047875" cy="510540"/>
                          </a:xfrm>
                          <a:prstGeom prst="rect">
                            <a:avLst/>
                          </a:prstGeom>
                          <a:noFill/>
                          <a:ln>
                            <a:noFill/>
                          </a:ln>
                        </pic:spPr>
                      </pic:pic>
                    </a:graphicData>
                  </a:graphic>
                </wp:inline>
              </w:drawing>
            </w:r>
          </w:p>
          <w:p>
            <w:pPr>
              <w:pStyle w:val="6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highlight w:val="none"/>
                <w:u w:val="none" w:color="auto"/>
              </w:rPr>
            </w:pPr>
            <w:r>
              <w:rPr>
                <w:rFonts w:hint="default" w:ascii="Times New Roman" w:hAnsi="Times New Roman" w:eastAsia="宋体" w:cs="Times New Roman"/>
                <w:color w:val="000000"/>
                <w:sz w:val="24"/>
                <w:szCs w:val="24"/>
                <w:highlight w:val="none"/>
                <w:u w:val="none" w:color="auto"/>
              </w:rPr>
              <w:t>式中：Qi——i 类风速条件下的起尘量，kg/a</w:t>
            </w:r>
          </w:p>
          <w:p>
            <w:pPr>
              <w:pStyle w:val="60"/>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000000"/>
                <w:sz w:val="24"/>
                <w:szCs w:val="24"/>
                <w:highlight w:val="none"/>
                <w:u w:val="none" w:color="auto"/>
              </w:rPr>
            </w:pPr>
            <w:r>
              <w:rPr>
                <w:rFonts w:hint="default" w:ascii="Times New Roman" w:hAnsi="Times New Roman" w:eastAsia="宋体" w:cs="Times New Roman"/>
                <w:color w:val="000000"/>
                <w:sz w:val="24"/>
                <w:szCs w:val="24"/>
                <w:highlight w:val="none"/>
                <w:u w:val="none" w:color="auto"/>
              </w:rPr>
              <w:t>Q——砂场年起尘量，kg/a</w:t>
            </w:r>
          </w:p>
          <w:p>
            <w:pPr>
              <w:pStyle w:val="60"/>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000000"/>
                <w:sz w:val="24"/>
                <w:szCs w:val="24"/>
                <w:highlight w:val="none"/>
                <w:u w:val="none" w:color="auto"/>
              </w:rPr>
            </w:pPr>
            <w:r>
              <w:rPr>
                <w:rFonts w:hint="default" w:ascii="Times New Roman" w:hAnsi="Times New Roman" w:eastAsia="宋体" w:cs="Times New Roman"/>
                <w:color w:val="000000"/>
                <w:sz w:val="24"/>
                <w:szCs w:val="24"/>
                <w:highlight w:val="none"/>
                <w:u w:val="none" w:color="auto"/>
              </w:rPr>
              <w:t>G——砂场储砂量，</w:t>
            </w:r>
          </w:p>
          <w:p>
            <w:pPr>
              <w:pStyle w:val="60"/>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000000"/>
                <w:sz w:val="24"/>
                <w:szCs w:val="24"/>
                <w:highlight w:val="none"/>
                <w:u w:val="none" w:color="auto"/>
              </w:rPr>
            </w:pPr>
            <w:r>
              <w:rPr>
                <w:rFonts w:hint="default" w:ascii="Times New Roman" w:hAnsi="Times New Roman" w:eastAsia="宋体" w:cs="Times New Roman"/>
                <w:color w:val="000000"/>
                <w:sz w:val="24"/>
                <w:szCs w:val="24"/>
                <w:highlight w:val="none"/>
                <w:u w:val="none" w:color="auto"/>
              </w:rPr>
              <w:t>Vi——35米上空的风速，m/s</w:t>
            </w:r>
          </w:p>
          <w:p>
            <w:pPr>
              <w:pStyle w:val="60"/>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000000"/>
                <w:sz w:val="24"/>
                <w:szCs w:val="24"/>
                <w:highlight w:val="none"/>
                <w:u w:val="none" w:color="auto"/>
              </w:rPr>
            </w:pPr>
            <w:r>
              <w:rPr>
                <w:rFonts w:hint="default" w:ascii="Times New Roman" w:hAnsi="Times New Roman" w:eastAsia="宋体" w:cs="Times New Roman"/>
                <w:color w:val="000000"/>
                <w:sz w:val="24"/>
                <w:szCs w:val="24"/>
                <w:highlight w:val="none"/>
                <w:u w:val="none" w:color="auto"/>
              </w:rPr>
              <w:t>Vo——砂粒起动风速，取4.4m/s</w:t>
            </w:r>
          </w:p>
          <w:p>
            <w:pPr>
              <w:pStyle w:val="60"/>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000000"/>
                <w:sz w:val="24"/>
                <w:szCs w:val="24"/>
                <w:highlight w:val="none"/>
                <w:u w:val="none" w:color="auto"/>
              </w:rPr>
            </w:pPr>
            <w:r>
              <w:rPr>
                <w:rFonts w:hint="default" w:ascii="Times New Roman" w:hAnsi="Times New Roman" w:eastAsia="宋体" w:cs="Times New Roman"/>
                <w:color w:val="000000"/>
                <w:sz w:val="24"/>
                <w:szCs w:val="24"/>
                <w:highlight w:val="none"/>
                <w:u w:val="none" w:color="auto"/>
              </w:rPr>
              <w:t>W——砂含水量，%</w:t>
            </w:r>
          </w:p>
          <w:p>
            <w:pPr>
              <w:pStyle w:val="60"/>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000000"/>
                <w:sz w:val="24"/>
                <w:szCs w:val="24"/>
                <w:highlight w:val="none"/>
                <w:u w:val="none" w:color="auto"/>
              </w:rPr>
            </w:pPr>
            <w:r>
              <w:rPr>
                <w:rFonts w:hint="default" w:ascii="Times New Roman" w:hAnsi="Times New Roman" w:eastAsia="宋体" w:cs="Times New Roman"/>
                <w:color w:val="000000"/>
                <w:sz w:val="24"/>
                <w:szCs w:val="24"/>
                <w:highlight w:val="none"/>
                <w:u w:val="none" w:color="auto"/>
              </w:rPr>
              <w:t>fi——i 类风速的年频率</w:t>
            </w:r>
          </w:p>
          <w:p>
            <w:pPr>
              <w:pStyle w:val="60"/>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000000"/>
                <w:sz w:val="24"/>
                <w:szCs w:val="24"/>
                <w:highlight w:val="none"/>
                <w:u w:val="none" w:color="auto"/>
              </w:rPr>
            </w:pPr>
            <w:r>
              <w:rPr>
                <w:rFonts w:hint="default" w:ascii="Times New Roman" w:hAnsi="Times New Roman" w:eastAsia="宋体" w:cs="Times New Roman"/>
                <w:color w:val="000000"/>
                <w:sz w:val="24"/>
                <w:szCs w:val="24"/>
                <w:highlight w:val="none"/>
                <w:u w:val="none" w:color="auto"/>
              </w:rPr>
              <w:t>a ——大气降雨修正系数</w:t>
            </w:r>
          </w:p>
          <w:p>
            <w:pPr>
              <w:ind w:firstLine="480" w:firstLineChars="200"/>
              <w:rPr>
                <w:u w:val="single" w:color="auto"/>
              </w:rPr>
            </w:pPr>
            <w:r>
              <w:rPr>
                <w:rFonts w:hint="default" w:ascii="Times New Roman" w:hAnsi="Times New Roman" w:eastAsia="宋体" w:cs="Times New Roman"/>
                <w:color w:val="000000"/>
                <w:sz w:val="24"/>
                <w:szCs w:val="24"/>
                <w:highlight w:val="none"/>
                <w:u w:val="single" w:color="auto"/>
              </w:rPr>
              <w:t>经计算，砂的含水率对堆场的起尘量影响极大，当含水率从4%、8%增加10%，起尘量从</w:t>
            </w:r>
            <w:r>
              <w:rPr>
                <w:rFonts w:hint="default" w:ascii="Times New Roman" w:hAnsi="Times New Roman" w:eastAsia="宋体" w:cs="Times New Roman"/>
                <w:color w:val="000000"/>
                <w:sz w:val="24"/>
                <w:szCs w:val="24"/>
                <w:highlight w:val="none"/>
                <w:u w:val="single" w:color="auto"/>
                <w:lang w:val="en-US" w:eastAsia="zh-CN"/>
              </w:rPr>
              <w:t>15.05t/a、1.41t/a减少到0.33t/a</w:t>
            </w:r>
            <w:r>
              <w:rPr>
                <w:rFonts w:hint="default" w:ascii="Times New Roman" w:hAnsi="Times New Roman" w:eastAsia="宋体" w:cs="Times New Roman"/>
                <w:color w:val="000000"/>
                <w:sz w:val="24"/>
                <w:szCs w:val="24"/>
                <w:highlight w:val="none"/>
                <w:u w:val="single" w:color="auto"/>
              </w:rPr>
              <w:t>下降了数十倍。项目砂场采用两侧围挡</w:t>
            </w:r>
            <w:r>
              <w:rPr>
                <w:rFonts w:hint="default" w:ascii="Times New Roman" w:hAnsi="Times New Roman" w:eastAsia="宋体" w:cs="Times New Roman"/>
                <w:color w:val="000000"/>
                <w:kern w:val="0"/>
                <w:sz w:val="24"/>
                <w:szCs w:val="24"/>
                <w:highlight w:val="none"/>
                <w:u w:val="single" w:color="auto"/>
              </w:rPr>
              <w:t>，且洗砂后机制砂含水率较</w:t>
            </w:r>
            <w:r>
              <w:rPr>
                <w:rFonts w:hint="eastAsia" w:cs="Times New Roman"/>
                <w:color w:val="000000"/>
                <w:kern w:val="0"/>
                <w:sz w:val="24"/>
                <w:szCs w:val="24"/>
                <w:highlight w:val="none"/>
                <w:u w:val="single" w:color="auto"/>
                <w:lang w:val="en-US" w:eastAsia="zh-CN"/>
              </w:rPr>
              <w:t>高</w:t>
            </w:r>
            <w:r>
              <w:rPr>
                <w:rFonts w:hint="default" w:ascii="Times New Roman" w:hAnsi="Times New Roman" w:eastAsia="宋体" w:cs="Times New Roman"/>
                <w:color w:val="000000"/>
                <w:sz w:val="24"/>
                <w:szCs w:val="24"/>
                <w:highlight w:val="none"/>
                <w:u w:val="single" w:color="auto"/>
              </w:rPr>
              <w:t>。风力扬尘较小，</w:t>
            </w:r>
            <w:r>
              <w:rPr>
                <w:rFonts w:hint="eastAsia" w:ascii="Times New Roman" w:hAnsi="Times New Roman" w:cs="Times New Roman"/>
                <w:color w:val="000000"/>
                <w:sz w:val="24"/>
                <w:szCs w:val="24"/>
                <w:highlight w:val="none"/>
                <w:u w:val="single" w:color="auto"/>
                <w:lang w:eastAsia="zh-CN"/>
              </w:rPr>
              <w:t>设置喷淋抑尘设施</w:t>
            </w:r>
            <w:r>
              <w:rPr>
                <w:rFonts w:hint="default" w:ascii="Times New Roman" w:hAnsi="Times New Roman" w:eastAsia="宋体" w:cs="Times New Roman"/>
                <w:color w:val="000000"/>
                <w:sz w:val="24"/>
                <w:szCs w:val="24"/>
                <w:highlight w:val="none"/>
                <w:u w:val="single" w:color="auto"/>
              </w:rPr>
              <w:t>。采取上述措施后，可有效降尘</w:t>
            </w:r>
            <w:r>
              <w:rPr>
                <w:rFonts w:hint="eastAsia" w:ascii="Times New Roman" w:hAnsi="Times New Roman" w:cs="Times New Roman"/>
                <w:color w:val="000000"/>
                <w:sz w:val="24"/>
                <w:szCs w:val="24"/>
                <w:highlight w:val="none"/>
                <w:u w:val="single" w:color="auto"/>
                <w:lang w:val="en-US" w:eastAsia="zh-CN"/>
              </w:rPr>
              <w:t>85</w:t>
            </w:r>
            <w:r>
              <w:rPr>
                <w:rFonts w:hint="default" w:ascii="Times New Roman" w:hAnsi="Times New Roman" w:eastAsia="宋体" w:cs="Times New Roman"/>
                <w:color w:val="000000"/>
                <w:sz w:val="24"/>
                <w:szCs w:val="24"/>
                <w:highlight w:val="none"/>
                <w:u w:val="single" w:color="auto"/>
              </w:rPr>
              <w:t>%，则项目堆场粉尘排放量为0.0</w:t>
            </w:r>
            <w:r>
              <w:rPr>
                <w:rFonts w:hint="eastAsia" w:ascii="Times New Roman" w:hAnsi="Times New Roman" w:cs="Times New Roman"/>
                <w:color w:val="000000"/>
                <w:sz w:val="24"/>
                <w:szCs w:val="24"/>
                <w:highlight w:val="none"/>
                <w:u w:val="single" w:color="auto"/>
                <w:lang w:val="en-US" w:eastAsia="zh-CN"/>
              </w:rPr>
              <w:t>5</w:t>
            </w:r>
            <w:r>
              <w:rPr>
                <w:rFonts w:hint="default" w:ascii="Times New Roman" w:hAnsi="Times New Roman" w:eastAsia="宋体" w:cs="Times New Roman"/>
                <w:color w:val="000000"/>
                <w:sz w:val="24"/>
                <w:szCs w:val="24"/>
                <w:highlight w:val="none"/>
                <w:u w:val="single" w:color="auto"/>
              </w:rPr>
              <w:t>t/a，排放速率为0.0</w:t>
            </w:r>
            <w:r>
              <w:rPr>
                <w:rFonts w:hint="eastAsia" w:ascii="Times New Roman" w:hAnsi="Times New Roman" w:cs="Times New Roman"/>
                <w:color w:val="000000"/>
                <w:sz w:val="24"/>
                <w:szCs w:val="24"/>
                <w:highlight w:val="none"/>
                <w:u w:val="single" w:color="auto"/>
                <w:lang w:val="en-US" w:eastAsia="zh-CN"/>
              </w:rPr>
              <w:t>2</w:t>
            </w:r>
            <w:r>
              <w:rPr>
                <w:rFonts w:hint="default" w:ascii="Times New Roman" w:hAnsi="Times New Roman" w:eastAsia="宋体" w:cs="Times New Roman"/>
                <w:color w:val="000000"/>
                <w:sz w:val="24"/>
                <w:szCs w:val="24"/>
                <w:highlight w:val="none"/>
                <w:u w:val="single" w:color="auto"/>
              </w:rPr>
              <w:t>kg/h。</w:t>
            </w:r>
          </w:p>
          <w:p>
            <w:pPr>
              <w:adjustRightInd w:val="0"/>
              <w:ind w:firstLine="480" w:firstLineChars="200"/>
              <w:rPr>
                <w:spacing w:val="-6"/>
              </w:rPr>
            </w:pPr>
            <w:r>
              <w:rPr>
                <w:kern w:val="0"/>
              </w:rPr>
              <w:t>（2）</w:t>
            </w:r>
            <w:r>
              <w:rPr>
                <w:spacing w:val="-6"/>
              </w:rPr>
              <w:t>装卸粉尘</w:t>
            </w:r>
          </w:p>
          <w:p>
            <w:pPr>
              <w:adjustRightInd w:val="0"/>
              <w:ind w:firstLine="456" w:firstLineChars="200"/>
              <w:rPr>
                <w:spacing w:val="-6"/>
              </w:rPr>
            </w:pPr>
            <w:r>
              <w:rPr>
                <w:rFonts w:hint="eastAsia"/>
                <w:spacing w:val="-6"/>
              </w:rPr>
              <w:t>砂料</w:t>
            </w:r>
            <w:r>
              <w:rPr>
                <w:spacing w:val="-6"/>
              </w:rPr>
              <w:t>加工生产线的原材料为</w:t>
            </w:r>
            <w:r>
              <w:rPr>
                <w:rFonts w:hint="default" w:ascii="Times New Roman" w:hAnsi="Times New Roman" w:eastAsia="宋体" w:cs="Times New Roman"/>
                <w:spacing w:val="-6"/>
                <w:u w:val="none"/>
              </w:rPr>
              <w:t>辰溪博雅中学沅水尾堆清理</w:t>
            </w:r>
            <w:r>
              <w:rPr>
                <w:rFonts w:hint="eastAsia"/>
                <w:sz w:val="24"/>
                <w:szCs w:val="32"/>
                <w:lang w:val="en-US" w:eastAsia="zh-CN"/>
              </w:rPr>
              <w:t>弃渣点</w:t>
            </w:r>
            <w:r>
              <w:rPr>
                <w:rFonts w:hint="default" w:ascii="Times New Roman" w:hAnsi="Times New Roman" w:eastAsia="宋体" w:cs="Times New Roman"/>
                <w:spacing w:val="-6"/>
                <w:u w:val="none"/>
                <w:lang w:eastAsia="zh-CN"/>
              </w:rPr>
              <w:t>、沅水洪江至辰溪航道建设工程</w:t>
            </w:r>
            <w:r>
              <w:rPr>
                <w:rFonts w:hint="default" w:ascii="Times New Roman" w:hAnsi="Times New Roman" w:eastAsia="宋体" w:cs="Times New Roman"/>
                <w:spacing w:val="-6"/>
                <w:u w:val="none"/>
              </w:rPr>
              <w:t>产生的鹅卵石</w:t>
            </w:r>
            <w:r>
              <w:rPr>
                <w:rFonts w:hint="default" w:ascii="Times New Roman" w:hAnsi="Times New Roman" w:eastAsia="宋体" w:cs="Times New Roman"/>
                <w:spacing w:val="-6"/>
                <w:u w:val="none"/>
                <w:lang w:eastAsia="zh-CN"/>
              </w:rPr>
              <w:t>、</w:t>
            </w:r>
            <w:r>
              <w:rPr>
                <w:rFonts w:hint="eastAsia"/>
                <w:spacing w:val="-6"/>
              </w:rPr>
              <w:t>外购鹅卵石</w:t>
            </w:r>
            <w:r>
              <w:rPr>
                <w:spacing w:val="-6"/>
              </w:rPr>
              <w:t>，装卸粉尘产生量采用秦皇岛码头装卸起尘量公式估算：</w:t>
            </w:r>
          </w:p>
          <w:p>
            <w:pPr>
              <w:adjustRightInd w:val="0"/>
              <w:jc w:val="center"/>
              <w:rPr>
                <w:spacing w:val="-6"/>
              </w:rPr>
            </w:pPr>
            <w:r>
              <w:rPr>
                <w:spacing w:val="-6"/>
              </w:rPr>
              <w:t>Q=M×e</w:t>
            </w:r>
            <w:r>
              <w:rPr>
                <w:spacing w:val="-6"/>
                <w:vertAlign w:val="superscript"/>
              </w:rPr>
              <w:t>0.64u</w:t>
            </w:r>
            <w:r>
              <w:rPr>
                <w:spacing w:val="-6"/>
              </w:rPr>
              <w:t>×e</w:t>
            </w:r>
            <w:r>
              <w:rPr>
                <w:spacing w:val="-6"/>
                <w:vertAlign w:val="superscript"/>
              </w:rPr>
              <w:t>-0.28w</w:t>
            </w:r>
            <w:r>
              <w:rPr>
                <w:spacing w:val="-6"/>
              </w:rPr>
              <w:t>×H</w:t>
            </w:r>
            <w:r>
              <w:rPr>
                <w:spacing w:val="-6"/>
                <w:vertAlign w:val="superscript"/>
              </w:rPr>
              <w:t>1.283</w:t>
            </w:r>
            <w:r>
              <w:rPr>
                <w:spacing w:val="-6"/>
              </w:rPr>
              <w:t>（1）</w:t>
            </w:r>
          </w:p>
          <w:p>
            <w:pPr>
              <w:adjustRightInd w:val="0"/>
              <w:ind w:firstLine="456" w:firstLineChars="200"/>
              <w:rPr>
                <w:spacing w:val="-6"/>
              </w:rPr>
            </w:pPr>
            <w:r>
              <w:rPr>
                <w:spacing w:val="-6"/>
              </w:rPr>
              <w:t>式中：Q---装卸粉尘，g/次；</w:t>
            </w:r>
          </w:p>
          <w:p>
            <w:pPr>
              <w:adjustRightInd w:val="0"/>
              <w:ind w:firstLine="1140" w:firstLineChars="500"/>
              <w:rPr>
                <w:spacing w:val="-6"/>
              </w:rPr>
            </w:pPr>
            <w:r>
              <w:rPr>
                <w:spacing w:val="-6"/>
              </w:rPr>
              <w:t>U---风速，取2m/s；</w:t>
            </w:r>
          </w:p>
          <w:p>
            <w:pPr>
              <w:adjustRightInd w:val="0"/>
              <w:ind w:firstLine="1140" w:firstLineChars="500"/>
              <w:rPr>
                <w:spacing w:val="-6"/>
              </w:rPr>
            </w:pPr>
            <w:r>
              <w:rPr>
                <w:spacing w:val="-6"/>
              </w:rPr>
              <w:t>M---装载吨位；</w:t>
            </w:r>
          </w:p>
          <w:p>
            <w:pPr>
              <w:adjustRightInd w:val="0"/>
              <w:ind w:firstLine="1140" w:firstLineChars="500"/>
              <w:rPr>
                <w:spacing w:val="-6"/>
              </w:rPr>
            </w:pPr>
            <w:r>
              <w:rPr>
                <w:spacing w:val="-6"/>
              </w:rPr>
              <w:t>W---随实物量湿度，%，原料取值5；</w:t>
            </w:r>
          </w:p>
          <w:p>
            <w:pPr>
              <w:adjustRightInd w:val="0"/>
              <w:ind w:firstLine="1140" w:firstLineChars="500"/>
              <w:rPr>
                <w:spacing w:val="-6"/>
              </w:rPr>
            </w:pPr>
            <w:r>
              <w:rPr>
                <w:spacing w:val="-6"/>
              </w:rPr>
              <w:t>H---装卸高度，m。评价取值0.5m。</w:t>
            </w:r>
          </w:p>
          <w:p>
            <w:pPr>
              <w:adjustRightInd w:val="0"/>
              <w:ind w:firstLine="456" w:firstLineChars="200"/>
              <w:rPr>
                <w:spacing w:val="-6"/>
              </w:rPr>
            </w:pPr>
            <w:r>
              <w:rPr>
                <w:rFonts w:hint="eastAsia"/>
                <w:spacing w:val="-6"/>
              </w:rPr>
              <w:t>a.</w:t>
            </w:r>
            <w:r>
              <w:rPr>
                <w:spacing w:val="-6"/>
              </w:rPr>
              <w:t>原料堆场装卸粉尘</w:t>
            </w:r>
          </w:p>
          <w:p>
            <w:pPr>
              <w:adjustRightInd w:val="0"/>
              <w:ind w:firstLine="456" w:firstLineChars="200"/>
              <w:rPr>
                <w:spacing w:val="-6"/>
                <w:u w:val="single"/>
              </w:rPr>
            </w:pPr>
            <w:r>
              <w:rPr>
                <w:spacing w:val="-6"/>
                <w:u w:val="single"/>
              </w:rPr>
              <w:t>根据计算公式，粉尘的产生量主要与物料含水率、卸料高度、卸料时间、自卸汽车载重等因素相关。本项目原料经汽车卸料至原料堆场，卸料时原料含水率为5%，平均卸料高度为0.5m。自卸汽车载重平均</w:t>
            </w:r>
            <w:r>
              <w:rPr>
                <w:rFonts w:hint="eastAsia"/>
                <w:spacing w:val="-6"/>
                <w:u w:val="single"/>
                <w:lang w:val="en-US" w:eastAsia="zh-CN"/>
              </w:rPr>
              <w:t>35</w:t>
            </w:r>
            <w:r>
              <w:rPr>
                <w:spacing w:val="-6"/>
                <w:u w:val="single"/>
              </w:rPr>
              <w:t>t。</w:t>
            </w:r>
          </w:p>
          <w:p>
            <w:pPr>
              <w:adjustRightInd w:val="0"/>
              <w:ind w:firstLine="456" w:firstLineChars="200"/>
              <w:rPr>
                <w:spacing w:val="-6"/>
                <w:u w:val="single"/>
              </w:rPr>
            </w:pPr>
            <w:r>
              <w:rPr>
                <w:spacing w:val="-6"/>
                <w:u w:val="single"/>
              </w:rPr>
              <w:t>经计算，每车次卸料产生的粉尘量约为</w:t>
            </w:r>
            <w:r>
              <w:rPr>
                <w:rFonts w:hint="eastAsia"/>
                <w:spacing w:val="-6"/>
                <w:u w:val="single"/>
                <w:lang w:val="en-US" w:eastAsia="zh-CN"/>
              </w:rPr>
              <w:t>12.756</w:t>
            </w:r>
            <w:r>
              <w:rPr>
                <w:spacing w:val="-6"/>
                <w:u w:val="single"/>
              </w:rPr>
              <w:t>g。项目运送原料量</w:t>
            </w:r>
            <w:r>
              <w:rPr>
                <w:rFonts w:hint="eastAsia"/>
                <w:spacing w:val="-6"/>
                <w:u w:val="single"/>
                <w:lang w:val="en-US" w:eastAsia="zh-CN"/>
              </w:rPr>
              <w:t>1250000</w:t>
            </w:r>
            <w:r>
              <w:rPr>
                <w:spacing w:val="-6"/>
                <w:u w:val="single"/>
              </w:rPr>
              <w:t>t/a，按照每车</w:t>
            </w:r>
            <w:r>
              <w:rPr>
                <w:rFonts w:hint="eastAsia"/>
                <w:spacing w:val="-6"/>
                <w:u w:val="single"/>
                <w:lang w:val="en-US" w:eastAsia="zh-CN"/>
              </w:rPr>
              <w:t>35</w:t>
            </w:r>
            <w:r>
              <w:rPr>
                <w:spacing w:val="-6"/>
                <w:u w:val="single"/>
              </w:rPr>
              <w:t>吨装载量计算，约</w:t>
            </w:r>
            <w:r>
              <w:rPr>
                <w:rFonts w:hint="eastAsia"/>
                <w:spacing w:val="-6"/>
                <w:u w:val="single"/>
                <w:lang w:val="en-US" w:eastAsia="zh-CN"/>
              </w:rPr>
              <w:t>35714</w:t>
            </w:r>
            <w:r>
              <w:rPr>
                <w:spacing w:val="-6"/>
                <w:u w:val="single"/>
              </w:rPr>
              <w:t>辆(次)/a，则卸料粉尘产生量约为0.</w:t>
            </w:r>
            <w:r>
              <w:rPr>
                <w:rFonts w:hint="eastAsia"/>
                <w:spacing w:val="-6"/>
                <w:u w:val="single"/>
                <w:lang w:val="en-US" w:eastAsia="zh-CN"/>
              </w:rPr>
              <w:t>46</w:t>
            </w:r>
            <w:r>
              <w:rPr>
                <w:spacing w:val="-6"/>
                <w:u w:val="single"/>
              </w:rPr>
              <w:t>t/a</w:t>
            </w:r>
            <w:r>
              <w:rPr>
                <w:rFonts w:hint="eastAsia"/>
                <w:spacing w:val="-6"/>
                <w:u w:val="single"/>
              </w:rPr>
              <w:t>，</w:t>
            </w:r>
            <w:r>
              <w:rPr>
                <w:rFonts w:eastAsia="Calibri"/>
                <w:u w:val="single"/>
              </w:rPr>
              <w:t>在装卸过程中，加强洒水防尘力度、避开大风天气卸车等措施后，可有效降尘</w:t>
            </w:r>
            <w:r>
              <w:rPr>
                <w:rFonts w:hint="eastAsia" w:eastAsia="宋体"/>
                <w:u w:val="single"/>
                <w:lang w:val="en-US" w:eastAsia="zh-CN"/>
              </w:rPr>
              <w:t>50</w:t>
            </w:r>
            <w:r>
              <w:rPr>
                <w:rFonts w:eastAsia="Calibri"/>
                <w:u w:val="single"/>
              </w:rPr>
              <w:t>%，</w:t>
            </w:r>
            <w:r>
              <w:rPr>
                <w:spacing w:val="-6"/>
                <w:u w:val="single"/>
              </w:rPr>
              <w:t>装卸粉尘排放量为</w:t>
            </w:r>
            <w:r>
              <w:rPr>
                <w:rFonts w:hint="eastAsia"/>
                <w:spacing w:val="-6"/>
                <w:u w:val="single"/>
              </w:rPr>
              <w:t>0.</w:t>
            </w:r>
            <w:r>
              <w:rPr>
                <w:rFonts w:hint="eastAsia"/>
                <w:spacing w:val="-6"/>
                <w:u w:val="single"/>
                <w:lang w:val="en-US" w:eastAsia="zh-CN"/>
              </w:rPr>
              <w:t>23</w:t>
            </w:r>
            <w:r>
              <w:rPr>
                <w:spacing w:val="-6"/>
                <w:u w:val="single"/>
              </w:rPr>
              <w:t>t/a。</w:t>
            </w:r>
          </w:p>
          <w:p>
            <w:pPr>
              <w:adjustRightInd w:val="0"/>
              <w:ind w:firstLine="456" w:firstLineChars="200"/>
              <w:rPr>
                <w:spacing w:val="-6"/>
                <w:u w:val="single"/>
              </w:rPr>
            </w:pPr>
            <w:r>
              <w:rPr>
                <w:rFonts w:hint="eastAsia"/>
                <w:spacing w:val="-6"/>
                <w:u w:val="single"/>
              </w:rPr>
              <w:t>b.</w:t>
            </w:r>
            <w:r>
              <w:rPr>
                <w:spacing w:val="-6"/>
                <w:u w:val="single"/>
              </w:rPr>
              <w:t>原料卸入破碎机粉尘</w:t>
            </w:r>
          </w:p>
          <w:p>
            <w:pPr>
              <w:adjustRightInd w:val="0"/>
              <w:ind w:firstLine="456" w:firstLineChars="200"/>
              <w:rPr>
                <w:spacing w:val="-6"/>
                <w:u w:val="single"/>
              </w:rPr>
            </w:pPr>
            <w:r>
              <w:rPr>
                <w:spacing w:val="-6"/>
                <w:u w:val="single"/>
              </w:rPr>
              <w:t>本项目采用装载机将原料卸入破碎机料仓，下料过程粉尘参照</w:t>
            </w:r>
            <w:r>
              <w:rPr>
                <w:rFonts w:hint="eastAsia"/>
                <w:spacing w:val="-6"/>
                <w:u w:val="single"/>
                <w:lang w:val="en-US" w:eastAsia="zh-CN"/>
              </w:rPr>
              <w:t>前文</w:t>
            </w:r>
            <w:r>
              <w:rPr>
                <w:spacing w:val="-6"/>
                <w:u w:val="single"/>
              </w:rPr>
              <w:t>公式（1）进行计算，装载时原料含水率为5%，平均卸料高度为0.3m。装载机平均装载量按</w:t>
            </w:r>
            <w:r>
              <w:rPr>
                <w:rFonts w:hint="default"/>
                <w:spacing w:val="-6"/>
                <w:u w:val="single"/>
                <w:lang w:val="en-US"/>
              </w:rPr>
              <w:t>4</w:t>
            </w:r>
            <w:r>
              <w:rPr>
                <w:spacing w:val="-6"/>
                <w:u w:val="single"/>
              </w:rPr>
              <w:t>t/次。经计算，每车次卸料产生的粉尘量约为0.7</w:t>
            </w:r>
            <w:r>
              <w:rPr>
                <w:rFonts w:hint="eastAsia"/>
                <w:spacing w:val="-6"/>
                <w:u w:val="single"/>
                <w:lang w:val="en-US" w:eastAsia="zh-CN"/>
              </w:rPr>
              <w:t>6</w:t>
            </w:r>
            <w:r>
              <w:rPr>
                <w:spacing w:val="-6"/>
                <w:u w:val="single"/>
              </w:rPr>
              <w:t>g。</w:t>
            </w:r>
          </w:p>
          <w:p>
            <w:pPr>
              <w:adjustRightInd w:val="0"/>
              <w:ind w:firstLine="456" w:firstLineChars="200"/>
              <w:rPr>
                <w:spacing w:val="-6"/>
                <w:u w:val="single"/>
              </w:rPr>
            </w:pPr>
            <w:r>
              <w:rPr>
                <w:spacing w:val="-6"/>
                <w:u w:val="single"/>
              </w:rPr>
              <w:t>项目运送原料量</w:t>
            </w:r>
            <w:r>
              <w:rPr>
                <w:rFonts w:hint="eastAsia"/>
                <w:spacing w:val="-6"/>
                <w:u w:val="single"/>
                <w:lang w:val="en-US" w:eastAsia="zh-CN"/>
              </w:rPr>
              <w:t>1250000</w:t>
            </w:r>
            <w:r>
              <w:rPr>
                <w:spacing w:val="-6"/>
                <w:u w:val="single"/>
              </w:rPr>
              <w:t>t/a，按照每车</w:t>
            </w:r>
            <w:r>
              <w:rPr>
                <w:rFonts w:hint="eastAsia"/>
                <w:spacing w:val="-6"/>
                <w:u w:val="single"/>
                <w:lang w:val="en-US" w:eastAsia="zh-CN"/>
              </w:rPr>
              <w:t>35</w:t>
            </w:r>
            <w:r>
              <w:rPr>
                <w:spacing w:val="-6"/>
                <w:u w:val="single"/>
              </w:rPr>
              <w:t>吨装载量计算，约</w:t>
            </w:r>
            <w:r>
              <w:rPr>
                <w:rFonts w:hint="eastAsia"/>
                <w:spacing w:val="-6"/>
                <w:u w:val="single"/>
              </w:rPr>
              <w:t>344828</w:t>
            </w:r>
            <w:r>
              <w:rPr>
                <w:spacing w:val="-6"/>
                <w:u w:val="single"/>
              </w:rPr>
              <w:t>辆(次)/a，则卸料粉尘产生量约为</w:t>
            </w:r>
            <w:r>
              <w:rPr>
                <w:rFonts w:hint="eastAsia"/>
                <w:spacing w:val="-6"/>
                <w:u w:val="single"/>
              </w:rPr>
              <w:t>0.</w:t>
            </w:r>
            <w:r>
              <w:rPr>
                <w:rFonts w:hint="eastAsia"/>
                <w:spacing w:val="-6"/>
                <w:u w:val="single"/>
                <w:lang w:val="en-US" w:eastAsia="zh-CN"/>
              </w:rPr>
              <w:t>027</w:t>
            </w:r>
            <w:r>
              <w:rPr>
                <w:spacing w:val="-6"/>
                <w:u w:val="single"/>
              </w:rPr>
              <w:t>t/a</w:t>
            </w:r>
            <w:r>
              <w:rPr>
                <w:rFonts w:hint="eastAsia"/>
                <w:spacing w:val="-6"/>
                <w:u w:val="single"/>
              </w:rPr>
              <w:t>，</w:t>
            </w:r>
            <w:r>
              <w:rPr>
                <w:rFonts w:eastAsia="Calibri"/>
                <w:u w:val="single"/>
              </w:rPr>
              <w:t>在装卸过程中，加强洒水防尘力度、避开大风天气卸车等措施后，可有效降尘</w:t>
            </w:r>
            <w:r>
              <w:rPr>
                <w:rFonts w:hint="eastAsia" w:eastAsia="宋体"/>
                <w:u w:val="single"/>
                <w:lang w:val="en-US" w:eastAsia="zh-CN"/>
              </w:rPr>
              <w:t>50</w:t>
            </w:r>
            <w:r>
              <w:rPr>
                <w:rFonts w:eastAsia="Calibri"/>
                <w:u w:val="single"/>
              </w:rPr>
              <w:t>%，</w:t>
            </w:r>
            <w:r>
              <w:rPr>
                <w:rFonts w:hint="eastAsia"/>
                <w:u w:val="single"/>
              </w:rPr>
              <w:t>则</w:t>
            </w:r>
            <w:r>
              <w:rPr>
                <w:spacing w:val="-6"/>
                <w:u w:val="single"/>
              </w:rPr>
              <w:t>粉尘排放量为</w:t>
            </w:r>
            <w:r>
              <w:rPr>
                <w:rFonts w:hint="eastAsia"/>
                <w:spacing w:val="-6"/>
                <w:u w:val="single"/>
              </w:rPr>
              <w:t>0.</w:t>
            </w:r>
            <w:r>
              <w:rPr>
                <w:rFonts w:hint="eastAsia"/>
                <w:spacing w:val="-6"/>
                <w:u w:val="single"/>
                <w:lang w:val="en-US" w:eastAsia="zh-CN"/>
              </w:rPr>
              <w:t>014</w:t>
            </w:r>
            <w:r>
              <w:rPr>
                <w:spacing w:val="-6"/>
                <w:u w:val="single"/>
              </w:rPr>
              <w:t>t/a。</w:t>
            </w:r>
          </w:p>
          <w:p>
            <w:pPr>
              <w:adjustRightInd w:val="0"/>
              <w:ind w:firstLine="456" w:firstLineChars="200"/>
              <w:rPr>
                <w:spacing w:val="-6"/>
              </w:rPr>
            </w:pPr>
            <w:r>
              <w:rPr>
                <w:spacing w:val="-6"/>
                <w:u w:val="single"/>
              </w:rPr>
              <w:t>综上，项目原料装卸过程粉尘的排放量为0.</w:t>
            </w:r>
            <w:r>
              <w:rPr>
                <w:rFonts w:hint="eastAsia"/>
                <w:spacing w:val="-6"/>
                <w:u w:val="single"/>
                <w:lang w:val="en-US" w:eastAsia="zh-CN"/>
              </w:rPr>
              <w:t>244</w:t>
            </w:r>
            <w:r>
              <w:rPr>
                <w:rFonts w:hint="eastAsia"/>
                <w:spacing w:val="-6"/>
                <w:u w:val="single"/>
              </w:rPr>
              <w:t>t</w:t>
            </w:r>
            <w:r>
              <w:rPr>
                <w:spacing w:val="-6"/>
                <w:u w:val="single"/>
              </w:rPr>
              <w:t>/a</w:t>
            </w:r>
            <w:r>
              <w:rPr>
                <w:rFonts w:hint="eastAsia"/>
                <w:spacing w:val="-6"/>
                <w:u w:val="single"/>
              </w:rPr>
              <w:t>(0.</w:t>
            </w:r>
            <w:r>
              <w:rPr>
                <w:rFonts w:hint="eastAsia"/>
                <w:spacing w:val="-6"/>
                <w:u w:val="single"/>
                <w:lang w:val="en-US" w:eastAsia="zh-CN"/>
              </w:rPr>
              <w:t>068</w:t>
            </w:r>
            <w:r>
              <w:rPr>
                <w:rFonts w:hint="eastAsia"/>
                <w:spacing w:val="-6"/>
                <w:u w:val="single"/>
                <w:lang w:val="de-DE"/>
              </w:rPr>
              <w:t>kg/h</w:t>
            </w:r>
            <w:r>
              <w:rPr>
                <w:rFonts w:hint="eastAsia"/>
                <w:spacing w:val="-6"/>
                <w:u w:val="single"/>
              </w:rPr>
              <w:t>)，为无组织排放</w:t>
            </w:r>
            <w:r>
              <w:rPr>
                <w:spacing w:val="-6"/>
                <w:u w:val="single"/>
              </w:rPr>
              <w:t>。</w:t>
            </w:r>
          </w:p>
          <w:p>
            <w:pPr>
              <w:adjustRightInd w:val="0"/>
              <w:ind w:firstLine="456" w:firstLineChars="200"/>
              <w:rPr>
                <w:spacing w:val="-6"/>
              </w:rPr>
            </w:pPr>
            <w:r>
              <w:rPr>
                <w:spacing w:val="-6"/>
              </w:rPr>
              <w:t>（3）运输车辆扬尘</w:t>
            </w:r>
          </w:p>
          <w:p>
            <w:pPr>
              <w:adjustRightInd w:val="0"/>
              <w:ind w:firstLine="480" w:firstLineChars="200"/>
            </w:pPr>
            <w:r>
              <w:t>车辆行驶产生的扬尘，其强度与路面种类、季节干湿以及汽车运行速度等因素有关。在道路完全干燥的情况下，采用经验公式对道路扬尘的产生量进行估算（出自《大气环境影响评价实用技术》王栋成主编，中国标准出版社，2010年版）：</w:t>
            </w:r>
          </w:p>
          <w:p>
            <w:pPr>
              <w:adjustRightInd w:val="0"/>
              <w:snapToGrid w:val="0"/>
              <w:spacing w:line="240" w:lineRule="auto"/>
              <w:jc w:val="center"/>
            </w:pPr>
            <w:r>
              <w:rPr>
                <w:position w:val="-10"/>
              </w:rPr>
              <w:object>
                <v:shape id="_x0000_i1025" o:spt="75" type="#_x0000_t75" style="height:18pt;width:126.75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p>
          <w:p>
            <w:pPr>
              <w:adjustRightInd w:val="0"/>
              <w:ind w:firstLine="480" w:firstLineChars="200"/>
            </w:pPr>
            <w:r>
              <w:t>式中：</w:t>
            </w:r>
          </w:p>
          <w:p>
            <w:pPr>
              <w:adjustRightInd w:val="0"/>
              <w:ind w:firstLine="960" w:firstLineChars="400"/>
            </w:pPr>
            <w:r>
              <w:t>Q</w:t>
            </w:r>
            <w:r>
              <w:rPr>
                <w:vertAlign w:val="subscript"/>
              </w:rPr>
              <w:t>i</w:t>
            </w:r>
            <w:r>
              <w:t>——每辆汽车行驶扬尘量（kg/km·辆）；</w:t>
            </w:r>
          </w:p>
          <w:p>
            <w:pPr>
              <w:adjustRightInd w:val="0"/>
              <w:ind w:firstLine="960" w:firstLineChars="400"/>
            </w:pPr>
            <w:r>
              <w:t>v——汽车速度（km/h）；</w:t>
            </w:r>
          </w:p>
          <w:p>
            <w:pPr>
              <w:adjustRightInd w:val="0"/>
              <w:ind w:firstLine="960" w:firstLineChars="400"/>
            </w:pPr>
            <w:r>
              <w:t>w——汽车重量（t）；</w:t>
            </w:r>
          </w:p>
          <w:p>
            <w:pPr>
              <w:adjustRightInd w:val="0"/>
              <w:ind w:firstLine="960" w:firstLineChars="400"/>
            </w:pPr>
            <w:r>
              <w:t>p——道路表面粉尘量（kg/m</w:t>
            </w:r>
            <w:r>
              <w:rPr>
                <w:vertAlign w:val="superscript"/>
              </w:rPr>
              <w:t>2</w:t>
            </w:r>
            <w:r>
              <w:t>·辆），本评价取0.2kg/m</w:t>
            </w:r>
            <w:r>
              <w:rPr>
                <w:vertAlign w:val="superscript"/>
              </w:rPr>
              <w:t>2</w:t>
            </w:r>
            <w:r>
              <w:t>·辆。</w:t>
            </w:r>
          </w:p>
          <w:p>
            <w:pPr>
              <w:autoSpaceDE/>
              <w:autoSpaceDN/>
              <w:adjustRightInd w:val="0"/>
              <w:ind w:firstLine="480" w:firstLineChars="200"/>
              <w:jc w:val="both"/>
              <w:rPr>
                <w:bCs/>
              </w:rPr>
            </w:pPr>
            <w:r>
              <w:rPr>
                <w:bCs/>
                <w:u w:val="single"/>
              </w:rPr>
              <w:t>本项目运输扬尘主要为原料运输进厂区及产品运输出外界</w:t>
            </w:r>
            <w:r>
              <w:rPr>
                <w:rFonts w:hint="eastAsia"/>
                <w:bCs/>
                <w:u w:val="single"/>
                <w:lang w:eastAsia="zh-CN"/>
              </w:rPr>
              <w:t>时</w:t>
            </w:r>
            <w:r>
              <w:rPr>
                <w:bCs/>
                <w:u w:val="single"/>
              </w:rPr>
              <w:t>产生的扬尘，原料运输量为</w:t>
            </w:r>
            <w:r>
              <w:rPr>
                <w:rFonts w:hint="eastAsia"/>
                <w:spacing w:val="-6"/>
                <w:u w:val="single"/>
                <w:lang w:val="en-US" w:eastAsia="zh-CN"/>
              </w:rPr>
              <w:t>1250000</w:t>
            </w:r>
            <w:r>
              <w:rPr>
                <w:bCs/>
                <w:u w:val="single"/>
              </w:rPr>
              <w:t>t/a；项目产品运输量为</w:t>
            </w:r>
            <w:r>
              <w:rPr>
                <w:rFonts w:hint="eastAsia"/>
                <w:bCs/>
                <w:u w:val="single"/>
              </w:rPr>
              <w:t>120</w:t>
            </w:r>
            <w:r>
              <w:rPr>
                <w:bCs/>
                <w:u w:val="single"/>
              </w:rPr>
              <w:t>万t/a。</w:t>
            </w:r>
            <w:r>
              <w:rPr>
                <w:u w:val="single"/>
              </w:rPr>
              <w:t>运输车装载量按平均</w:t>
            </w:r>
            <w:r>
              <w:rPr>
                <w:rFonts w:hint="eastAsia"/>
                <w:u w:val="single"/>
                <w:lang w:val="en-US" w:eastAsia="zh-CN"/>
              </w:rPr>
              <w:t>35</w:t>
            </w:r>
            <w:r>
              <w:rPr>
                <w:u w:val="single"/>
              </w:rPr>
              <w:t>t/车计</w:t>
            </w:r>
            <w:r>
              <w:rPr>
                <w:bCs/>
                <w:u w:val="single"/>
              </w:rPr>
              <w:t>，原料年平均需卡车运输</w:t>
            </w:r>
            <w:r>
              <w:rPr>
                <w:rFonts w:hint="eastAsia"/>
                <w:spacing w:val="-6"/>
                <w:u w:val="single"/>
              </w:rPr>
              <w:t>6</w:t>
            </w:r>
            <w:r>
              <w:rPr>
                <w:rFonts w:hint="eastAsia"/>
                <w:spacing w:val="-6"/>
                <w:u w:val="single"/>
                <w:lang w:val="en-US" w:eastAsia="zh-CN"/>
              </w:rPr>
              <w:t>2500</w:t>
            </w:r>
            <w:r>
              <w:rPr>
                <w:bCs/>
                <w:u w:val="single"/>
              </w:rPr>
              <w:t>辆次，即空载和满载车流量均为</w:t>
            </w:r>
            <w:r>
              <w:rPr>
                <w:rFonts w:hint="eastAsia"/>
                <w:spacing w:val="-6"/>
                <w:u w:val="single"/>
              </w:rPr>
              <w:t>6</w:t>
            </w:r>
            <w:r>
              <w:rPr>
                <w:rFonts w:hint="eastAsia"/>
                <w:spacing w:val="-6"/>
                <w:u w:val="single"/>
                <w:lang w:val="en-US" w:eastAsia="zh-CN"/>
              </w:rPr>
              <w:t>2500</w:t>
            </w:r>
            <w:r>
              <w:rPr>
                <w:bCs/>
                <w:u w:val="single"/>
              </w:rPr>
              <w:t>辆次；产品年平均需卡车运输</w:t>
            </w:r>
            <w:r>
              <w:rPr>
                <w:rFonts w:hint="eastAsia"/>
                <w:bCs/>
                <w:u w:val="single"/>
              </w:rPr>
              <w:t>6</w:t>
            </w:r>
            <w:r>
              <w:rPr>
                <w:bCs/>
                <w:u w:val="single"/>
              </w:rPr>
              <w:t>000</w:t>
            </w:r>
            <w:r>
              <w:rPr>
                <w:rFonts w:hint="eastAsia"/>
                <w:bCs/>
                <w:u w:val="single"/>
              </w:rPr>
              <w:t>0</w:t>
            </w:r>
            <w:r>
              <w:rPr>
                <w:bCs/>
                <w:u w:val="single"/>
              </w:rPr>
              <w:t>辆次，即空载和满载车流量均为</w:t>
            </w:r>
            <w:r>
              <w:rPr>
                <w:rFonts w:hint="eastAsia"/>
                <w:bCs/>
                <w:u w:val="single"/>
              </w:rPr>
              <w:t>6</w:t>
            </w:r>
            <w:r>
              <w:rPr>
                <w:bCs/>
                <w:u w:val="single"/>
              </w:rPr>
              <w:t>000</w:t>
            </w:r>
            <w:r>
              <w:rPr>
                <w:rFonts w:hint="eastAsia"/>
                <w:bCs/>
                <w:u w:val="single"/>
              </w:rPr>
              <w:t>0</w:t>
            </w:r>
            <w:r>
              <w:rPr>
                <w:bCs/>
                <w:u w:val="single"/>
              </w:rPr>
              <w:t>辆次。载重卡车满载时重约</w:t>
            </w:r>
            <w:r>
              <w:rPr>
                <w:rFonts w:hint="eastAsia"/>
                <w:bCs/>
                <w:u w:val="single"/>
                <w:lang w:val="en-US" w:eastAsia="zh-CN"/>
              </w:rPr>
              <w:t>45</w:t>
            </w:r>
            <w:r>
              <w:rPr>
                <w:bCs/>
                <w:u w:val="single"/>
              </w:rPr>
              <w:t>t，空载时空车重约</w:t>
            </w:r>
            <w:r>
              <w:rPr>
                <w:rFonts w:hint="eastAsia"/>
                <w:bCs/>
                <w:u w:val="single"/>
                <w:lang w:val="en-US" w:eastAsia="zh-CN"/>
              </w:rPr>
              <w:t>20</w:t>
            </w:r>
            <w:r>
              <w:rPr>
                <w:bCs/>
                <w:u w:val="single"/>
              </w:rPr>
              <w:t>t，汽车行驶速度按5km/h计，</w:t>
            </w:r>
            <w:r>
              <w:rPr>
                <w:u w:val="single"/>
              </w:rPr>
              <w:t>车辆在厂区内行驶距离按0.1km/辆次</w:t>
            </w:r>
            <w:r>
              <w:rPr>
                <w:bCs/>
                <w:u w:val="single"/>
              </w:rPr>
              <w:t>。则汽车行驶扬尘量为：空载车0.00878kg</w:t>
            </w:r>
            <w:r>
              <w:rPr>
                <w:b/>
                <w:u w:val="single"/>
              </w:rPr>
              <w:t>/</w:t>
            </w:r>
            <w:r>
              <w:rPr>
                <w:bCs/>
                <w:u w:val="single"/>
              </w:rPr>
              <w:t>辆，满载车0.0223kg/辆。经计算，汽车运输扬尘总</w:t>
            </w:r>
            <w:r>
              <w:rPr>
                <w:rFonts w:hint="eastAsia"/>
                <w:bCs/>
                <w:u w:val="single"/>
                <w:lang w:eastAsia="zh-CN"/>
              </w:rPr>
              <w:t>产生</w:t>
            </w:r>
            <w:r>
              <w:rPr>
                <w:bCs/>
                <w:u w:val="single"/>
              </w:rPr>
              <w:t>量为</w:t>
            </w:r>
            <w:r>
              <w:rPr>
                <w:rFonts w:hint="eastAsia"/>
                <w:bCs/>
                <w:u w:val="single"/>
                <w:lang w:val="en-US" w:eastAsia="zh-CN"/>
              </w:rPr>
              <w:t>2.18</w:t>
            </w:r>
            <w:r>
              <w:rPr>
                <w:bCs/>
                <w:u w:val="single"/>
              </w:rPr>
              <w:t>t/a。</w:t>
            </w:r>
          </w:p>
          <w:p>
            <w:pPr>
              <w:adjustRightInd w:val="0"/>
              <w:ind w:firstLine="480" w:firstLineChars="200"/>
              <w:rPr>
                <w:bCs/>
                <w:u w:val="single"/>
              </w:rPr>
            </w:pPr>
            <w:r>
              <w:rPr>
                <w:bCs/>
                <w:u w:val="single"/>
              </w:rPr>
              <w:t>项目采取以下措施降低道路扬尘：</w:t>
            </w:r>
          </w:p>
          <w:p>
            <w:pPr>
              <w:adjustRightInd w:val="0"/>
              <w:ind w:firstLine="480" w:firstLineChars="200"/>
              <w:rPr>
                <w:bCs/>
                <w:u w:val="single"/>
              </w:rPr>
            </w:pPr>
            <w:r>
              <w:rPr>
                <w:bCs/>
                <w:u w:val="single"/>
              </w:rPr>
              <w:t>1）车辆在行驶过程中必须控制车速，减速慢行，减少扬尘。</w:t>
            </w:r>
          </w:p>
          <w:p>
            <w:pPr>
              <w:adjustRightInd w:val="0"/>
              <w:ind w:firstLine="480" w:firstLineChars="200"/>
              <w:rPr>
                <w:bCs/>
                <w:u w:val="single"/>
              </w:rPr>
            </w:pPr>
            <w:r>
              <w:rPr>
                <w:bCs/>
                <w:u w:val="single"/>
              </w:rPr>
              <w:t>2）采用洒水车对厂区道路进行洒水，每天洒水4次以上，使运输道路的路面保持湿润，确保运输车辆通过时基本不产生可视的扬尘。</w:t>
            </w:r>
          </w:p>
          <w:p>
            <w:pPr>
              <w:adjustRightInd w:val="0"/>
              <w:ind w:firstLine="480" w:firstLineChars="200"/>
              <w:rPr>
                <w:bCs/>
                <w:u w:val="single"/>
              </w:rPr>
            </w:pPr>
            <w:r>
              <w:rPr>
                <w:bCs/>
                <w:u w:val="single"/>
              </w:rPr>
              <w:t>3）运输车辆在进出厂区时必须进行加盖篷布，</w:t>
            </w:r>
            <w:r>
              <w:rPr>
                <w:rFonts w:hint="eastAsia"/>
                <w:bCs/>
                <w:u w:val="single"/>
                <w:lang w:eastAsia="zh-CN"/>
              </w:rPr>
              <w:t>且要对车底进行冲洗，</w:t>
            </w:r>
            <w:r>
              <w:rPr>
                <w:bCs/>
                <w:u w:val="single"/>
              </w:rPr>
              <w:t>以保证运输途中能够减少物料表面扬尘。</w:t>
            </w:r>
          </w:p>
          <w:p>
            <w:pPr>
              <w:autoSpaceDE w:val="0"/>
              <w:autoSpaceDN w:val="0"/>
              <w:adjustRightInd w:val="0"/>
              <w:ind w:firstLine="480" w:firstLineChars="200"/>
              <w:jc w:val="left"/>
              <w:rPr>
                <w:bCs/>
              </w:rPr>
            </w:pPr>
            <w:r>
              <w:rPr>
                <w:bCs/>
                <w:u w:val="single"/>
              </w:rPr>
              <w:t>采取以上措施可减少运输扬尘量约80%，则运输扬尘排放量为0.</w:t>
            </w:r>
            <w:r>
              <w:rPr>
                <w:rFonts w:hint="eastAsia"/>
                <w:bCs/>
                <w:u w:val="single"/>
                <w:lang w:val="en-US" w:eastAsia="zh-CN"/>
              </w:rPr>
              <w:t>44</w:t>
            </w:r>
            <w:r>
              <w:rPr>
                <w:bCs/>
                <w:u w:val="single"/>
              </w:rPr>
              <w:t>t/a，</w:t>
            </w:r>
            <w:r>
              <w:rPr>
                <w:u w:val="single"/>
              </w:rPr>
              <w:t>工作时间以300天、每天</w:t>
            </w:r>
            <w:r>
              <w:rPr>
                <w:rFonts w:hint="eastAsia"/>
                <w:u w:val="single"/>
                <w:lang w:val="en-US" w:eastAsia="zh-CN"/>
              </w:rPr>
              <w:t>12</w:t>
            </w:r>
            <w:r>
              <w:rPr>
                <w:u w:val="single"/>
              </w:rPr>
              <w:t>小时计，则排放速率为0.</w:t>
            </w:r>
            <w:r>
              <w:rPr>
                <w:rFonts w:hint="eastAsia"/>
                <w:u w:val="single"/>
                <w:lang w:val="en-US" w:eastAsia="zh-CN"/>
              </w:rPr>
              <w:t>12</w:t>
            </w:r>
            <w:r>
              <w:rPr>
                <w:u w:val="single"/>
              </w:rPr>
              <w:t>kg/h，</w:t>
            </w:r>
            <w:r>
              <w:rPr>
                <w:szCs w:val="28"/>
                <w:u w:val="single"/>
              </w:rPr>
              <w:t>为无组织排放，</w:t>
            </w:r>
            <w:r>
              <w:rPr>
                <w:u w:val="single"/>
              </w:rPr>
              <w:t>对周边环境影响不大</w:t>
            </w:r>
            <w:r>
              <w:rPr>
                <w:bCs/>
                <w:u w:val="single"/>
              </w:rPr>
              <w:t>。</w:t>
            </w:r>
          </w:p>
          <w:p>
            <w:pPr>
              <w:pStyle w:val="42"/>
              <w:adjustRightInd/>
              <w:snapToGrid/>
              <w:spacing w:line="360" w:lineRule="auto"/>
              <w:ind w:firstLine="480" w:firstLineChars="200"/>
              <w:jc w:val="both"/>
            </w:pPr>
            <w:r>
              <w:t>（4）破碎、筛分</w:t>
            </w:r>
            <w:r>
              <w:rPr>
                <w:rFonts w:hint="eastAsia"/>
              </w:rPr>
              <w:t>、制砂</w:t>
            </w:r>
            <w:r>
              <w:t>粉尘</w:t>
            </w:r>
          </w:p>
          <w:p>
            <w:pPr>
              <w:ind w:firstLine="480" w:firstLineChars="200"/>
              <w:rPr>
                <w:u w:val="single"/>
              </w:rPr>
            </w:pPr>
            <w:r>
              <w:rPr>
                <w:rFonts w:hint="eastAsia"/>
                <w:u w:val="single"/>
              </w:rPr>
              <w:t>类比同类型项目，</w:t>
            </w:r>
            <w:r>
              <w:rPr>
                <w:u w:val="single"/>
              </w:rPr>
              <w:t>项目</w:t>
            </w:r>
            <w:r>
              <w:rPr>
                <w:rFonts w:hint="eastAsia"/>
                <w:u w:val="single"/>
              </w:rPr>
              <w:t>破碎、筛分、制砂等工序采用湿式作业，</w:t>
            </w:r>
            <w:r>
              <w:rPr>
                <w:rFonts w:hint="eastAsia"/>
                <w:u w:val="single"/>
                <w:lang w:eastAsia="zh-CN"/>
              </w:rPr>
              <w:t>且</w:t>
            </w:r>
            <w:r>
              <w:rPr>
                <w:rFonts w:hint="eastAsia"/>
                <w:sz w:val="24"/>
                <w:szCs w:val="24"/>
                <w:u w:val="single"/>
              </w:rPr>
              <w:t>对</w:t>
            </w:r>
            <w:r>
              <w:rPr>
                <w:rFonts w:hint="eastAsia"/>
                <w:sz w:val="24"/>
                <w:szCs w:val="24"/>
                <w:u w:val="single"/>
                <w:lang w:eastAsia="zh-CN"/>
              </w:rPr>
              <w:t>破碎工序</w:t>
            </w:r>
            <w:r>
              <w:rPr>
                <w:rFonts w:hint="eastAsia"/>
                <w:sz w:val="24"/>
                <w:szCs w:val="24"/>
                <w:u w:val="single"/>
              </w:rPr>
              <w:t>设置</w:t>
            </w:r>
            <w:r>
              <w:rPr>
                <w:rFonts w:hint="eastAsia"/>
                <w:sz w:val="24"/>
                <w:szCs w:val="24"/>
                <w:u w:val="single"/>
                <w:lang w:eastAsia="zh-CN"/>
              </w:rPr>
              <w:t>三面</w:t>
            </w:r>
            <w:r>
              <w:rPr>
                <w:rFonts w:hint="eastAsia"/>
                <w:sz w:val="24"/>
                <w:szCs w:val="24"/>
                <w:u w:val="single"/>
              </w:rPr>
              <w:t>围挡</w:t>
            </w:r>
            <w:r>
              <w:rPr>
                <w:rFonts w:hint="eastAsia"/>
                <w:sz w:val="24"/>
                <w:szCs w:val="24"/>
                <w:u w:val="single"/>
                <w:lang w:eastAsia="zh-CN"/>
              </w:rPr>
              <w:t>，</w:t>
            </w:r>
            <w:r>
              <w:rPr>
                <w:rFonts w:hint="eastAsia"/>
                <w:u w:val="single"/>
              </w:rPr>
              <w:t>粉尘产生量可忽略不计。</w:t>
            </w:r>
          </w:p>
          <w:p>
            <w:pPr>
              <w:autoSpaceDE w:val="0"/>
              <w:autoSpaceDN w:val="0"/>
              <w:adjustRightInd w:val="0"/>
              <w:ind w:firstLine="480" w:firstLineChars="200"/>
              <w:jc w:val="left"/>
              <w:rPr>
                <w:kern w:val="0"/>
              </w:rPr>
            </w:pPr>
            <w:r>
              <w:rPr>
                <w:kern w:val="0"/>
              </w:rPr>
              <w:t>（5）运输车辆尾气</w:t>
            </w:r>
          </w:p>
          <w:p>
            <w:pPr>
              <w:autoSpaceDE w:val="0"/>
              <w:autoSpaceDN w:val="0"/>
              <w:adjustRightInd w:val="0"/>
              <w:ind w:firstLine="480" w:firstLineChars="200"/>
              <w:jc w:val="left"/>
              <w:rPr>
                <w:color w:val="0000FF"/>
                <w:szCs w:val="28"/>
                <w:highlight w:val="green"/>
              </w:rPr>
            </w:pPr>
            <w:r>
              <w:rPr>
                <w:kern w:val="0"/>
              </w:rPr>
              <w:t>项目运输车辆尾气排放量不大，同时合理安排作业时间及车辆进场顺序及时间，周边无环境敏感点，因此本项目运营期运输车辆尾气对周围环境影响很小。</w:t>
            </w:r>
          </w:p>
          <w:p>
            <w:pPr>
              <w:ind w:firstLine="480" w:firstLineChars="200"/>
            </w:pPr>
            <w:r>
              <w:t>（6）食堂油烟</w:t>
            </w:r>
          </w:p>
          <w:p>
            <w:pPr>
              <w:ind w:firstLine="480" w:firstLineChars="200"/>
            </w:pPr>
            <w:r>
              <w:t>根据建设方提供的资料，本项目食堂每天用餐人次</w:t>
            </w:r>
            <w:r>
              <w:rPr>
                <w:rFonts w:hint="eastAsia"/>
              </w:rPr>
              <w:t>10</w:t>
            </w:r>
            <w:r>
              <w:t>人，每天使用2小时，以天然气为燃料。天然气属于清洁能源，产生的废气污染物很少。本项目产生的废气主要是厨房油烟废气，其主要成分是动植物油烟。据统计，目前居民人均食用油日用量约30g/人·d，则食堂食用油总用量为</w:t>
            </w:r>
            <w:r>
              <w:rPr>
                <w:rFonts w:hint="eastAsia"/>
              </w:rPr>
              <w:t>0.3</w:t>
            </w:r>
            <w:r>
              <w:t>kg/d（</w:t>
            </w:r>
            <w:r>
              <w:rPr>
                <w:rFonts w:hint="eastAsia"/>
              </w:rPr>
              <w:t>90</w:t>
            </w:r>
            <w:r>
              <w:t>kg/a）。一般油烟挥发量占总耗油量的2-4%，平均为2.83%，则食堂油烟产生量为</w:t>
            </w:r>
            <w:r>
              <w:rPr>
                <w:rFonts w:hint="eastAsia"/>
              </w:rPr>
              <w:t>2.547</w:t>
            </w:r>
            <w:r>
              <w:t>kg/a，项目</w:t>
            </w:r>
            <w:r>
              <w:rPr>
                <w:rFonts w:hint="eastAsia"/>
                <w:lang w:val="en-US" w:eastAsia="zh-CN"/>
              </w:rPr>
              <w:t>设</w:t>
            </w:r>
            <w:r>
              <w:rPr>
                <w:rFonts w:hint="eastAsia"/>
              </w:rPr>
              <w:t>1</w:t>
            </w:r>
            <w:r>
              <w:t>个基准灶头，属小型规模，一个基准灶头的风量为3000m</w:t>
            </w:r>
            <w:r>
              <w:rPr>
                <w:vertAlign w:val="superscript"/>
              </w:rPr>
              <w:t>3</w:t>
            </w:r>
            <w:r>
              <w:t>/h，产生速率为</w:t>
            </w:r>
            <w:r>
              <w:rPr>
                <w:rFonts w:hint="eastAsia"/>
              </w:rPr>
              <w:t>0.001</w:t>
            </w:r>
            <w:r>
              <w:t>kg/h，产生浓度为</w:t>
            </w:r>
            <w:r>
              <w:rPr>
                <w:rFonts w:hint="eastAsia"/>
              </w:rPr>
              <w:t>0.35</w:t>
            </w:r>
            <w:r>
              <w:t>mg/m</w:t>
            </w:r>
            <w:r>
              <w:rPr>
                <w:vertAlign w:val="superscript"/>
              </w:rPr>
              <w:t>3</w:t>
            </w:r>
            <w:r>
              <w:t>。油烟废气收集后经油烟净化器处理达标后引至楼顶排放，油烟净化器处理效率不得低于85%（按85%计），则油烟排放量可降低至</w:t>
            </w:r>
            <w:r>
              <w:rPr>
                <w:rFonts w:hint="eastAsia"/>
              </w:rPr>
              <w:t>0.382</w:t>
            </w:r>
            <w:r>
              <w:t>kg/a，排放浓度0.</w:t>
            </w:r>
            <w:r>
              <w:rPr>
                <w:rFonts w:hint="eastAsia"/>
              </w:rPr>
              <w:t>0</w:t>
            </w:r>
            <w:r>
              <w:t>7mg/m</w:t>
            </w:r>
            <w:r>
              <w:rPr>
                <w:vertAlign w:val="superscript"/>
              </w:rPr>
              <w:t>3</w:t>
            </w:r>
            <w:r>
              <w:t>，排放限值为2mg/m</w:t>
            </w:r>
            <w:r>
              <w:rPr>
                <w:vertAlign w:val="superscript"/>
              </w:rPr>
              <w:t>3</w:t>
            </w:r>
            <w:r>
              <w:t>，达到《饮食业油烟排放标准》（试行）（GB18483-2001）的要求。</w:t>
            </w:r>
          </w:p>
          <w:p>
            <w:pPr>
              <w:pStyle w:val="18"/>
              <w:tabs>
                <w:tab w:val="right" w:leader="dot" w:pos="8949"/>
              </w:tabs>
              <w:spacing w:after="0" w:line="360" w:lineRule="auto"/>
              <w:ind w:left="482"/>
              <w:rPr>
                <w:rFonts w:ascii="Times New Roman" w:hAnsi="Times New Roman"/>
                <w:kern w:val="2"/>
                <w:sz w:val="24"/>
                <w:szCs w:val="24"/>
              </w:rPr>
            </w:pPr>
            <w:bookmarkStart w:id="76" w:name="_Toc13357"/>
            <w:bookmarkStart w:id="77" w:name="_Toc68160388"/>
            <w:r>
              <w:rPr>
                <w:rFonts w:ascii="Times New Roman" w:hAnsi="Times New Roman"/>
                <w:kern w:val="2"/>
                <w:sz w:val="24"/>
                <w:szCs w:val="24"/>
              </w:rPr>
              <w:t>项目废气排放口基本情况一览表如下：</w:t>
            </w:r>
          </w:p>
          <w:p>
            <w:pPr>
              <w:pStyle w:val="42"/>
              <w:spacing w:line="240" w:lineRule="auto"/>
              <w:ind w:firstLine="421" w:firstLineChars="200"/>
              <w:jc w:val="center"/>
              <w:rPr>
                <w:b/>
                <w:sz w:val="21"/>
                <w:szCs w:val="18"/>
              </w:rPr>
            </w:pPr>
            <w:r>
              <w:rPr>
                <w:b/>
                <w:sz w:val="21"/>
                <w:szCs w:val="18"/>
              </w:rPr>
              <w:t>表4-</w:t>
            </w:r>
            <w:r>
              <w:rPr>
                <w:rFonts w:hint="eastAsia"/>
                <w:b/>
                <w:sz w:val="21"/>
                <w:szCs w:val="18"/>
                <w:lang w:val="en-US" w:eastAsia="zh-CN"/>
              </w:rPr>
              <w:t>2</w:t>
            </w:r>
            <w:r>
              <w:rPr>
                <w:b/>
                <w:sz w:val="21"/>
                <w:szCs w:val="18"/>
              </w:rPr>
              <w:t xml:space="preserve">  </w:t>
            </w:r>
            <w:r>
              <w:rPr>
                <w:b/>
                <w:bCs/>
                <w:spacing w:val="-10"/>
                <w:sz w:val="21"/>
                <w:szCs w:val="18"/>
              </w:rPr>
              <w:t xml:space="preserve"> 废气污染源排放源排放</w:t>
            </w:r>
            <w:r>
              <w:rPr>
                <w:b/>
                <w:sz w:val="21"/>
                <w:szCs w:val="18"/>
              </w:rPr>
              <w:t>一览表</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3"/>
              <w:gridCol w:w="676"/>
              <w:gridCol w:w="392"/>
              <w:gridCol w:w="436"/>
              <w:gridCol w:w="440"/>
              <w:gridCol w:w="821"/>
              <w:gridCol w:w="606"/>
              <w:gridCol w:w="890"/>
              <w:gridCol w:w="657"/>
              <w:gridCol w:w="493"/>
              <w:gridCol w:w="576"/>
              <w:gridCol w:w="562"/>
              <w:gridCol w:w="620"/>
              <w:gridCol w:w="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195" w:type="pct"/>
                  <w:vMerge w:val="restart"/>
                  <w:tcBorders>
                    <w:top w:val="single" w:color="auto" w:sz="4" w:space="0"/>
                    <w:left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排气筒</w:t>
                  </w:r>
                </w:p>
              </w:tc>
              <w:tc>
                <w:tcPr>
                  <w:tcW w:w="433" w:type="pct"/>
                  <w:vMerge w:val="restart"/>
                  <w:tcBorders>
                    <w:top w:val="single" w:color="auto" w:sz="4" w:space="0"/>
                    <w:left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产排</w:t>
                  </w:r>
                </w:p>
                <w:p>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污</w:t>
                  </w:r>
                </w:p>
                <w:p>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环</w:t>
                  </w:r>
                </w:p>
                <w:p>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节</w:t>
                  </w:r>
                </w:p>
              </w:tc>
              <w:tc>
                <w:tcPr>
                  <w:tcW w:w="251" w:type="pct"/>
                  <w:vMerge w:val="restart"/>
                  <w:tcBorders>
                    <w:top w:val="single" w:color="auto" w:sz="4" w:space="0"/>
                    <w:left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污</w:t>
                  </w:r>
                </w:p>
                <w:p>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染</w:t>
                  </w:r>
                </w:p>
                <w:p>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物</w:t>
                  </w:r>
                </w:p>
              </w:tc>
              <w:tc>
                <w:tcPr>
                  <w:tcW w:w="279" w:type="pct"/>
                  <w:vMerge w:val="restart"/>
                  <w:tcBorders>
                    <w:top w:val="single" w:color="auto" w:sz="4" w:space="0"/>
                    <w:left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排</w:t>
                  </w:r>
                </w:p>
                <w:p>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放</w:t>
                  </w:r>
                </w:p>
                <w:p>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方</w:t>
                  </w:r>
                </w:p>
                <w:p>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式</w:t>
                  </w:r>
                </w:p>
              </w:tc>
              <w:tc>
                <w:tcPr>
                  <w:tcW w:w="1766" w:type="pct"/>
                  <w:gridSpan w:val="4"/>
                  <w:tcBorders>
                    <w:top w:val="single" w:color="auto" w:sz="4" w:space="0"/>
                    <w:left w:val="single" w:color="auto" w:sz="4" w:space="0"/>
                    <w:bottom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污染物产生情况</w:t>
                  </w:r>
                </w:p>
              </w:tc>
              <w:tc>
                <w:tcPr>
                  <w:tcW w:w="737" w:type="pct"/>
                  <w:gridSpan w:val="2"/>
                  <w:tcBorders>
                    <w:top w:val="single" w:color="auto" w:sz="4" w:space="0"/>
                    <w:left w:val="single" w:color="auto" w:sz="4" w:space="0"/>
                    <w:bottom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治理设施</w:t>
                  </w:r>
                </w:p>
              </w:tc>
              <w:tc>
                <w:tcPr>
                  <w:tcW w:w="1126" w:type="pct"/>
                  <w:gridSpan w:val="3"/>
                  <w:tcBorders>
                    <w:top w:val="single" w:color="auto" w:sz="4" w:space="0"/>
                    <w:left w:val="single" w:color="auto" w:sz="4" w:space="0"/>
                    <w:bottom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污染物排放情况</w:t>
                  </w:r>
                </w:p>
              </w:tc>
              <w:tc>
                <w:tcPr>
                  <w:tcW w:w="210" w:type="pct"/>
                  <w:vMerge w:val="restart"/>
                  <w:tcBorders>
                    <w:top w:val="single" w:color="auto" w:sz="4" w:space="0"/>
                    <w:left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排放时间h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95" w:type="pct"/>
                  <w:vMerge w:val="continue"/>
                  <w:tcBorders>
                    <w:left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snapToGrid w:val="0"/>
                      <w:spacing w:val="4"/>
                      <w:sz w:val="21"/>
                      <w:szCs w:val="21"/>
                    </w:rPr>
                  </w:pPr>
                </w:p>
              </w:tc>
              <w:tc>
                <w:tcPr>
                  <w:tcW w:w="433" w:type="pct"/>
                  <w:vMerge w:val="continue"/>
                  <w:tcBorders>
                    <w:left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snapToGrid w:val="0"/>
                      <w:spacing w:val="4"/>
                      <w:sz w:val="21"/>
                      <w:szCs w:val="21"/>
                    </w:rPr>
                  </w:pPr>
                </w:p>
              </w:tc>
              <w:tc>
                <w:tcPr>
                  <w:tcW w:w="251" w:type="pct"/>
                  <w:vMerge w:val="continue"/>
                  <w:tcBorders>
                    <w:left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snapToGrid w:val="0"/>
                      <w:spacing w:val="4"/>
                      <w:sz w:val="21"/>
                      <w:szCs w:val="21"/>
                    </w:rPr>
                  </w:pPr>
                </w:p>
              </w:tc>
              <w:tc>
                <w:tcPr>
                  <w:tcW w:w="279" w:type="pct"/>
                  <w:vMerge w:val="continue"/>
                  <w:tcBorders>
                    <w:left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snapToGrid w:val="0"/>
                      <w:spacing w:val="4"/>
                      <w:sz w:val="21"/>
                      <w:szCs w:val="21"/>
                    </w:rPr>
                  </w:pPr>
                </w:p>
              </w:tc>
              <w:tc>
                <w:tcPr>
                  <w:tcW w:w="282" w:type="pct"/>
                  <w:tcBorders>
                    <w:top w:val="single" w:color="auto" w:sz="4" w:space="0"/>
                    <w:left w:val="single" w:color="auto" w:sz="4" w:space="0"/>
                    <w:bottom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核</w:t>
                  </w:r>
                </w:p>
                <w:p>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算</w:t>
                  </w:r>
                </w:p>
                <w:p>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方</w:t>
                  </w:r>
                </w:p>
                <w:p>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法</w:t>
                  </w:r>
                </w:p>
              </w:tc>
              <w:tc>
                <w:tcPr>
                  <w:tcW w:w="526" w:type="pct"/>
                  <w:tcBorders>
                    <w:top w:val="single" w:color="auto" w:sz="4" w:space="0"/>
                    <w:left w:val="single" w:color="auto" w:sz="4" w:space="0"/>
                    <w:bottom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b/>
                      <w:snapToGrid w:val="0"/>
                      <w:spacing w:val="4"/>
                      <w:sz w:val="21"/>
                      <w:szCs w:val="21"/>
                    </w:rPr>
                  </w:pPr>
                  <w:r>
                    <w:rPr>
                      <w:rFonts w:hint="eastAsia"/>
                      <w:b/>
                      <w:snapToGrid w:val="0"/>
                      <w:spacing w:val="4"/>
                      <w:sz w:val="21"/>
                      <w:szCs w:val="21"/>
                    </w:rPr>
                    <w:t>产生</w:t>
                  </w:r>
                  <w:r>
                    <w:rPr>
                      <w:b/>
                      <w:snapToGrid w:val="0"/>
                      <w:spacing w:val="4"/>
                      <w:sz w:val="21"/>
                      <w:szCs w:val="21"/>
                    </w:rPr>
                    <w:t>量t/a</w:t>
                  </w:r>
                </w:p>
              </w:tc>
              <w:tc>
                <w:tcPr>
                  <w:tcW w:w="388" w:type="pct"/>
                  <w:tcBorders>
                    <w:top w:val="single" w:color="auto" w:sz="4" w:space="0"/>
                    <w:left w:val="single" w:color="auto" w:sz="4" w:space="0"/>
                    <w:bottom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b/>
                      <w:snapToGrid w:val="0"/>
                      <w:spacing w:val="4"/>
                      <w:sz w:val="21"/>
                      <w:szCs w:val="21"/>
                    </w:rPr>
                  </w:pPr>
                  <w:r>
                    <w:rPr>
                      <w:rFonts w:hint="eastAsia"/>
                      <w:b/>
                      <w:snapToGrid w:val="0"/>
                      <w:spacing w:val="4"/>
                      <w:sz w:val="21"/>
                      <w:szCs w:val="21"/>
                    </w:rPr>
                    <w:t>产生</w:t>
                  </w:r>
                  <w:r>
                    <w:rPr>
                      <w:b/>
                      <w:snapToGrid w:val="0"/>
                      <w:spacing w:val="4"/>
                      <w:sz w:val="21"/>
                      <w:szCs w:val="21"/>
                    </w:rPr>
                    <w:t>浓度</w:t>
                  </w:r>
                </w:p>
                <w:p>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mg/m³</w:t>
                  </w:r>
                </w:p>
              </w:tc>
              <w:tc>
                <w:tcPr>
                  <w:tcW w:w="569" w:type="pct"/>
                  <w:tcBorders>
                    <w:top w:val="single" w:color="auto" w:sz="4" w:space="0"/>
                    <w:left w:val="single" w:color="auto" w:sz="4" w:space="0"/>
                    <w:bottom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b/>
                      <w:snapToGrid w:val="0"/>
                      <w:spacing w:val="4"/>
                      <w:sz w:val="21"/>
                      <w:szCs w:val="21"/>
                    </w:rPr>
                  </w:pPr>
                  <w:r>
                    <w:rPr>
                      <w:rFonts w:hint="eastAsia"/>
                      <w:b/>
                      <w:snapToGrid w:val="0"/>
                      <w:spacing w:val="4"/>
                      <w:sz w:val="21"/>
                      <w:szCs w:val="21"/>
                    </w:rPr>
                    <w:t>产生</w:t>
                  </w:r>
                  <w:r>
                    <w:rPr>
                      <w:b/>
                      <w:snapToGrid w:val="0"/>
                      <w:spacing w:val="4"/>
                      <w:sz w:val="21"/>
                      <w:szCs w:val="21"/>
                    </w:rPr>
                    <w:t>速率</w:t>
                  </w:r>
                </w:p>
                <w:p>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kg/h</w:t>
                  </w:r>
                </w:p>
              </w:tc>
              <w:tc>
                <w:tcPr>
                  <w:tcW w:w="421" w:type="pct"/>
                  <w:tcBorders>
                    <w:top w:val="single" w:color="auto" w:sz="4" w:space="0"/>
                    <w:left w:val="single" w:color="auto" w:sz="4" w:space="0"/>
                    <w:bottom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工艺</w:t>
                  </w:r>
                </w:p>
              </w:tc>
              <w:tc>
                <w:tcPr>
                  <w:tcW w:w="316" w:type="pct"/>
                  <w:tcBorders>
                    <w:top w:val="single" w:color="auto" w:sz="4" w:space="0"/>
                    <w:left w:val="single" w:color="auto" w:sz="4" w:space="0"/>
                    <w:bottom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效率</w:t>
                  </w:r>
                </w:p>
                <w:p>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w:t>
                  </w:r>
                </w:p>
              </w:tc>
              <w:tc>
                <w:tcPr>
                  <w:tcW w:w="369" w:type="pct"/>
                  <w:tcBorders>
                    <w:top w:val="single" w:color="auto" w:sz="4" w:space="0"/>
                    <w:left w:val="single" w:color="auto" w:sz="4" w:space="0"/>
                    <w:bottom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b/>
                      <w:snapToGrid w:val="0"/>
                      <w:spacing w:val="4"/>
                      <w:sz w:val="21"/>
                      <w:szCs w:val="21"/>
                    </w:rPr>
                  </w:pPr>
                  <w:r>
                    <w:rPr>
                      <w:rFonts w:hint="eastAsia"/>
                      <w:b/>
                      <w:snapToGrid w:val="0"/>
                      <w:spacing w:val="4"/>
                      <w:sz w:val="21"/>
                      <w:szCs w:val="21"/>
                    </w:rPr>
                    <w:t>排放</w:t>
                  </w:r>
                  <w:r>
                    <w:rPr>
                      <w:b/>
                      <w:snapToGrid w:val="0"/>
                      <w:spacing w:val="4"/>
                      <w:sz w:val="21"/>
                      <w:szCs w:val="21"/>
                    </w:rPr>
                    <w:t>量t/a</w:t>
                  </w:r>
                </w:p>
              </w:tc>
              <w:tc>
                <w:tcPr>
                  <w:tcW w:w="360" w:type="pct"/>
                  <w:tcBorders>
                    <w:top w:val="single" w:color="auto" w:sz="4" w:space="0"/>
                    <w:left w:val="single" w:color="auto" w:sz="4" w:space="0"/>
                    <w:bottom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b/>
                      <w:snapToGrid w:val="0"/>
                      <w:spacing w:val="4"/>
                      <w:sz w:val="21"/>
                      <w:szCs w:val="21"/>
                    </w:rPr>
                  </w:pPr>
                  <w:r>
                    <w:rPr>
                      <w:rFonts w:hint="eastAsia"/>
                      <w:b/>
                      <w:snapToGrid w:val="0"/>
                      <w:spacing w:val="4"/>
                      <w:sz w:val="21"/>
                      <w:szCs w:val="21"/>
                    </w:rPr>
                    <w:t>排放</w:t>
                  </w:r>
                  <w:r>
                    <w:rPr>
                      <w:b/>
                      <w:snapToGrid w:val="0"/>
                      <w:spacing w:val="4"/>
                      <w:sz w:val="21"/>
                      <w:szCs w:val="21"/>
                    </w:rPr>
                    <w:t>浓度</w:t>
                  </w:r>
                </w:p>
                <w:p>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mg/m³</w:t>
                  </w:r>
                </w:p>
              </w:tc>
              <w:tc>
                <w:tcPr>
                  <w:tcW w:w="396" w:type="pct"/>
                  <w:tcBorders>
                    <w:top w:val="single" w:color="auto" w:sz="4" w:space="0"/>
                    <w:left w:val="single" w:color="auto" w:sz="4" w:space="0"/>
                    <w:bottom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b/>
                      <w:snapToGrid w:val="0"/>
                      <w:spacing w:val="4"/>
                      <w:sz w:val="21"/>
                      <w:szCs w:val="21"/>
                    </w:rPr>
                  </w:pPr>
                  <w:r>
                    <w:rPr>
                      <w:rFonts w:hint="eastAsia"/>
                      <w:b/>
                      <w:snapToGrid w:val="0"/>
                      <w:spacing w:val="4"/>
                      <w:sz w:val="21"/>
                      <w:szCs w:val="21"/>
                    </w:rPr>
                    <w:t>排放</w:t>
                  </w:r>
                  <w:r>
                    <w:rPr>
                      <w:b/>
                      <w:snapToGrid w:val="0"/>
                      <w:spacing w:val="4"/>
                      <w:sz w:val="21"/>
                      <w:szCs w:val="21"/>
                    </w:rPr>
                    <w:t>速率</w:t>
                  </w:r>
                </w:p>
                <w:p>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kg/h</w:t>
                  </w:r>
                </w:p>
              </w:tc>
              <w:tc>
                <w:tcPr>
                  <w:tcW w:w="210" w:type="pct"/>
                  <w:vMerge w:val="continue"/>
                  <w:tcBorders>
                    <w:left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snapToGrid w:val="0"/>
                      <w:spacing w:val="4"/>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95" w:type="pct"/>
                  <w:tcBorders>
                    <w:left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sz w:val="21"/>
                      <w:szCs w:val="21"/>
                    </w:rPr>
                  </w:pPr>
                  <w:r>
                    <w:rPr>
                      <w:sz w:val="21"/>
                      <w:szCs w:val="21"/>
                    </w:rPr>
                    <w:t>/</w:t>
                  </w:r>
                </w:p>
              </w:tc>
              <w:tc>
                <w:tcPr>
                  <w:tcW w:w="433" w:type="pct"/>
                  <w:tcBorders>
                    <w:left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sz w:val="21"/>
                      <w:szCs w:val="21"/>
                    </w:rPr>
                  </w:pPr>
                  <w:r>
                    <w:rPr>
                      <w:sz w:val="21"/>
                      <w:szCs w:val="21"/>
                    </w:rPr>
                    <w:t>烹饪</w:t>
                  </w:r>
                </w:p>
              </w:tc>
              <w:tc>
                <w:tcPr>
                  <w:tcW w:w="251" w:type="pct"/>
                  <w:tcBorders>
                    <w:left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snapToGrid w:val="0"/>
                      <w:spacing w:val="4"/>
                      <w:sz w:val="21"/>
                      <w:szCs w:val="21"/>
                    </w:rPr>
                  </w:pPr>
                  <w:r>
                    <w:rPr>
                      <w:snapToGrid w:val="0"/>
                      <w:spacing w:val="4"/>
                      <w:sz w:val="21"/>
                      <w:szCs w:val="21"/>
                    </w:rPr>
                    <w:t>油烟</w:t>
                  </w:r>
                </w:p>
              </w:tc>
              <w:tc>
                <w:tcPr>
                  <w:tcW w:w="279" w:type="pct"/>
                  <w:tcBorders>
                    <w:left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snapToGrid w:val="0"/>
                      <w:spacing w:val="4"/>
                      <w:sz w:val="21"/>
                      <w:szCs w:val="21"/>
                    </w:rPr>
                  </w:pPr>
                  <w:r>
                    <w:rPr>
                      <w:snapToGrid w:val="0"/>
                      <w:spacing w:val="4"/>
                      <w:sz w:val="21"/>
                      <w:szCs w:val="21"/>
                    </w:rPr>
                    <w:t>有组织</w:t>
                  </w:r>
                </w:p>
              </w:tc>
              <w:tc>
                <w:tcPr>
                  <w:tcW w:w="282" w:type="pct"/>
                  <w:tcBorders>
                    <w:top w:val="single" w:color="auto" w:sz="4" w:space="0"/>
                    <w:left w:val="single" w:color="auto" w:sz="4" w:space="0"/>
                    <w:bottom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snapToGrid w:val="0"/>
                      <w:spacing w:val="4"/>
                      <w:sz w:val="21"/>
                      <w:szCs w:val="21"/>
                    </w:rPr>
                  </w:pPr>
                  <w:r>
                    <w:rPr>
                      <w:snapToGrid w:val="0"/>
                      <w:spacing w:val="4"/>
                      <w:sz w:val="21"/>
                      <w:szCs w:val="21"/>
                    </w:rPr>
                    <w:t>类比法</w:t>
                  </w:r>
                </w:p>
              </w:tc>
              <w:tc>
                <w:tcPr>
                  <w:tcW w:w="526" w:type="pct"/>
                  <w:tcBorders>
                    <w:top w:val="single" w:color="auto" w:sz="4" w:space="0"/>
                    <w:left w:val="single" w:color="auto" w:sz="4" w:space="0"/>
                    <w:bottom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snapToGrid w:val="0"/>
                      <w:spacing w:val="4"/>
                      <w:sz w:val="21"/>
                      <w:szCs w:val="21"/>
                    </w:rPr>
                  </w:pPr>
                  <w:r>
                    <w:rPr>
                      <w:rFonts w:hint="eastAsia"/>
                      <w:snapToGrid w:val="0"/>
                      <w:spacing w:val="4"/>
                      <w:sz w:val="21"/>
                      <w:szCs w:val="21"/>
                    </w:rPr>
                    <w:t>2.547</w:t>
                  </w:r>
                  <w:r>
                    <w:rPr>
                      <w:snapToGrid w:val="0"/>
                      <w:spacing w:val="4"/>
                      <w:sz w:val="21"/>
                      <w:szCs w:val="21"/>
                    </w:rPr>
                    <w:t>kg/a</w:t>
                  </w:r>
                </w:p>
              </w:tc>
              <w:tc>
                <w:tcPr>
                  <w:tcW w:w="388" w:type="pct"/>
                  <w:tcBorders>
                    <w:top w:val="single" w:color="auto" w:sz="4" w:space="0"/>
                    <w:left w:val="single" w:color="auto" w:sz="4" w:space="0"/>
                    <w:bottom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snapToGrid w:val="0"/>
                      <w:spacing w:val="4"/>
                      <w:sz w:val="21"/>
                      <w:szCs w:val="21"/>
                    </w:rPr>
                  </w:pPr>
                  <w:r>
                    <w:rPr>
                      <w:rFonts w:hint="eastAsia"/>
                      <w:snapToGrid w:val="0"/>
                      <w:spacing w:val="4"/>
                      <w:sz w:val="21"/>
                      <w:szCs w:val="21"/>
                    </w:rPr>
                    <w:t>0.35</w:t>
                  </w:r>
                </w:p>
              </w:tc>
              <w:tc>
                <w:tcPr>
                  <w:tcW w:w="569" w:type="pct"/>
                  <w:tcBorders>
                    <w:top w:val="single" w:color="auto" w:sz="4" w:space="0"/>
                    <w:left w:val="single" w:color="auto" w:sz="4" w:space="0"/>
                    <w:bottom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snapToGrid w:val="0"/>
                      <w:spacing w:val="4"/>
                      <w:sz w:val="21"/>
                      <w:szCs w:val="21"/>
                    </w:rPr>
                  </w:pPr>
                  <w:r>
                    <w:rPr>
                      <w:snapToGrid w:val="0"/>
                      <w:spacing w:val="4"/>
                      <w:sz w:val="21"/>
                      <w:szCs w:val="21"/>
                    </w:rPr>
                    <w:t>0.0</w:t>
                  </w:r>
                  <w:r>
                    <w:rPr>
                      <w:rFonts w:hint="eastAsia"/>
                      <w:snapToGrid w:val="0"/>
                      <w:spacing w:val="4"/>
                      <w:sz w:val="21"/>
                      <w:szCs w:val="21"/>
                    </w:rPr>
                    <w:t>01</w:t>
                  </w:r>
                </w:p>
              </w:tc>
              <w:tc>
                <w:tcPr>
                  <w:tcW w:w="421" w:type="pct"/>
                  <w:tcBorders>
                    <w:top w:val="single" w:color="auto" w:sz="4" w:space="0"/>
                    <w:left w:val="single" w:color="auto" w:sz="4" w:space="0"/>
                    <w:bottom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snapToGrid w:val="0"/>
                      <w:spacing w:val="4"/>
                      <w:sz w:val="21"/>
                      <w:szCs w:val="21"/>
                    </w:rPr>
                  </w:pPr>
                  <w:r>
                    <w:rPr>
                      <w:snapToGrid w:val="0"/>
                      <w:spacing w:val="4"/>
                      <w:sz w:val="21"/>
                      <w:szCs w:val="21"/>
                    </w:rPr>
                    <w:t>油烟净化器</w:t>
                  </w:r>
                </w:p>
              </w:tc>
              <w:tc>
                <w:tcPr>
                  <w:tcW w:w="316" w:type="pct"/>
                  <w:tcBorders>
                    <w:top w:val="single" w:color="auto" w:sz="4" w:space="0"/>
                    <w:left w:val="single" w:color="auto" w:sz="4" w:space="0"/>
                    <w:bottom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snapToGrid w:val="0"/>
                      <w:spacing w:val="4"/>
                      <w:sz w:val="21"/>
                      <w:szCs w:val="21"/>
                    </w:rPr>
                  </w:pPr>
                  <w:r>
                    <w:rPr>
                      <w:snapToGrid w:val="0"/>
                      <w:spacing w:val="4"/>
                      <w:sz w:val="21"/>
                      <w:szCs w:val="21"/>
                    </w:rPr>
                    <w:t>85</w:t>
                  </w:r>
                </w:p>
              </w:tc>
              <w:tc>
                <w:tcPr>
                  <w:tcW w:w="369" w:type="pct"/>
                  <w:tcBorders>
                    <w:top w:val="single" w:color="auto" w:sz="4" w:space="0"/>
                    <w:left w:val="single" w:color="auto" w:sz="4" w:space="0"/>
                    <w:bottom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snapToGrid w:val="0"/>
                      <w:spacing w:val="4"/>
                      <w:sz w:val="21"/>
                      <w:szCs w:val="21"/>
                    </w:rPr>
                  </w:pPr>
                  <w:r>
                    <w:rPr>
                      <w:rFonts w:hint="eastAsia"/>
                      <w:snapToGrid w:val="0"/>
                      <w:spacing w:val="4"/>
                      <w:sz w:val="21"/>
                      <w:szCs w:val="21"/>
                    </w:rPr>
                    <w:t>0.382</w:t>
                  </w:r>
                  <w:r>
                    <w:rPr>
                      <w:snapToGrid w:val="0"/>
                      <w:spacing w:val="4"/>
                      <w:sz w:val="21"/>
                      <w:szCs w:val="21"/>
                    </w:rPr>
                    <w:t>kg/a</w:t>
                  </w:r>
                </w:p>
              </w:tc>
              <w:tc>
                <w:tcPr>
                  <w:tcW w:w="360" w:type="pct"/>
                  <w:tcBorders>
                    <w:top w:val="single" w:color="auto" w:sz="4" w:space="0"/>
                    <w:left w:val="single" w:color="auto" w:sz="4" w:space="0"/>
                    <w:bottom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snapToGrid w:val="0"/>
                      <w:spacing w:val="4"/>
                      <w:sz w:val="21"/>
                      <w:szCs w:val="21"/>
                    </w:rPr>
                  </w:pPr>
                  <w:r>
                    <w:rPr>
                      <w:snapToGrid w:val="0"/>
                      <w:spacing w:val="4"/>
                      <w:sz w:val="21"/>
                      <w:szCs w:val="21"/>
                    </w:rPr>
                    <w:t>0.</w:t>
                  </w:r>
                  <w:r>
                    <w:rPr>
                      <w:rFonts w:hint="eastAsia"/>
                      <w:snapToGrid w:val="0"/>
                      <w:spacing w:val="4"/>
                      <w:sz w:val="21"/>
                      <w:szCs w:val="21"/>
                    </w:rPr>
                    <w:t>0</w:t>
                  </w:r>
                  <w:r>
                    <w:rPr>
                      <w:snapToGrid w:val="0"/>
                      <w:spacing w:val="4"/>
                      <w:sz w:val="21"/>
                      <w:szCs w:val="21"/>
                    </w:rPr>
                    <w:t>7</w:t>
                  </w:r>
                </w:p>
              </w:tc>
              <w:tc>
                <w:tcPr>
                  <w:tcW w:w="396" w:type="pct"/>
                  <w:tcBorders>
                    <w:top w:val="single" w:color="auto" w:sz="4" w:space="0"/>
                    <w:left w:val="single" w:color="auto" w:sz="4" w:space="0"/>
                    <w:bottom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snapToGrid w:val="0"/>
                      <w:spacing w:val="4"/>
                      <w:sz w:val="21"/>
                      <w:szCs w:val="21"/>
                    </w:rPr>
                  </w:pPr>
                  <w:r>
                    <w:rPr>
                      <w:snapToGrid w:val="0"/>
                      <w:spacing w:val="4"/>
                      <w:sz w:val="21"/>
                      <w:szCs w:val="21"/>
                    </w:rPr>
                    <w:t>0.00</w:t>
                  </w:r>
                  <w:r>
                    <w:rPr>
                      <w:rFonts w:hint="eastAsia"/>
                      <w:snapToGrid w:val="0"/>
                      <w:spacing w:val="4"/>
                      <w:sz w:val="21"/>
                      <w:szCs w:val="21"/>
                    </w:rPr>
                    <w:t>02</w:t>
                  </w:r>
                </w:p>
              </w:tc>
              <w:tc>
                <w:tcPr>
                  <w:tcW w:w="210" w:type="pct"/>
                  <w:tcBorders>
                    <w:left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snapToGrid w:val="0"/>
                      <w:spacing w:val="4"/>
                      <w:sz w:val="21"/>
                      <w:szCs w:val="21"/>
                    </w:rPr>
                  </w:pPr>
                  <w:r>
                    <w:rPr>
                      <w:snapToGrid w:val="0"/>
                      <w:spacing w:val="4"/>
                      <w:sz w:val="21"/>
                      <w:szCs w:val="21"/>
                    </w:rPr>
                    <w:t>6</w:t>
                  </w:r>
                  <w:r>
                    <w:rPr>
                      <w:rFonts w:hint="eastAsia"/>
                      <w:snapToGrid w:val="0"/>
                      <w:spacing w:val="4"/>
                      <w:sz w:val="21"/>
                      <w:szCs w:val="21"/>
                    </w:rPr>
                    <w:t>0</w:t>
                  </w:r>
                  <w:r>
                    <w:rPr>
                      <w:snapToGrid w:val="0"/>
                      <w:spacing w:val="4"/>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7" w:hRule="atLeast"/>
                <w:jc w:val="center"/>
              </w:trPr>
              <w:tc>
                <w:tcPr>
                  <w:tcW w:w="195" w:type="pct"/>
                  <w:tcBorders>
                    <w:left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sz w:val="21"/>
                      <w:szCs w:val="21"/>
                    </w:rPr>
                  </w:pPr>
                  <w:r>
                    <w:rPr>
                      <w:sz w:val="21"/>
                      <w:szCs w:val="21"/>
                    </w:rPr>
                    <w:t>/</w:t>
                  </w:r>
                </w:p>
              </w:tc>
              <w:tc>
                <w:tcPr>
                  <w:tcW w:w="433" w:type="pct"/>
                  <w:tcBorders>
                    <w:left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sz w:val="21"/>
                      <w:szCs w:val="21"/>
                    </w:rPr>
                  </w:pPr>
                  <w:r>
                    <w:rPr>
                      <w:rFonts w:hint="eastAsia"/>
                      <w:sz w:val="21"/>
                      <w:szCs w:val="21"/>
                    </w:rPr>
                    <w:t>成品堆场</w:t>
                  </w:r>
                </w:p>
              </w:tc>
              <w:tc>
                <w:tcPr>
                  <w:tcW w:w="251" w:type="pct"/>
                  <w:tcBorders>
                    <w:left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snapToGrid w:val="0"/>
                      <w:spacing w:val="4"/>
                      <w:sz w:val="21"/>
                      <w:szCs w:val="21"/>
                    </w:rPr>
                  </w:pPr>
                  <w:r>
                    <w:rPr>
                      <w:snapToGrid w:val="0"/>
                      <w:spacing w:val="4"/>
                      <w:sz w:val="21"/>
                      <w:szCs w:val="21"/>
                    </w:rPr>
                    <w:t>颗粒物</w:t>
                  </w:r>
                </w:p>
              </w:tc>
              <w:tc>
                <w:tcPr>
                  <w:tcW w:w="279" w:type="pct"/>
                  <w:tcBorders>
                    <w:left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snapToGrid w:val="0"/>
                      <w:spacing w:val="4"/>
                      <w:sz w:val="21"/>
                      <w:szCs w:val="21"/>
                    </w:rPr>
                  </w:pPr>
                  <w:r>
                    <w:rPr>
                      <w:snapToGrid w:val="0"/>
                      <w:spacing w:val="4"/>
                      <w:sz w:val="21"/>
                      <w:szCs w:val="21"/>
                    </w:rPr>
                    <w:t>无组织</w:t>
                  </w:r>
                </w:p>
              </w:tc>
              <w:tc>
                <w:tcPr>
                  <w:tcW w:w="282" w:type="pct"/>
                  <w:tcBorders>
                    <w:top w:val="single" w:color="auto" w:sz="4" w:space="0"/>
                    <w:left w:val="single" w:color="auto" w:sz="4" w:space="0"/>
                    <w:bottom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snapToGrid w:val="0"/>
                      <w:spacing w:val="4"/>
                      <w:sz w:val="21"/>
                      <w:szCs w:val="21"/>
                    </w:rPr>
                  </w:pPr>
                  <w:r>
                    <w:rPr>
                      <w:snapToGrid w:val="0"/>
                      <w:spacing w:val="4"/>
                      <w:sz w:val="21"/>
                      <w:szCs w:val="21"/>
                    </w:rPr>
                    <w:t>物料衡算法</w:t>
                  </w:r>
                </w:p>
              </w:tc>
              <w:tc>
                <w:tcPr>
                  <w:tcW w:w="526" w:type="pct"/>
                  <w:tcBorders>
                    <w:top w:val="single" w:color="auto" w:sz="4" w:space="0"/>
                    <w:left w:val="single" w:color="auto" w:sz="4" w:space="0"/>
                    <w:bottom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rFonts w:hint="default" w:eastAsia="宋体"/>
                      <w:snapToGrid w:val="0"/>
                      <w:spacing w:val="4"/>
                      <w:sz w:val="21"/>
                      <w:szCs w:val="21"/>
                      <w:lang w:val="en-US" w:eastAsia="zh-CN"/>
                    </w:rPr>
                  </w:pPr>
                  <w:r>
                    <w:rPr>
                      <w:rFonts w:hint="eastAsia"/>
                      <w:snapToGrid w:val="0"/>
                      <w:spacing w:val="4"/>
                      <w:sz w:val="21"/>
                      <w:szCs w:val="21"/>
                      <w:lang w:val="en-US" w:eastAsia="zh-CN"/>
                    </w:rPr>
                    <w:t>0.33</w:t>
                  </w:r>
                </w:p>
              </w:tc>
              <w:tc>
                <w:tcPr>
                  <w:tcW w:w="388" w:type="pct"/>
                  <w:tcBorders>
                    <w:top w:val="single" w:color="auto" w:sz="4" w:space="0"/>
                    <w:left w:val="single" w:color="auto" w:sz="4" w:space="0"/>
                    <w:bottom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snapToGrid w:val="0"/>
                      <w:spacing w:val="4"/>
                      <w:sz w:val="21"/>
                      <w:szCs w:val="21"/>
                    </w:rPr>
                  </w:pPr>
                  <w:r>
                    <w:rPr>
                      <w:snapToGrid w:val="0"/>
                      <w:spacing w:val="4"/>
                      <w:sz w:val="21"/>
                      <w:szCs w:val="21"/>
                    </w:rPr>
                    <w:t>/</w:t>
                  </w:r>
                </w:p>
              </w:tc>
              <w:tc>
                <w:tcPr>
                  <w:tcW w:w="569" w:type="pct"/>
                  <w:tcBorders>
                    <w:top w:val="single" w:color="auto" w:sz="4" w:space="0"/>
                    <w:left w:val="single" w:color="auto" w:sz="4" w:space="0"/>
                    <w:bottom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rFonts w:hint="default" w:eastAsia="宋体"/>
                      <w:snapToGrid w:val="0"/>
                      <w:spacing w:val="4"/>
                      <w:sz w:val="21"/>
                      <w:szCs w:val="21"/>
                      <w:lang w:val="en-US" w:eastAsia="zh-CN"/>
                    </w:rPr>
                  </w:pPr>
                  <w:r>
                    <w:rPr>
                      <w:rFonts w:hint="eastAsia"/>
                      <w:snapToGrid w:val="0"/>
                      <w:spacing w:val="4"/>
                      <w:sz w:val="21"/>
                      <w:szCs w:val="21"/>
                      <w:lang w:val="en-US" w:eastAsia="zh-CN"/>
                    </w:rPr>
                    <w:t>0.14</w:t>
                  </w:r>
                </w:p>
              </w:tc>
              <w:tc>
                <w:tcPr>
                  <w:tcW w:w="421" w:type="pct"/>
                  <w:tcBorders>
                    <w:top w:val="single" w:color="auto" w:sz="4" w:space="0"/>
                    <w:left w:val="single" w:color="auto" w:sz="4" w:space="0"/>
                    <w:bottom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snapToGrid w:val="0"/>
                      <w:spacing w:val="4"/>
                      <w:sz w:val="21"/>
                      <w:szCs w:val="21"/>
                    </w:rPr>
                  </w:pPr>
                  <w:r>
                    <w:rPr>
                      <w:rFonts w:hint="eastAsia"/>
                      <w:snapToGrid w:val="0"/>
                      <w:spacing w:val="4"/>
                      <w:sz w:val="21"/>
                      <w:szCs w:val="21"/>
                    </w:rPr>
                    <w:t>喷淋抑尘</w:t>
                  </w:r>
                </w:p>
              </w:tc>
              <w:tc>
                <w:tcPr>
                  <w:tcW w:w="316" w:type="pct"/>
                  <w:tcBorders>
                    <w:top w:val="single" w:color="auto" w:sz="4" w:space="0"/>
                    <w:left w:val="single" w:color="auto" w:sz="4" w:space="0"/>
                    <w:bottom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snapToGrid w:val="0"/>
                      <w:spacing w:val="4"/>
                      <w:sz w:val="21"/>
                      <w:szCs w:val="21"/>
                    </w:rPr>
                  </w:pPr>
                  <w:r>
                    <w:rPr>
                      <w:rFonts w:hint="eastAsia"/>
                      <w:snapToGrid w:val="0"/>
                      <w:spacing w:val="4"/>
                      <w:sz w:val="21"/>
                      <w:szCs w:val="21"/>
                    </w:rPr>
                    <w:t>85</w:t>
                  </w:r>
                </w:p>
              </w:tc>
              <w:tc>
                <w:tcPr>
                  <w:tcW w:w="369" w:type="pct"/>
                  <w:tcBorders>
                    <w:top w:val="single" w:color="auto" w:sz="4" w:space="0"/>
                    <w:left w:val="single" w:color="auto" w:sz="4" w:space="0"/>
                    <w:bottom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rFonts w:hint="default" w:eastAsia="宋体"/>
                      <w:snapToGrid w:val="0"/>
                      <w:spacing w:val="4"/>
                      <w:sz w:val="21"/>
                      <w:szCs w:val="21"/>
                      <w:lang w:val="en-US" w:eastAsia="zh-CN"/>
                    </w:rPr>
                  </w:pPr>
                  <w:r>
                    <w:rPr>
                      <w:rFonts w:hint="eastAsia"/>
                      <w:snapToGrid w:val="0"/>
                      <w:spacing w:val="4"/>
                      <w:sz w:val="21"/>
                      <w:szCs w:val="21"/>
                      <w:lang w:val="en-US" w:eastAsia="zh-CN"/>
                    </w:rPr>
                    <w:t>0.05</w:t>
                  </w:r>
                </w:p>
              </w:tc>
              <w:tc>
                <w:tcPr>
                  <w:tcW w:w="360" w:type="pct"/>
                  <w:tcBorders>
                    <w:top w:val="single" w:color="auto" w:sz="4" w:space="0"/>
                    <w:left w:val="single" w:color="auto" w:sz="4" w:space="0"/>
                    <w:bottom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snapToGrid w:val="0"/>
                      <w:spacing w:val="4"/>
                      <w:sz w:val="21"/>
                      <w:szCs w:val="21"/>
                    </w:rPr>
                  </w:pPr>
                  <w:r>
                    <w:rPr>
                      <w:snapToGrid w:val="0"/>
                      <w:spacing w:val="4"/>
                      <w:sz w:val="21"/>
                      <w:szCs w:val="21"/>
                    </w:rPr>
                    <w:t>/</w:t>
                  </w:r>
                </w:p>
              </w:tc>
              <w:tc>
                <w:tcPr>
                  <w:tcW w:w="396" w:type="pct"/>
                  <w:tcBorders>
                    <w:top w:val="single" w:color="auto" w:sz="4" w:space="0"/>
                    <w:left w:val="single" w:color="auto" w:sz="4" w:space="0"/>
                    <w:bottom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snapToGrid w:val="0"/>
                      <w:spacing w:val="4"/>
                      <w:sz w:val="21"/>
                      <w:szCs w:val="21"/>
                    </w:rPr>
                  </w:pPr>
                  <w:r>
                    <w:rPr>
                      <w:snapToGrid w:val="0"/>
                      <w:spacing w:val="4"/>
                      <w:sz w:val="21"/>
                      <w:szCs w:val="21"/>
                    </w:rPr>
                    <w:t>0.0</w:t>
                  </w:r>
                  <w:r>
                    <w:rPr>
                      <w:rFonts w:hint="eastAsia"/>
                      <w:snapToGrid w:val="0"/>
                      <w:spacing w:val="4"/>
                      <w:sz w:val="21"/>
                      <w:szCs w:val="21"/>
                      <w:lang w:val="en-US" w:eastAsia="zh-CN"/>
                    </w:rPr>
                    <w:t>2</w:t>
                  </w:r>
                </w:p>
              </w:tc>
              <w:tc>
                <w:tcPr>
                  <w:tcW w:w="210" w:type="pct"/>
                  <w:tcBorders>
                    <w:left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snapToGrid w:val="0"/>
                      <w:spacing w:val="4"/>
                      <w:sz w:val="21"/>
                      <w:szCs w:val="21"/>
                    </w:rPr>
                  </w:pPr>
                  <w:r>
                    <w:rPr>
                      <w:rFonts w:hint="eastAsia"/>
                      <w:snapToGrid w:val="0"/>
                      <w:spacing w:val="4"/>
                      <w:sz w:val="21"/>
                      <w:szCs w:val="21"/>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95" w:type="pct"/>
                  <w:tcBorders>
                    <w:left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sz w:val="21"/>
                      <w:szCs w:val="21"/>
                      <w:u w:val="single"/>
                    </w:rPr>
                  </w:pPr>
                  <w:r>
                    <w:rPr>
                      <w:sz w:val="21"/>
                      <w:szCs w:val="21"/>
                      <w:u w:val="single"/>
                    </w:rPr>
                    <w:t>/</w:t>
                  </w:r>
                </w:p>
              </w:tc>
              <w:tc>
                <w:tcPr>
                  <w:tcW w:w="433" w:type="pct"/>
                  <w:tcBorders>
                    <w:left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sz w:val="21"/>
                      <w:szCs w:val="21"/>
                      <w:u w:val="single"/>
                    </w:rPr>
                  </w:pPr>
                  <w:r>
                    <w:rPr>
                      <w:rFonts w:hint="eastAsia"/>
                      <w:sz w:val="21"/>
                      <w:szCs w:val="21"/>
                      <w:u w:val="single"/>
                    </w:rPr>
                    <w:t>装卸</w:t>
                  </w:r>
                </w:p>
              </w:tc>
              <w:tc>
                <w:tcPr>
                  <w:tcW w:w="251" w:type="pct"/>
                  <w:tcBorders>
                    <w:left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snapToGrid w:val="0"/>
                      <w:spacing w:val="4"/>
                      <w:sz w:val="21"/>
                      <w:szCs w:val="21"/>
                      <w:u w:val="single"/>
                    </w:rPr>
                  </w:pPr>
                  <w:r>
                    <w:rPr>
                      <w:snapToGrid w:val="0"/>
                      <w:spacing w:val="4"/>
                      <w:sz w:val="21"/>
                      <w:szCs w:val="21"/>
                      <w:u w:val="single"/>
                    </w:rPr>
                    <w:t>颗粒物</w:t>
                  </w:r>
                </w:p>
              </w:tc>
              <w:tc>
                <w:tcPr>
                  <w:tcW w:w="279" w:type="pct"/>
                  <w:tcBorders>
                    <w:left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snapToGrid w:val="0"/>
                      <w:spacing w:val="4"/>
                      <w:sz w:val="21"/>
                      <w:szCs w:val="21"/>
                      <w:u w:val="single"/>
                    </w:rPr>
                  </w:pPr>
                  <w:r>
                    <w:rPr>
                      <w:snapToGrid w:val="0"/>
                      <w:spacing w:val="4"/>
                      <w:sz w:val="21"/>
                      <w:szCs w:val="21"/>
                      <w:u w:val="single"/>
                    </w:rPr>
                    <w:t>无组织</w:t>
                  </w:r>
                </w:p>
              </w:tc>
              <w:tc>
                <w:tcPr>
                  <w:tcW w:w="282" w:type="pct"/>
                  <w:tcBorders>
                    <w:top w:val="single" w:color="auto" w:sz="4" w:space="0"/>
                    <w:left w:val="single" w:color="auto" w:sz="4" w:space="0"/>
                    <w:bottom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snapToGrid w:val="0"/>
                      <w:spacing w:val="4"/>
                      <w:sz w:val="21"/>
                      <w:szCs w:val="21"/>
                      <w:u w:val="single"/>
                    </w:rPr>
                  </w:pPr>
                  <w:r>
                    <w:rPr>
                      <w:snapToGrid w:val="0"/>
                      <w:spacing w:val="4"/>
                      <w:sz w:val="21"/>
                      <w:szCs w:val="21"/>
                      <w:u w:val="single"/>
                    </w:rPr>
                    <w:t>物料衡算法</w:t>
                  </w:r>
                </w:p>
              </w:tc>
              <w:tc>
                <w:tcPr>
                  <w:tcW w:w="526" w:type="pct"/>
                  <w:tcBorders>
                    <w:top w:val="single" w:color="auto" w:sz="4" w:space="0"/>
                    <w:left w:val="single" w:color="auto" w:sz="4" w:space="0"/>
                    <w:bottom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rFonts w:hint="default" w:eastAsia="宋体"/>
                      <w:snapToGrid w:val="0"/>
                      <w:spacing w:val="4"/>
                      <w:sz w:val="21"/>
                      <w:szCs w:val="21"/>
                      <w:u w:val="single"/>
                      <w:lang w:val="en-US" w:eastAsia="zh-CN"/>
                    </w:rPr>
                  </w:pPr>
                  <w:r>
                    <w:rPr>
                      <w:snapToGrid w:val="0"/>
                      <w:spacing w:val="4"/>
                      <w:sz w:val="21"/>
                      <w:szCs w:val="21"/>
                      <w:u w:val="single"/>
                    </w:rPr>
                    <w:t>0.</w:t>
                  </w:r>
                  <w:r>
                    <w:rPr>
                      <w:rFonts w:hint="eastAsia"/>
                      <w:snapToGrid w:val="0"/>
                      <w:spacing w:val="4"/>
                      <w:sz w:val="21"/>
                      <w:szCs w:val="21"/>
                      <w:u w:val="single"/>
                      <w:lang w:val="en-US" w:eastAsia="zh-CN"/>
                    </w:rPr>
                    <w:t>487</w:t>
                  </w:r>
                </w:p>
              </w:tc>
              <w:tc>
                <w:tcPr>
                  <w:tcW w:w="388" w:type="pct"/>
                  <w:tcBorders>
                    <w:top w:val="single" w:color="auto" w:sz="4" w:space="0"/>
                    <w:left w:val="single" w:color="auto" w:sz="4" w:space="0"/>
                    <w:bottom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snapToGrid w:val="0"/>
                      <w:spacing w:val="4"/>
                      <w:sz w:val="21"/>
                      <w:szCs w:val="21"/>
                      <w:u w:val="single"/>
                    </w:rPr>
                  </w:pPr>
                  <w:r>
                    <w:rPr>
                      <w:snapToGrid w:val="0"/>
                      <w:spacing w:val="4"/>
                      <w:sz w:val="21"/>
                      <w:szCs w:val="21"/>
                      <w:u w:val="single"/>
                    </w:rPr>
                    <w:t>/</w:t>
                  </w:r>
                </w:p>
              </w:tc>
              <w:tc>
                <w:tcPr>
                  <w:tcW w:w="569" w:type="pct"/>
                  <w:tcBorders>
                    <w:top w:val="single" w:color="auto" w:sz="4" w:space="0"/>
                    <w:left w:val="single" w:color="auto" w:sz="4" w:space="0"/>
                    <w:bottom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rFonts w:hint="default" w:eastAsia="宋体"/>
                      <w:snapToGrid w:val="0"/>
                      <w:spacing w:val="4"/>
                      <w:sz w:val="21"/>
                      <w:szCs w:val="21"/>
                      <w:u w:val="single"/>
                      <w:lang w:val="en-US" w:eastAsia="zh-CN"/>
                    </w:rPr>
                  </w:pPr>
                  <w:r>
                    <w:rPr>
                      <w:rFonts w:hint="eastAsia"/>
                      <w:snapToGrid w:val="0"/>
                      <w:spacing w:val="4"/>
                      <w:sz w:val="21"/>
                      <w:szCs w:val="21"/>
                      <w:u w:val="single"/>
                    </w:rPr>
                    <w:t>0.</w:t>
                  </w:r>
                  <w:r>
                    <w:rPr>
                      <w:rFonts w:hint="eastAsia"/>
                      <w:snapToGrid w:val="0"/>
                      <w:spacing w:val="4"/>
                      <w:sz w:val="21"/>
                      <w:szCs w:val="21"/>
                      <w:u w:val="single"/>
                      <w:lang w:val="en-US" w:eastAsia="zh-CN"/>
                    </w:rPr>
                    <w:t>135</w:t>
                  </w:r>
                </w:p>
              </w:tc>
              <w:tc>
                <w:tcPr>
                  <w:tcW w:w="421" w:type="pct"/>
                  <w:tcBorders>
                    <w:top w:val="single" w:color="auto" w:sz="4" w:space="0"/>
                    <w:left w:val="single" w:color="auto" w:sz="4" w:space="0"/>
                    <w:bottom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snapToGrid w:val="0"/>
                      <w:spacing w:val="4"/>
                      <w:sz w:val="21"/>
                      <w:szCs w:val="21"/>
                      <w:u w:val="single"/>
                    </w:rPr>
                  </w:pPr>
                  <w:r>
                    <w:rPr>
                      <w:rFonts w:hint="eastAsia"/>
                      <w:snapToGrid w:val="0"/>
                      <w:spacing w:val="4"/>
                      <w:sz w:val="21"/>
                      <w:szCs w:val="21"/>
                      <w:u w:val="single"/>
                    </w:rPr>
                    <w:t>加强洒水防尘力度、避开大风天气卸车</w:t>
                  </w:r>
                </w:p>
              </w:tc>
              <w:tc>
                <w:tcPr>
                  <w:tcW w:w="316" w:type="pct"/>
                  <w:tcBorders>
                    <w:top w:val="single" w:color="auto" w:sz="4" w:space="0"/>
                    <w:left w:val="single" w:color="auto" w:sz="4" w:space="0"/>
                    <w:bottom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snapToGrid w:val="0"/>
                      <w:spacing w:val="4"/>
                      <w:sz w:val="21"/>
                      <w:szCs w:val="21"/>
                      <w:u w:val="single"/>
                    </w:rPr>
                  </w:pPr>
                  <w:r>
                    <w:rPr>
                      <w:rFonts w:hint="eastAsia"/>
                      <w:snapToGrid w:val="0"/>
                      <w:spacing w:val="4"/>
                      <w:sz w:val="21"/>
                      <w:szCs w:val="21"/>
                      <w:u w:val="single"/>
                      <w:lang w:val="en-US" w:eastAsia="zh-CN"/>
                    </w:rPr>
                    <w:t>5</w:t>
                  </w:r>
                  <w:r>
                    <w:rPr>
                      <w:rFonts w:hint="eastAsia"/>
                      <w:snapToGrid w:val="0"/>
                      <w:spacing w:val="4"/>
                      <w:sz w:val="21"/>
                      <w:szCs w:val="21"/>
                      <w:u w:val="single"/>
                    </w:rPr>
                    <w:t>0</w:t>
                  </w:r>
                </w:p>
              </w:tc>
              <w:tc>
                <w:tcPr>
                  <w:tcW w:w="369" w:type="pct"/>
                  <w:tcBorders>
                    <w:top w:val="single" w:color="auto" w:sz="4" w:space="0"/>
                    <w:left w:val="single" w:color="auto" w:sz="4" w:space="0"/>
                    <w:bottom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rFonts w:hint="default" w:eastAsia="宋体"/>
                      <w:snapToGrid w:val="0"/>
                      <w:spacing w:val="4"/>
                      <w:sz w:val="21"/>
                      <w:szCs w:val="21"/>
                      <w:u w:val="single"/>
                      <w:lang w:val="en-US" w:eastAsia="zh-CN"/>
                    </w:rPr>
                  </w:pPr>
                  <w:r>
                    <w:rPr>
                      <w:snapToGrid w:val="0"/>
                      <w:spacing w:val="4"/>
                      <w:sz w:val="21"/>
                      <w:szCs w:val="21"/>
                      <w:u w:val="single"/>
                    </w:rPr>
                    <w:t>0.</w:t>
                  </w:r>
                  <w:r>
                    <w:rPr>
                      <w:rFonts w:hint="eastAsia"/>
                      <w:snapToGrid w:val="0"/>
                      <w:spacing w:val="4"/>
                      <w:sz w:val="21"/>
                      <w:szCs w:val="21"/>
                      <w:u w:val="single"/>
                      <w:lang w:val="en-US" w:eastAsia="zh-CN"/>
                    </w:rPr>
                    <w:t>244</w:t>
                  </w:r>
                </w:p>
              </w:tc>
              <w:tc>
                <w:tcPr>
                  <w:tcW w:w="360" w:type="pct"/>
                  <w:tcBorders>
                    <w:top w:val="single" w:color="auto" w:sz="4" w:space="0"/>
                    <w:left w:val="single" w:color="auto" w:sz="4" w:space="0"/>
                    <w:bottom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snapToGrid w:val="0"/>
                      <w:spacing w:val="4"/>
                      <w:sz w:val="21"/>
                      <w:szCs w:val="21"/>
                      <w:u w:val="single"/>
                    </w:rPr>
                  </w:pPr>
                  <w:r>
                    <w:rPr>
                      <w:snapToGrid w:val="0"/>
                      <w:spacing w:val="4"/>
                      <w:sz w:val="21"/>
                      <w:szCs w:val="21"/>
                      <w:u w:val="single"/>
                    </w:rPr>
                    <w:t>/</w:t>
                  </w:r>
                </w:p>
              </w:tc>
              <w:tc>
                <w:tcPr>
                  <w:tcW w:w="396" w:type="pct"/>
                  <w:tcBorders>
                    <w:top w:val="single" w:color="auto" w:sz="4" w:space="0"/>
                    <w:left w:val="single" w:color="auto" w:sz="4" w:space="0"/>
                    <w:bottom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rFonts w:hint="default" w:eastAsia="宋体"/>
                      <w:snapToGrid w:val="0"/>
                      <w:spacing w:val="4"/>
                      <w:sz w:val="21"/>
                      <w:szCs w:val="21"/>
                      <w:u w:val="single"/>
                      <w:lang w:val="en-US" w:eastAsia="zh-CN"/>
                    </w:rPr>
                  </w:pPr>
                  <w:r>
                    <w:rPr>
                      <w:snapToGrid w:val="0"/>
                      <w:spacing w:val="4"/>
                      <w:sz w:val="21"/>
                      <w:szCs w:val="21"/>
                      <w:u w:val="single"/>
                    </w:rPr>
                    <w:t>0.</w:t>
                  </w:r>
                  <w:r>
                    <w:rPr>
                      <w:rFonts w:hint="eastAsia"/>
                      <w:snapToGrid w:val="0"/>
                      <w:spacing w:val="4"/>
                      <w:sz w:val="21"/>
                      <w:szCs w:val="21"/>
                      <w:u w:val="single"/>
                      <w:lang w:val="en-US" w:eastAsia="zh-CN"/>
                    </w:rPr>
                    <w:t>068</w:t>
                  </w:r>
                </w:p>
              </w:tc>
              <w:tc>
                <w:tcPr>
                  <w:tcW w:w="210" w:type="pct"/>
                  <w:tcBorders>
                    <w:left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snapToGrid w:val="0"/>
                      <w:spacing w:val="4"/>
                      <w:sz w:val="21"/>
                      <w:szCs w:val="21"/>
                      <w:u w:val="single"/>
                    </w:rPr>
                  </w:pPr>
                  <w:r>
                    <w:rPr>
                      <w:rFonts w:hint="eastAsia"/>
                      <w:snapToGrid w:val="0"/>
                      <w:spacing w:val="4"/>
                      <w:sz w:val="21"/>
                      <w:szCs w:val="21"/>
                      <w:u w:val="single"/>
                      <w:lang w:val="en-US" w:eastAsia="zh-CN"/>
                    </w:rPr>
                    <w:t>36</w:t>
                  </w:r>
                  <w:r>
                    <w:rPr>
                      <w:rFonts w:hint="eastAsia"/>
                      <w:snapToGrid w:val="0"/>
                      <w:spacing w:val="4"/>
                      <w:sz w:val="21"/>
                      <w:szCs w:val="21"/>
                      <w:u w:val="single"/>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95" w:type="pct"/>
                  <w:tcBorders>
                    <w:left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sz w:val="21"/>
                      <w:szCs w:val="21"/>
                      <w:u w:val="single"/>
                    </w:rPr>
                  </w:pPr>
                  <w:r>
                    <w:rPr>
                      <w:sz w:val="21"/>
                      <w:szCs w:val="21"/>
                      <w:u w:val="single"/>
                    </w:rPr>
                    <w:t>/</w:t>
                  </w:r>
                </w:p>
              </w:tc>
              <w:tc>
                <w:tcPr>
                  <w:tcW w:w="433" w:type="pct"/>
                  <w:tcBorders>
                    <w:left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sz w:val="21"/>
                      <w:szCs w:val="21"/>
                      <w:u w:val="single"/>
                    </w:rPr>
                  </w:pPr>
                  <w:r>
                    <w:rPr>
                      <w:rFonts w:hint="eastAsia"/>
                      <w:sz w:val="21"/>
                      <w:szCs w:val="21"/>
                      <w:u w:val="single"/>
                    </w:rPr>
                    <w:t>运输车辆扬尘</w:t>
                  </w:r>
                </w:p>
              </w:tc>
              <w:tc>
                <w:tcPr>
                  <w:tcW w:w="251" w:type="pct"/>
                  <w:tcBorders>
                    <w:left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snapToGrid w:val="0"/>
                      <w:spacing w:val="4"/>
                      <w:sz w:val="21"/>
                      <w:szCs w:val="21"/>
                      <w:u w:val="single"/>
                    </w:rPr>
                  </w:pPr>
                  <w:r>
                    <w:rPr>
                      <w:snapToGrid w:val="0"/>
                      <w:spacing w:val="4"/>
                      <w:sz w:val="21"/>
                      <w:szCs w:val="21"/>
                      <w:u w:val="single"/>
                    </w:rPr>
                    <w:t>颗粒物</w:t>
                  </w:r>
                </w:p>
              </w:tc>
              <w:tc>
                <w:tcPr>
                  <w:tcW w:w="279" w:type="pct"/>
                  <w:tcBorders>
                    <w:left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snapToGrid w:val="0"/>
                      <w:spacing w:val="4"/>
                      <w:sz w:val="21"/>
                      <w:szCs w:val="21"/>
                      <w:u w:val="single"/>
                    </w:rPr>
                  </w:pPr>
                  <w:r>
                    <w:rPr>
                      <w:snapToGrid w:val="0"/>
                      <w:spacing w:val="4"/>
                      <w:sz w:val="21"/>
                      <w:szCs w:val="21"/>
                      <w:u w:val="single"/>
                    </w:rPr>
                    <w:t>无组织</w:t>
                  </w:r>
                </w:p>
              </w:tc>
              <w:tc>
                <w:tcPr>
                  <w:tcW w:w="282" w:type="pct"/>
                  <w:tcBorders>
                    <w:top w:val="single" w:color="auto" w:sz="4" w:space="0"/>
                    <w:left w:val="single" w:color="auto" w:sz="4" w:space="0"/>
                    <w:bottom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snapToGrid w:val="0"/>
                      <w:spacing w:val="4"/>
                      <w:sz w:val="21"/>
                      <w:szCs w:val="21"/>
                      <w:u w:val="single"/>
                    </w:rPr>
                  </w:pPr>
                  <w:r>
                    <w:rPr>
                      <w:snapToGrid w:val="0"/>
                      <w:spacing w:val="4"/>
                      <w:sz w:val="21"/>
                      <w:szCs w:val="21"/>
                      <w:u w:val="single"/>
                    </w:rPr>
                    <w:t>物料衡算法</w:t>
                  </w:r>
                </w:p>
              </w:tc>
              <w:tc>
                <w:tcPr>
                  <w:tcW w:w="526" w:type="pct"/>
                  <w:tcBorders>
                    <w:top w:val="single" w:color="auto" w:sz="4" w:space="0"/>
                    <w:left w:val="single" w:color="auto" w:sz="4" w:space="0"/>
                    <w:bottom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rFonts w:hint="default" w:eastAsia="宋体"/>
                      <w:snapToGrid w:val="0"/>
                      <w:spacing w:val="4"/>
                      <w:sz w:val="21"/>
                      <w:szCs w:val="21"/>
                      <w:u w:val="single"/>
                      <w:lang w:val="en-US" w:eastAsia="zh-CN"/>
                    </w:rPr>
                  </w:pPr>
                  <w:r>
                    <w:rPr>
                      <w:rFonts w:hint="eastAsia"/>
                      <w:snapToGrid w:val="0"/>
                      <w:spacing w:val="4"/>
                      <w:sz w:val="21"/>
                      <w:szCs w:val="21"/>
                      <w:u w:val="single"/>
                      <w:lang w:val="en-US" w:eastAsia="zh-CN"/>
                    </w:rPr>
                    <w:t>2.18</w:t>
                  </w:r>
                </w:p>
              </w:tc>
              <w:tc>
                <w:tcPr>
                  <w:tcW w:w="388" w:type="pct"/>
                  <w:tcBorders>
                    <w:top w:val="single" w:color="auto" w:sz="4" w:space="0"/>
                    <w:left w:val="single" w:color="auto" w:sz="4" w:space="0"/>
                    <w:bottom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snapToGrid w:val="0"/>
                      <w:spacing w:val="4"/>
                      <w:sz w:val="21"/>
                      <w:szCs w:val="21"/>
                      <w:u w:val="single"/>
                    </w:rPr>
                  </w:pPr>
                  <w:r>
                    <w:rPr>
                      <w:snapToGrid w:val="0"/>
                      <w:spacing w:val="4"/>
                      <w:sz w:val="21"/>
                      <w:szCs w:val="21"/>
                      <w:u w:val="single"/>
                    </w:rPr>
                    <w:t>/</w:t>
                  </w:r>
                </w:p>
              </w:tc>
              <w:tc>
                <w:tcPr>
                  <w:tcW w:w="569" w:type="pct"/>
                  <w:tcBorders>
                    <w:top w:val="single" w:color="auto" w:sz="4" w:space="0"/>
                    <w:left w:val="single" w:color="auto" w:sz="4" w:space="0"/>
                    <w:bottom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rFonts w:hint="default" w:eastAsia="宋体"/>
                      <w:snapToGrid w:val="0"/>
                      <w:spacing w:val="4"/>
                      <w:sz w:val="21"/>
                      <w:szCs w:val="21"/>
                      <w:u w:val="single"/>
                      <w:lang w:val="en-US" w:eastAsia="zh-CN"/>
                    </w:rPr>
                  </w:pPr>
                  <w:r>
                    <w:rPr>
                      <w:rFonts w:hint="eastAsia"/>
                      <w:snapToGrid w:val="0"/>
                      <w:spacing w:val="4"/>
                      <w:sz w:val="21"/>
                      <w:szCs w:val="21"/>
                      <w:u w:val="single"/>
                      <w:lang w:val="en-US" w:eastAsia="zh-CN"/>
                    </w:rPr>
                    <w:t>0.61</w:t>
                  </w:r>
                </w:p>
              </w:tc>
              <w:tc>
                <w:tcPr>
                  <w:tcW w:w="421" w:type="pct"/>
                  <w:tcBorders>
                    <w:top w:val="single" w:color="auto" w:sz="4" w:space="0"/>
                    <w:left w:val="single" w:color="auto" w:sz="4" w:space="0"/>
                    <w:bottom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snapToGrid w:val="0"/>
                      <w:spacing w:val="4"/>
                      <w:sz w:val="21"/>
                      <w:szCs w:val="21"/>
                      <w:u w:val="single"/>
                    </w:rPr>
                  </w:pPr>
                  <w:r>
                    <w:rPr>
                      <w:rFonts w:hint="eastAsia"/>
                      <w:snapToGrid w:val="0"/>
                      <w:spacing w:val="4"/>
                      <w:sz w:val="21"/>
                      <w:szCs w:val="21"/>
                      <w:u w:val="single"/>
                    </w:rPr>
                    <w:t>减速慢行、洒水等</w:t>
                  </w:r>
                </w:p>
              </w:tc>
              <w:tc>
                <w:tcPr>
                  <w:tcW w:w="316" w:type="pct"/>
                  <w:tcBorders>
                    <w:top w:val="single" w:color="auto" w:sz="4" w:space="0"/>
                    <w:left w:val="single" w:color="auto" w:sz="4" w:space="0"/>
                    <w:bottom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snapToGrid w:val="0"/>
                      <w:spacing w:val="4"/>
                      <w:sz w:val="21"/>
                      <w:szCs w:val="21"/>
                      <w:u w:val="single"/>
                    </w:rPr>
                  </w:pPr>
                  <w:r>
                    <w:rPr>
                      <w:rFonts w:hint="eastAsia"/>
                      <w:snapToGrid w:val="0"/>
                      <w:spacing w:val="4"/>
                      <w:sz w:val="21"/>
                      <w:szCs w:val="21"/>
                      <w:u w:val="single"/>
                    </w:rPr>
                    <w:t>80</w:t>
                  </w:r>
                </w:p>
              </w:tc>
              <w:tc>
                <w:tcPr>
                  <w:tcW w:w="369" w:type="pct"/>
                  <w:tcBorders>
                    <w:top w:val="single" w:color="auto" w:sz="4" w:space="0"/>
                    <w:left w:val="single" w:color="auto" w:sz="4" w:space="0"/>
                    <w:bottom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rFonts w:hint="default" w:eastAsia="宋体"/>
                      <w:snapToGrid w:val="0"/>
                      <w:spacing w:val="4"/>
                      <w:sz w:val="21"/>
                      <w:szCs w:val="21"/>
                      <w:u w:val="single"/>
                      <w:lang w:val="en-US" w:eastAsia="zh-CN"/>
                    </w:rPr>
                  </w:pPr>
                  <w:r>
                    <w:rPr>
                      <w:snapToGrid w:val="0"/>
                      <w:spacing w:val="4"/>
                      <w:sz w:val="21"/>
                      <w:szCs w:val="21"/>
                      <w:u w:val="single"/>
                    </w:rPr>
                    <w:t>0.</w:t>
                  </w:r>
                  <w:r>
                    <w:rPr>
                      <w:rFonts w:hint="eastAsia"/>
                      <w:snapToGrid w:val="0"/>
                      <w:spacing w:val="4"/>
                      <w:sz w:val="21"/>
                      <w:szCs w:val="21"/>
                      <w:u w:val="single"/>
                      <w:lang w:val="en-US" w:eastAsia="zh-CN"/>
                    </w:rPr>
                    <w:t>44</w:t>
                  </w:r>
                </w:p>
              </w:tc>
              <w:tc>
                <w:tcPr>
                  <w:tcW w:w="360" w:type="pct"/>
                  <w:tcBorders>
                    <w:top w:val="single" w:color="auto" w:sz="4" w:space="0"/>
                    <w:left w:val="single" w:color="auto" w:sz="4" w:space="0"/>
                    <w:bottom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snapToGrid w:val="0"/>
                      <w:spacing w:val="4"/>
                      <w:sz w:val="21"/>
                      <w:szCs w:val="21"/>
                      <w:u w:val="single"/>
                    </w:rPr>
                  </w:pPr>
                  <w:r>
                    <w:rPr>
                      <w:snapToGrid w:val="0"/>
                      <w:spacing w:val="4"/>
                      <w:sz w:val="21"/>
                      <w:szCs w:val="21"/>
                      <w:u w:val="single"/>
                    </w:rPr>
                    <w:t>/</w:t>
                  </w:r>
                </w:p>
              </w:tc>
              <w:tc>
                <w:tcPr>
                  <w:tcW w:w="396" w:type="pct"/>
                  <w:tcBorders>
                    <w:top w:val="single" w:color="auto" w:sz="4" w:space="0"/>
                    <w:left w:val="single" w:color="auto" w:sz="4" w:space="0"/>
                    <w:bottom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rFonts w:hint="eastAsia" w:eastAsia="宋体"/>
                      <w:snapToGrid w:val="0"/>
                      <w:spacing w:val="4"/>
                      <w:sz w:val="21"/>
                      <w:szCs w:val="21"/>
                      <w:u w:val="single"/>
                      <w:lang w:eastAsia="zh-CN"/>
                    </w:rPr>
                  </w:pPr>
                  <w:r>
                    <w:rPr>
                      <w:snapToGrid w:val="0"/>
                      <w:spacing w:val="4"/>
                      <w:sz w:val="21"/>
                      <w:szCs w:val="21"/>
                      <w:u w:val="single"/>
                    </w:rPr>
                    <w:t>0.</w:t>
                  </w:r>
                  <w:r>
                    <w:rPr>
                      <w:rFonts w:hint="eastAsia"/>
                      <w:snapToGrid w:val="0"/>
                      <w:spacing w:val="4"/>
                      <w:sz w:val="21"/>
                      <w:szCs w:val="21"/>
                      <w:u w:val="single"/>
                      <w:lang w:val="en-US" w:eastAsia="zh-CN"/>
                    </w:rPr>
                    <w:t>12</w:t>
                  </w:r>
                </w:p>
              </w:tc>
              <w:tc>
                <w:tcPr>
                  <w:tcW w:w="210" w:type="pct"/>
                  <w:tcBorders>
                    <w:left w:val="single" w:color="auto" w:sz="4" w:space="0"/>
                    <w:right w:val="single" w:color="auto" w:sz="4" w:space="0"/>
                  </w:tcBorders>
                  <w:vAlign w:val="center"/>
                </w:tcPr>
                <w:p>
                  <w:pPr>
                    <w:wordWrap w:val="0"/>
                    <w:topLinePunct/>
                    <w:adjustRightInd w:val="0"/>
                    <w:snapToGrid w:val="0"/>
                    <w:spacing w:line="240" w:lineRule="auto"/>
                    <w:ind w:left="-120" w:leftChars="-50" w:right="-120" w:rightChars="-50"/>
                    <w:jc w:val="center"/>
                    <w:rPr>
                      <w:snapToGrid w:val="0"/>
                      <w:spacing w:val="4"/>
                      <w:sz w:val="21"/>
                      <w:szCs w:val="21"/>
                      <w:u w:val="single"/>
                    </w:rPr>
                  </w:pPr>
                  <w:r>
                    <w:rPr>
                      <w:rFonts w:hint="eastAsia"/>
                      <w:snapToGrid w:val="0"/>
                      <w:spacing w:val="4"/>
                      <w:sz w:val="21"/>
                      <w:szCs w:val="21"/>
                      <w:u w:val="single"/>
                      <w:lang w:val="en-US" w:eastAsia="zh-CN"/>
                    </w:rPr>
                    <w:t>36</w:t>
                  </w:r>
                  <w:r>
                    <w:rPr>
                      <w:rFonts w:hint="eastAsia"/>
                      <w:snapToGrid w:val="0"/>
                      <w:spacing w:val="4"/>
                      <w:sz w:val="21"/>
                      <w:szCs w:val="21"/>
                      <w:u w:val="single"/>
                    </w:rPr>
                    <w:t>00</w:t>
                  </w:r>
                </w:p>
              </w:tc>
            </w:tr>
          </w:tbl>
          <w:p>
            <w:pPr>
              <w:pStyle w:val="42"/>
              <w:tabs>
                <w:tab w:val="center" w:pos="3973"/>
              </w:tabs>
              <w:spacing w:line="240" w:lineRule="auto"/>
              <w:rPr>
                <w:b/>
                <w:bCs/>
                <w:sz w:val="21"/>
                <w:szCs w:val="21"/>
              </w:rPr>
            </w:pPr>
            <w:r>
              <w:rPr>
                <w:b/>
                <w:bCs/>
                <w:sz w:val="21"/>
                <w:szCs w:val="21"/>
              </w:rPr>
              <w:t>表4-</w:t>
            </w:r>
            <w:r>
              <w:rPr>
                <w:rFonts w:hint="eastAsia"/>
                <w:b/>
                <w:bCs/>
                <w:sz w:val="21"/>
                <w:szCs w:val="21"/>
                <w:lang w:val="en-US" w:eastAsia="zh-CN"/>
              </w:rPr>
              <w:t>3</w:t>
            </w:r>
            <w:r>
              <w:rPr>
                <w:b/>
                <w:bCs/>
                <w:sz w:val="21"/>
                <w:szCs w:val="21"/>
              </w:rPr>
              <w:t xml:space="preserve">  有组织废气产污环节、污染物种类、排放方式及污染防治设施一览表</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595"/>
              <w:gridCol w:w="587"/>
              <w:gridCol w:w="841"/>
              <w:gridCol w:w="923"/>
              <w:gridCol w:w="923"/>
              <w:gridCol w:w="834"/>
              <w:gridCol w:w="1218"/>
              <w:gridCol w:w="712"/>
              <w:gridCol w:w="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274" w:type="pct"/>
                  <w:vMerge w:val="restart"/>
                  <w:vAlign w:val="center"/>
                </w:tcPr>
                <w:p>
                  <w:pPr>
                    <w:wordWrap w:val="0"/>
                    <w:topLinePunct/>
                    <w:adjustRightInd w:val="0"/>
                    <w:snapToGrid w:val="0"/>
                    <w:spacing w:line="240" w:lineRule="auto"/>
                    <w:ind w:left="-48" w:leftChars="-20" w:right="-48" w:rightChars="-20"/>
                    <w:jc w:val="center"/>
                    <w:rPr>
                      <w:b/>
                      <w:bCs/>
                      <w:sz w:val="21"/>
                      <w:szCs w:val="21"/>
                    </w:rPr>
                  </w:pPr>
                  <w:r>
                    <w:rPr>
                      <w:b/>
                      <w:bCs/>
                      <w:sz w:val="21"/>
                      <w:szCs w:val="21"/>
                    </w:rPr>
                    <w:t>产污</w:t>
                  </w:r>
                </w:p>
                <w:p>
                  <w:pPr>
                    <w:wordWrap w:val="0"/>
                    <w:topLinePunct/>
                    <w:adjustRightInd w:val="0"/>
                    <w:snapToGrid w:val="0"/>
                    <w:spacing w:line="240" w:lineRule="auto"/>
                    <w:ind w:left="-48" w:leftChars="-20" w:right="-48" w:rightChars="-20"/>
                    <w:jc w:val="center"/>
                    <w:rPr>
                      <w:b/>
                      <w:bCs/>
                      <w:sz w:val="21"/>
                      <w:szCs w:val="21"/>
                    </w:rPr>
                  </w:pPr>
                  <w:r>
                    <w:rPr>
                      <w:b/>
                      <w:bCs/>
                      <w:sz w:val="21"/>
                      <w:szCs w:val="21"/>
                    </w:rPr>
                    <w:t>环节</w:t>
                  </w:r>
                </w:p>
              </w:tc>
              <w:tc>
                <w:tcPr>
                  <w:tcW w:w="381" w:type="pct"/>
                  <w:vMerge w:val="restart"/>
                  <w:vAlign w:val="center"/>
                </w:tcPr>
                <w:p>
                  <w:pPr>
                    <w:wordWrap w:val="0"/>
                    <w:topLinePunct/>
                    <w:adjustRightInd w:val="0"/>
                    <w:snapToGrid w:val="0"/>
                    <w:spacing w:line="240" w:lineRule="auto"/>
                    <w:ind w:left="-48" w:leftChars="-20" w:right="-48" w:rightChars="-20"/>
                    <w:jc w:val="center"/>
                    <w:rPr>
                      <w:b/>
                      <w:bCs/>
                      <w:sz w:val="21"/>
                      <w:szCs w:val="21"/>
                    </w:rPr>
                  </w:pPr>
                  <w:r>
                    <w:rPr>
                      <w:b/>
                      <w:bCs/>
                      <w:sz w:val="21"/>
                      <w:szCs w:val="21"/>
                    </w:rPr>
                    <w:t>生产</w:t>
                  </w:r>
                </w:p>
                <w:p>
                  <w:pPr>
                    <w:wordWrap w:val="0"/>
                    <w:topLinePunct/>
                    <w:adjustRightInd w:val="0"/>
                    <w:snapToGrid w:val="0"/>
                    <w:spacing w:line="240" w:lineRule="auto"/>
                    <w:ind w:left="-48" w:leftChars="-20" w:right="-48" w:rightChars="-20"/>
                    <w:jc w:val="center"/>
                    <w:rPr>
                      <w:b/>
                      <w:bCs/>
                      <w:sz w:val="21"/>
                      <w:szCs w:val="21"/>
                    </w:rPr>
                  </w:pPr>
                  <w:r>
                    <w:rPr>
                      <w:b/>
                      <w:bCs/>
                      <w:sz w:val="21"/>
                      <w:szCs w:val="21"/>
                    </w:rPr>
                    <w:t>设施</w:t>
                  </w:r>
                </w:p>
              </w:tc>
              <w:tc>
                <w:tcPr>
                  <w:tcW w:w="376" w:type="pct"/>
                  <w:vMerge w:val="restart"/>
                  <w:vAlign w:val="center"/>
                </w:tcPr>
                <w:p>
                  <w:pPr>
                    <w:wordWrap w:val="0"/>
                    <w:topLinePunct/>
                    <w:adjustRightInd w:val="0"/>
                    <w:snapToGrid w:val="0"/>
                    <w:spacing w:line="240" w:lineRule="auto"/>
                    <w:ind w:left="-48" w:leftChars="-20" w:right="-48" w:rightChars="-20"/>
                    <w:jc w:val="center"/>
                    <w:rPr>
                      <w:b/>
                      <w:bCs/>
                      <w:sz w:val="21"/>
                      <w:szCs w:val="21"/>
                    </w:rPr>
                  </w:pPr>
                  <w:r>
                    <w:rPr>
                      <w:b/>
                      <w:bCs/>
                      <w:sz w:val="21"/>
                      <w:szCs w:val="21"/>
                    </w:rPr>
                    <w:t>污染物</w:t>
                  </w:r>
                </w:p>
                <w:p>
                  <w:pPr>
                    <w:wordWrap w:val="0"/>
                    <w:topLinePunct/>
                    <w:adjustRightInd w:val="0"/>
                    <w:snapToGrid w:val="0"/>
                    <w:spacing w:line="240" w:lineRule="auto"/>
                    <w:ind w:left="-48" w:leftChars="-20" w:right="-48" w:rightChars="-20"/>
                    <w:jc w:val="center"/>
                    <w:rPr>
                      <w:b/>
                      <w:bCs/>
                      <w:sz w:val="21"/>
                      <w:szCs w:val="21"/>
                    </w:rPr>
                  </w:pPr>
                  <w:r>
                    <w:rPr>
                      <w:b/>
                      <w:bCs/>
                      <w:sz w:val="21"/>
                      <w:szCs w:val="21"/>
                    </w:rPr>
                    <w:t>种类</w:t>
                  </w:r>
                </w:p>
              </w:tc>
              <w:tc>
                <w:tcPr>
                  <w:tcW w:w="539" w:type="pct"/>
                  <w:vMerge w:val="restart"/>
                  <w:vAlign w:val="center"/>
                </w:tcPr>
                <w:p>
                  <w:pPr>
                    <w:wordWrap w:val="0"/>
                    <w:topLinePunct/>
                    <w:adjustRightInd w:val="0"/>
                    <w:snapToGrid w:val="0"/>
                    <w:spacing w:line="240" w:lineRule="auto"/>
                    <w:ind w:left="-48" w:leftChars="-20" w:right="-48" w:rightChars="-20"/>
                    <w:jc w:val="center"/>
                    <w:rPr>
                      <w:b/>
                      <w:bCs/>
                      <w:sz w:val="21"/>
                      <w:szCs w:val="21"/>
                    </w:rPr>
                  </w:pPr>
                  <w:r>
                    <w:rPr>
                      <w:b/>
                      <w:bCs/>
                      <w:sz w:val="21"/>
                      <w:szCs w:val="21"/>
                    </w:rPr>
                    <w:t>排放</w:t>
                  </w:r>
                </w:p>
                <w:p>
                  <w:pPr>
                    <w:wordWrap w:val="0"/>
                    <w:topLinePunct/>
                    <w:adjustRightInd w:val="0"/>
                    <w:snapToGrid w:val="0"/>
                    <w:spacing w:line="240" w:lineRule="auto"/>
                    <w:ind w:left="-48" w:leftChars="-20" w:right="-48" w:rightChars="-20"/>
                    <w:jc w:val="center"/>
                    <w:rPr>
                      <w:b/>
                      <w:bCs/>
                      <w:sz w:val="21"/>
                      <w:szCs w:val="21"/>
                    </w:rPr>
                  </w:pPr>
                  <w:r>
                    <w:rPr>
                      <w:b/>
                      <w:bCs/>
                      <w:sz w:val="21"/>
                      <w:szCs w:val="21"/>
                    </w:rPr>
                    <w:t>方式</w:t>
                  </w:r>
                </w:p>
              </w:tc>
              <w:tc>
                <w:tcPr>
                  <w:tcW w:w="591" w:type="pct"/>
                  <w:vMerge w:val="restart"/>
                  <w:vAlign w:val="center"/>
                </w:tcPr>
                <w:p>
                  <w:pPr>
                    <w:wordWrap w:val="0"/>
                    <w:topLinePunct/>
                    <w:adjustRightInd w:val="0"/>
                    <w:snapToGrid w:val="0"/>
                    <w:spacing w:line="240" w:lineRule="auto"/>
                    <w:ind w:left="-48" w:leftChars="-20" w:right="-48" w:rightChars="-20"/>
                    <w:jc w:val="center"/>
                    <w:rPr>
                      <w:b/>
                      <w:bCs/>
                      <w:sz w:val="21"/>
                      <w:szCs w:val="21"/>
                    </w:rPr>
                  </w:pPr>
                  <w:r>
                    <w:rPr>
                      <w:b/>
                      <w:bCs/>
                      <w:sz w:val="21"/>
                      <w:szCs w:val="21"/>
                    </w:rPr>
                    <w:t>执行</w:t>
                  </w:r>
                </w:p>
                <w:p>
                  <w:pPr>
                    <w:wordWrap w:val="0"/>
                    <w:topLinePunct/>
                    <w:adjustRightInd w:val="0"/>
                    <w:snapToGrid w:val="0"/>
                    <w:spacing w:line="240" w:lineRule="auto"/>
                    <w:ind w:left="-48" w:leftChars="-20" w:right="-48" w:rightChars="-20"/>
                    <w:jc w:val="center"/>
                    <w:rPr>
                      <w:b/>
                      <w:bCs/>
                      <w:sz w:val="21"/>
                      <w:szCs w:val="21"/>
                    </w:rPr>
                  </w:pPr>
                  <w:r>
                    <w:rPr>
                      <w:b/>
                      <w:bCs/>
                      <w:sz w:val="21"/>
                      <w:szCs w:val="21"/>
                    </w:rPr>
                    <w:t>标准</w:t>
                  </w:r>
                </w:p>
              </w:tc>
              <w:tc>
                <w:tcPr>
                  <w:tcW w:w="591" w:type="pct"/>
                  <w:vMerge w:val="restart"/>
                  <w:vAlign w:val="center"/>
                </w:tcPr>
                <w:p>
                  <w:pPr>
                    <w:wordWrap w:val="0"/>
                    <w:topLinePunct/>
                    <w:adjustRightInd w:val="0"/>
                    <w:snapToGrid w:val="0"/>
                    <w:spacing w:line="240" w:lineRule="auto"/>
                    <w:ind w:left="-48" w:leftChars="-20" w:right="-48" w:rightChars="-20"/>
                    <w:jc w:val="center"/>
                    <w:rPr>
                      <w:b/>
                      <w:bCs/>
                      <w:sz w:val="21"/>
                      <w:szCs w:val="21"/>
                      <w:highlight w:val="green"/>
                    </w:rPr>
                  </w:pPr>
                  <w:r>
                    <w:rPr>
                      <w:b/>
                      <w:bCs/>
                      <w:sz w:val="21"/>
                      <w:szCs w:val="21"/>
                    </w:rPr>
                    <w:t>浓度限值（mg/m</w:t>
                  </w:r>
                  <w:r>
                    <w:rPr>
                      <w:b/>
                      <w:bCs/>
                      <w:sz w:val="21"/>
                      <w:szCs w:val="21"/>
                      <w:vertAlign w:val="superscript"/>
                    </w:rPr>
                    <w:t>3</w:t>
                  </w:r>
                  <w:r>
                    <w:rPr>
                      <w:b/>
                      <w:bCs/>
                      <w:sz w:val="21"/>
                      <w:szCs w:val="21"/>
                    </w:rPr>
                    <w:t>）</w:t>
                  </w:r>
                </w:p>
              </w:tc>
              <w:tc>
                <w:tcPr>
                  <w:tcW w:w="534" w:type="pct"/>
                  <w:vMerge w:val="restart"/>
                  <w:vAlign w:val="center"/>
                </w:tcPr>
                <w:p>
                  <w:pPr>
                    <w:wordWrap w:val="0"/>
                    <w:topLinePunct/>
                    <w:adjustRightInd w:val="0"/>
                    <w:snapToGrid w:val="0"/>
                    <w:spacing w:line="240" w:lineRule="auto"/>
                    <w:ind w:right="-48" w:rightChars="-20"/>
                    <w:jc w:val="center"/>
                    <w:rPr>
                      <w:b/>
                      <w:bCs/>
                      <w:sz w:val="21"/>
                      <w:szCs w:val="21"/>
                    </w:rPr>
                  </w:pPr>
                  <w:r>
                    <w:rPr>
                      <w:b/>
                      <w:bCs/>
                      <w:sz w:val="21"/>
                      <w:szCs w:val="21"/>
                    </w:rPr>
                    <w:t>排放浓度</w:t>
                  </w:r>
                </w:p>
              </w:tc>
              <w:tc>
                <w:tcPr>
                  <w:tcW w:w="1236" w:type="pct"/>
                  <w:gridSpan w:val="2"/>
                  <w:vAlign w:val="center"/>
                </w:tcPr>
                <w:p>
                  <w:pPr>
                    <w:wordWrap w:val="0"/>
                    <w:topLinePunct/>
                    <w:adjustRightInd w:val="0"/>
                    <w:snapToGrid w:val="0"/>
                    <w:spacing w:line="240" w:lineRule="auto"/>
                    <w:ind w:left="-48" w:leftChars="-20" w:right="-48" w:rightChars="-20"/>
                    <w:jc w:val="center"/>
                    <w:rPr>
                      <w:b/>
                      <w:bCs/>
                      <w:sz w:val="21"/>
                      <w:szCs w:val="21"/>
                    </w:rPr>
                  </w:pPr>
                  <w:r>
                    <w:rPr>
                      <w:b/>
                      <w:bCs/>
                      <w:sz w:val="21"/>
                      <w:szCs w:val="21"/>
                    </w:rPr>
                    <w:t>污染防治设施</w:t>
                  </w:r>
                </w:p>
              </w:tc>
              <w:tc>
                <w:tcPr>
                  <w:tcW w:w="474" w:type="pct"/>
                  <w:vMerge w:val="restart"/>
                  <w:vAlign w:val="center"/>
                </w:tcPr>
                <w:p>
                  <w:pPr>
                    <w:wordWrap w:val="0"/>
                    <w:topLinePunct/>
                    <w:adjustRightInd w:val="0"/>
                    <w:snapToGrid w:val="0"/>
                    <w:spacing w:line="240" w:lineRule="auto"/>
                    <w:ind w:left="-48" w:leftChars="-20" w:right="-48" w:rightChars="-20"/>
                    <w:jc w:val="center"/>
                    <w:rPr>
                      <w:b/>
                      <w:bCs/>
                      <w:sz w:val="21"/>
                      <w:szCs w:val="21"/>
                    </w:rPr>
                  </w:pPr>
                  <w:r>
                    <w:rPr>
                      <w:b/>
                      <w:bCs/>
                      <w:sz w:val="21"/>
                      <w:szCs w:val="21"/>
                    </w:rPr>
                    <w:t>排放口</w:t>
                  </w:r>
                </w:p>
                <w:p>
                  <w:pPr>
                    <w:wordWrap w:val="0"/>
                    <w:topLinePunct/>
                    <w:adjustRightInd w:val="0"/>
                    <w:snapToGrid w:val="0"/>
                    <w:spacing w:line="240" w:lineRule="auto"/>
                    <w:ind w:left="-48" w:leftChars="-20" w:right="-48" w:rightChars="-20"/>
                    <w:jc w:val="center"/>
                    <w:rPr>
                      <w:b/>
                      <w:bCs/>
                      <w:sz w:val="21"/>
                      <w:szCs w:val="21"/>
                    </w:rPr>
                  </w:pPr>
                  <w:r>
                    <w:rPr>
                      <w:b/>
                      <w:bCs/>
                      <w:sz w:val="21"/>
                      <w:szCs w:val="21"/>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274" w:type="pct"/>
                  <w:vMerge w:val="continue"/>
                  <w:vAlign w:val="center"/>
                </w:tcPr>
                <w:p>
                  <w:pPr>
                    <w:wordWrap w:val="0"/>
                    <w:topLinePunct/>
                    <w:adjustRightInd w:val="0"/>
                    <w:snapToGrid w:val="0"/>
                    <w:spacing w:line="240" w:lineRule="auto"/>
                    <w:ind w:left="-48" w:leftChars="-20" w:right="-48" w:rightChars="-20"/>
                    <w:jc w:val="center"/>
                    <w:rPr>
                      <w:b/>
                      <w:bCs/>
                      <w:sz w:val="21"/>
                      <w:szCs w:val="21"/>
                    </w:rPr>
                  </w:pPr>
                </w:p>
              </w:tc>
              <w:tc>
                <w:tcPr>
                  <w:tcW w:w="381" w:type="pct"/>
                  <w:vMerge w:val="continue"/>
                  <w:vAlign w:val="center"/>
                </w:tcPr>
                <w:p>
                  <w:pPr>
                    <w:wordWrap w:val="0"/>
                    <w:topLinePunct/>
                    <w:adjustRightInd w:val="0"/>
                    <w:snapToGrid w:val="0"/>
                    <w:spacing w:line="240" w:lineRule="auto"/>
                    <w:ind w:left="-48" w:leftChars="-20" w:right="-48" w:rightChars="-20"/>
                    <w:jc w:val="center"/>
                    <w:rPr>
                      <w:b/>
                      <w:bCs/>
                      <w:sz w:val="21"/>
                      <w:szCs w:val="21"/>
                    </w:rPr>
                  </w:pPr>
                </w:p>
              </w:tc>
              <w:tc>
                <w:tcPr>
                  <w:tcW w:w="376" w:type="pct"/>
                  <w:vMerge w:val="continue"/>
                  <w:vAlign w:val="center"/>
                </w:tcPr>
                <w:p>
                  <w:pPr>
                    <w:wordWrap w:val="0"/>
                    <w:topLinePunct/>
                    <w:adjustRightInd w:val="0"/>
                    <w:snapToGrid w:val="0"/>
                    <w:spacing w:line="240" w:lineRule="auto"/>
                    <w:ind w:left="-48" w:leftChars="-20" w:right="-48" w:rightChars="-20"/>
                    <w:jc w:val="center"/>
                    <w:rPr>
                      <w:b/>
                      <w:bCs/>
                      <w:sz w:val="21"/>
                      <w:szCs w:val="21"/>
                    </w:rPr>
                  </w:pPr>
                </w:p>
              </w:tc>
              <w:tc>
                <w:tcPr>
                  <w:tcW w:w="539" w:type="pct"/>
                  <w:vMerge w:val="continue"/>
                  <w:vAlign w:val="center"/>
                </w:tcPr>
                <w:p>
                  <w:pPr>
                    <w:wordWrap w:val="0"/>
                    <w:topLinePunct/>
                    <w:adjustRightInd w:val="0"/>
                    <w:snapToGrid w:val="0"/>
                    <w:spacing w:line="240" w:lineRule="auto"/>
                    <w:ind w:left="-48" w:leftChars="-20" w:right="-48" w:rightChars="-20"/>
                    <w:jc w:val="center"/>
                    <w:rPr>
                      <w:b/>
                      <w:bCs/>
                      <w:sz w:val="21"/>
                      <w:szCs w:val="21"/>
                    </w:rPr>
                  </w:pPr>
                </w:p>
              </w:tc>
              <w:tc>
                <w:tcPr>
                  <w:tcW w:w="591" w:type="pct"/>
                  <w:vMerge w:val="continue"/>
                  <w:vAlign w:val="center"/>
                </w:tcPr>
                <w:p>
                  <w:pPr>
                    <w:wordWrap w:val="0"/>
                    <w:topLinePunct/>
                    <w:adjustRightInd w:val="0"/>
                    <w:snapToGrid w:val="0"/>
                    <w:spacing w:line="240" w:lineRule="auto"/>
                    <w:ind w:left="-48" w:leftChars="-20" w:right="-48" w:rightChars="-20"/>
                    <w:jc w:val="center"/>
                    <w:rPr>
                      <w:b/>
                      <w:bCs/>
                      <w:sz w:val="21"/>
                      <w:szCs w:val="21"/>
                    </w:rPr>
                  </w:pPr>
                </w:p>
              </w:tc>
              <w:tc>
                <w:tcPr>
                  <w:tcW w:w="591" w:type="pct"/>
                  <w:vMerge w:val="continue"/>
                  <w:vAlign w:val="center"/>
                </w:tcPr>
                <w:p>
                  <w:pPr>
                    <w:wordWrap w:val="0"/>
                    <w:topLinePunct/>
                    <w:adjustRightInd w:val="0"/>
                    <w:snapToGrid w:val="0"/>
                    <w:spacing w:line="240" w:lineRule="auto"/>
                    <w:ind w:left="-48" w:leftChars="-20" w:right="-48" w:rightChars="-20"/>
                    <w:jc w:val="center"/>
                    <w:rPr>
                      <w:b/>
                      <w:bCs/>
                      <w:sz w:val="21"/>
                      <w:szCs w:val="21"/>
                    </w:rPr>
                  </w:pPr>
                </w:p>
              </w:tc>
              <w:tc>
                <w:tcPr>
                  <w:tcW w:w="534" w:type="pct"/>
                  <w:vMerge w:val="continue"/>
                  <w:vAlign w:val="center"/>
                </w:tcPr>
                <w:p>
                  <w:pPr>
                    <w:wordWrap w:val="0"/>
                    <w:topLinePunct/>
                    <w:adjustRightInd w:val="0"/>
                    <w:snapToGrid w:val="0"/>
                    <w:spacing w:line="240" w:lineRule="auto"/>
                    <w:ind w:left="-48" w:leftChars="-20" w:right="-48" w:rightChars="-20"/>
                    <w:jc w:val="center"/>
                    <w:rPr>
                      <w:b/>
                      <w:bCs/>
                      <w:sz w:val="21"/>
                      <w:szCs w:val="21"/>
                    </w:rPr>
                  </w:pPr>
                </w:p>
              </w:tc>
              <w:tc>
                <w:tcPr>
                  <w:tcW w:w="780" w:type="pct"/>
                  <w:vAlign w:val="center"/>
                </w:tcPr>
                <w:p>
                  <w:pPr>
                    <w:pStyle w:val="26"/>
                    <w:wordWrap w:val="0"/>
                    <w:topLinePunct/>
                    <w:autoSpaceDE/>
                    <w:autoSpaceDN/>
                    <w:snapToGrid w:val="0"/>
                    <w:spacing w:line="240" w:lineRule="auto"/>
                    <w:ind w:right="-48" w:rightChars="-2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污染防治设施名称及工艺</w:t>
                  </w:r>
                </w:p>
              </w:tc>
              <w:tc>
                <w:tcPr>
                  <w:tcW w:w="455" w:type="pct"/>
                  <w:vAlign w:val="center"/>
                </w:tcPr>
                <w:p>
                  <w:pPr>
                    <w:wordWrap w:val="0"/>
                    <w:topLinePunct/>
                    <w:adjustRightInd w:val="0"/>
                    <w:snapToGrid w:val="0"/>
                    <w:spacing w:line="240" w:lineRule="auto"/>
                    <w:ind w:left="-48" w:leftChars="-20" w:right="-48" w:rightChars="-20"/>
                    <w:jc w:val="center"/>
                    <w:rPr>
                      <w:b/>
                      <w:bCs/>
                      <w:sz w:val="21"/>
                      <w:szCs w:val="21"/>
                    </w:rPr>
                  </w:pPr>
                  <w:r>
                    <w:rPr>
                      <w:b/>
                      <w:bCs/>
                      <w:sz w:val="21"/>
                      <w:szCs w:val="21"/>
                    </w:rPr>
                    <w:t>是否为可</w:t>
                  </w:r>
                </w:p>
                <w:p>
                  <w:pPr>
                    <w:wordWrap w:val="0"/>
                    <w:topLinePunct/>
                    <w:adjustRightInd w:val="0"/>
                    <w:snapToGrid w:val="0"/>
                    <w:spacing w:line="240" w:lineRule="auto"/>
                    <w:ind w:left="-48" w:leftChars="-20" w:right="-48" w:rightChars="-20"/>
                    <w:jc w:val="center"/>
                    <w:rPr>
                      <w:b/>
                      <w:bCs/>
                      <w:sz w:val="21"/>
                      <w:szCs w:val="21"/>
                    </w:rPr>
                  </w:pPr>
                  <w:r>
                    <w:rPr>
                      <w:b/>
                      <w:bCs/>
                      <w:sz w:val="21"/>
                      <w:szCs w:val="21"/>
                    </w:rPr>
                    <w:t>行技术</w:t>
                  </w:r>
                </w:p>
              </w:tc>
              <w:tc>
                <w:tcPr>
                  <w:tcW w:w="474" w:type="pct"/>
                  <w:vMerge w:val="continue"/>
                  <w:vAlign w:val="center"/>
                </w:tcPr>
                <w:p>
                  <w:pPr>
                    <w:wordWrap w:val="0"/>
                    <w:topLinePunct/>
                    <w:adjustRightInd w:val="0"/>
                    <w:snapToGrid w:val="0"/>
                    <w:spacing w:line="240" w:lineRule="auto"/>
                    <w:ind w:left="-48" w:leftChars="-20" w:right="-48" w:rightChars="-2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274" w:type="pct"/>
                  <w:vAlign w:val="center"/>
                </w:tcPr>
                <w:p>
                  <w:pPr>
                    <w:wordWrap w:val="0"/>
                    <w:topLinePunct/>
                    <w:adjustRightInd w:val="0"/>
                    <w:snapToGrid w:val="0"/>
                    <w:spacing w:line="240" w:lineRule="auto"/>
                    <w:ind w:left="-48" w:leftChars="-20" w:right="-48" w:rightChars="-20"/>
                    <w:jc w:val="center"/>
                    <w:rPr>
                      <w:sz w:val="21"/>
                      <w:szCs w:val="21"/>
                    </w:rPr>
                  </w:pPr>
                  <w:r>
                    <w:rPr>
                      <w:sz w:val="21"/>
                      <w:szCs w:val="21"/>
                    </w:rPr>
                    <w:t>烹饪</w:t>
                  </w:r>
                </w:p>
              </w:tc>
              <w:tc>
                <w:tcPr>
                  <w:tcW w:w="381" w:type="pct"/>
                  <w:vAlign w:val="center"/>
                </w:tcPr>
                <w:p>
                  <w:pPr>
                    <w:wordWrap w:val="0"/>
                    <w:topLinePunct/>
                    <w:adjustRightInd w:val="0"/>
                    <w:snapToGrid w:val="0"/>
                    <w:spacing w:line="240" w:lineRule="auto"/>
                    <w:ind w:left="-48" w:leftChars="-20" w:right="-48" w:rightChars="-20"/>
                    <w:jc w:val="center"/>
                    <w:rPr>
                      <w:sz w:val="21"/>
                      <w:szCs w:val="21"/>
                    </w:rPr>
                  </w:pPr>
                  <w:r>
                    <w:rPr>
                      <w:sz w:val="21"/>
                      <w:szCs w:val="21"/>
                    </w:rPr>
                    <w:t>食堂</w:t>
                  </w:r>
                </w:p>
              </w:tc>
              <w:tc>
                <w:tcPr>
                  <w:tcW w:w="376" w:type="pct"/>
                  <w:vAlign w:val="center"/>
                </w:tcPr>
                <w:p>
                  <w:pPr>
                    <w:wordWrap w:val="0"/>
                    <w:topLinePunct/>
                    <w:adjustRightInd w:val="0"/>
                    <w:snapToGrid w:val="0"/>
                    <w:spacing w:line="240" w:lineRule="auto"/>
                    <w:ind w:left="-48" w:leftChars="-20" w:right="-48" w:rightChars="-20"/>
                    <w:jc w:val="center"/>
                    <w:rPr>
                      <w:sz w:val="21"/>
                      <w:szCs w:val="21"/>
                    </w:rPr>
                  </w:pPr>
                  <w:r>
                    <w:rPr>
                      <w:sz w:val="21"/>
                      <w:szCs w:val="21"/>
                    </w:rPr>
                    <w:t>油烟</w:t>
                  </w:r>
                </w:p>
              </w:tc>
              <w:tc>
                <w:tcPr>
                  <w:tcW w:w="539" w:type="pct"/>
                  <w:vAlign w:val="center"/>
                </w:tcPr>
                <w:p>
                  <w:pPr>
                    <w:wordWrap w:val="0"/>
                    <w:topLinePunct/>
                    <w:adjustRightInd w:val="0"/>
                    <w:snapToGrid w:val="0"/>
                    <w:spacing w:line="240" w:lineRule="auto"/>
                    <w:ind w:left="-48" w:leftChars="-20" w:right="-48" w:rightChars="-20"/>
                    <w:jc w:val="center"/>
                    <w:rPr>
                      <w:sz w:val="21"/>
                      <w:szCs w:val="21"/>
                    </w:rPr>
                  </w:pPr>
                  <w:r>
                    <w:rPr>
                      <w:sz w:val="21"/>
                      <w:szCs w:val="21"/>
                    </w:rPr>
                    <w:t>有组织</w:t>
                  </w:r>
                </w:p>
              </w:tc>
              <w:tc>
                <w:tcPr>
                  <w:tcW w:w="591" w:type="pct"/>
                  <w:vAlign w:val="center"/>
                </w:tcPr>
                <w:p>
                  <w:pPr>
                    <w:wordWrap w:val="0"/>
                    <w:topLinePunct/>
                    <w:adjustRightInd w:val="0"/>
                    <w:snapToGrid w:val="0"/>
                    <w:spacing w:line="240" w:lineRule="auto"/>
                    <w:ind w:left="-48" w:leftChars="-20" w:right="-48" w:rightChars="-20"/>
                    <w:jc w:val="center"/>
                    <w:rPr>
                      <w:rFonts w:hint="default"/>
                      <w:sz w:val="21"/>
                      <w:szCs w:val="21"/>
                      <w:lang w:val="en-US"/>
                    </w:rPr>
                  </w:pPr>
                  <w:r>
                    <w:rPr>
                      <w:rFonts w:hint="eastAsia"/>
                      <w:sz w:val="21"/>
                      <w:szCs w:val="21"/>
                      <w:lang w:val="en-US" w:eastAsia="zh-CN"/>
                    </w:rPr>
                    <w:t>/</w:t>
                  </w:r>
                </w:p>
              </w:tc>
              <w:tc>
                <w:tcPr>
                  <w:tcW w:w="591" w:type="pct"/>
                  <w:vAlign w:val="center"/>
                </w:tcPr>
                <w:p>
                  <w:pPr>
                    <w:wordWrap w:val="0"/>
                    <w:topLinePunct/>
                    <w:adjustRightInd w:val="0"/>
                    <w:snapToGrid w:val="0"/>
                    <w:spacing w:line="240" w:lineRule="auto"/>
                    <w:ind w:left="-48" w:leftChars="-20" w:right="-48" w:rightChars="-20"/>
                    <w:jc w:val="center"/>
                    <w:rPr>
                      <w:sz w:val="21"/>
                      <w:szCs w:val="21"/>
                    </w:rPr>
                  </w:pPr>
                  <w:r>
                    <w:rPr>
                      <w:sz w:val="21"/>
                      <w:szCs w:val="21"/>
                    </w:rPr>
                    <w:t>/</w:t>
                  </w:r>
                </w:p>
              </w:tc>
              <w:tc>
                <w:tcPr>
                  <w:tcW w:w="534" w:type="pct"/>
                  <w:vAlign w:val="center"/>
                </w:tcPr>
                <w:p>
                  <w:pPr>
                    <w:wordWrap w:val="0"/>
                    <w:topLinePunct/>
                    <w:adjustRightInd w:val="0"/>
                    <w:snapToGrid w:val="0"/>
                    <w:spacing w:line="240" w:lineRule="auto"/>
                    <w:ind w:left="-48" w:leftChars="-20" w:right="-48" w:rightChars="-20"/>
                    <w:jc w:val="center"/>
                    <w:rPr>
                      <w:sz w:val="21"/>
                      <w:szCs w:val="21"/>
                    </w:rPr>
                  </w:pPr>
                  <w:r>
                    <w:rPr>
                      <w:sz w:val="21"/>
                      <w:szCs w:val="21"/>
                    </w:rPr>
                    <w:t>0.</w:t>
                  </w:r>
                  <w:r>
                    <w:rPr>
                      <w:rFonts w:hint="eastAsia"/>
                      <w:sz w:val="21"/>
                      <w:szCs w:val="21"/>
                    </w:rPr>
                    <w:t>0</w:t>
                  </w:r>
                  <w:r>
                    <w:rPr>
                      <w:sz w:val="21"/>
                      <w:szCs w:val="21"/>
                    </w:rPr>
                    <w:t>7</w:t>
                  </w:r>
                </w:p>
              </w:tc>
              <w:tc>
                <w:tcPr>
                  <w:tcW w:w="780" w:type="pct"/>
                  <w:vAlign w:val="center"/>
                </w:tcPr>
                <w:p>
                  <w:pPr>
                    <w:wordWrap w:val="0"/>
                    <w:topLinePunct/>
                    <w:adjustRightInd w:val="0"/>
                    <w:snapToGrid w:val="0"/>
                    <w:spacing w:line="240" w:lineRule="auto"/>
                    <w:ind w:left="-48" w:leftChars="-20" w:right="-48" w:rightChars="-20"/>
                    <w:jc w:val="center"/>
                    <w:rPr>
                      <w:sz w:val="21"/>
                      <w:szCs w:val="21"/>
                    </w:rPr>
                  </w:pPr>
                  <w:r>
                    <w:rPr>
                      <w:sz w:val="21"/>
                      <w:szCs w:val="21"/>
                    </w:rPr>
                    <w:t>油烟净化设备</w:t>
                  </w:r>
                </w:p>
              </w:tc>
              <w:tc>
                <w:tcPr>
                  <w:tcW w:w="455" w:type="pct"/>
                  <w:vAlign w:val="center"/>
                </w:tcPr>
                <w:p>
                  <w:pPr>
                    <w:wordWrap w:val="0"/>
                    <w:topLinePunct/>
                    <w:adjustRightInd w:val="0"/>
                    <w:snapToGrid w:val="0"/>
                    <w:spacing w:line="240" w:lineRule="auto"/>
                    <w:ind w:left="-48" w:leftChars="-20" w:right="-48" w:rightChars="-20"/>
                    <w:jc w:val="center"/>
                    <w:rPr>
                      <w:sz w:val="21"/>
                      <w:szCs w:val="21"/>
                    </w:rPr>
                  </w:pPr>
                  <w:r>
                    <w:rPr>
                      <w:sz w:val="21"/>
                      <w:szCs w:val="21"/>
                    </w:rPr>
                    <w:t>是</w:t>
                  </w:r>
                </w:p>
              </w:tc>
              <w:tc>
                <w:tcPr>
                  <w:tcW w:w="474" w:type="pct"/>
                  <w:vAlign w:val="center"/>
                </w:tcPr>
                <w:p>
                  <w:pPr>
                    <w:wordWrap w:val="0"/>
                    <w:topLinePunct/>
                    <w:adjustRightInd w:val="0"/>
                    <w:snapToGrid w:val="0"/>
                    <w:spacing w:line="240" w:lineRule="auto"/>
                    <w:ind w:left="-48" w:leftChars="-20" w:right="-48" w:rightChars="-20"/>
                    <w:jc w:val="center"/>
                    <w:rPr>
                      <w:sz w:val="21"/>
                      <w:szCs w:val="21"/>
                    </w:rPr>
                  </w:pPr>
                  <w:r>
                    <w:rPr>
                      <w:sz w:val="21"/>
                      <w:szCs w:val="21"/>
                    </w:rPr>
                    <w:t>一般排放口</w:t>
                  </w:r>
                </w:p>
              </w:tc>
            </w:tr>
          </w:tbl>
          <w:p>
            <w:pPr>
              <w:wordWrap w:val="0"/>
              <w:topLinePunct/>
              <w:adjustRightInd w:val="0"/>
              <w:snapToGrid w:val="0"/>
              <w:spacing w:line="240" w:lineRule="auto"/>
              <w:ind w:firstLine="421" w:firstLineChars="200"/>
              <w:rPr>
                <w:b/>
                <w:bCs/>
                <w:sz w:val="21"/>
                <w:szCs w:val="21"/>
              </w:rPr>
            </w:pPr>
            <w:r>
              <w:rPr>
                <w:b/>
                <w:bCs/>
                <w:sz w:val="21"/>
                <w:szCs w:val="21"/>
              </w:rPr>
              <w:t>表4-</w:t>
            </w:r>
            <w:r>
              <w:rPr>
                <w:rFonts w:hint="eastAsia"/>
                <w:b/>
                <w:bCs/>
                <w:sz w:val="21"/>
                <w:szCs w:val="21"/>
                <w:lang w:val="en-US" w:eastAsia="zh-CN"/>
              </w:rPr>
              <w:t>4</w:t>
            </w:r>
            <w:r>
              <w:rPr>
                <w:b/>
                <w:bCs/>
                <w:sz w:val="21"/>
                <w:szCs w:val="21"/>
              </w:rPr>
              <w:t xml:space="preserve">  无组织废气产污环节、污染物种类、排放形式及污染防治设施一览表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971"/>
              <w:gridCol w:w="890"/>
              <w:gridCol w:w="1422"/>
              <w:gridCol w:w="1871"/>
              <w:gridCol w:w="1178"/>
              <w:gridCol w:w="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1" w:hRule="atLeast"/>
                <w:jc w:val="center"/>
              </w:trPr>
              <w:tc>
                <w:tcPr>
                  <w:tcW w:w="331" w:type="pct"/>
                  <w:vMerge w:val="restart"/>
                  <w:vAlign w:val="center"/>
                </w:tcPr>
                <w:p>
                  <w:pPr>
                    <w:pStyle w:val="46"/>
                    <w:rPr>
                      <w:b/>
                      <w:bCs/>
                      <w:kern w:val="2"/>
                      <w:szCs w:val="21"/>
                      <w:u w:val="single"/>
                    </w:rPr>
                  </w:pPr>
                  <w:r>
                    <w:rPr>
                      <w:b/>
                      <w:bCs/>
                      <w:kern w:val="2"/>
                      <w:szCs w:val="21"/>
                      <w:u w:val="single"/>
                    </w:rPr>
                    <w:t>序号</w:t>
                  </w:r>
                </w:p>
              </w:tc>
              <w:tc>
                <w:tcPr>
                  <w:tcW w:w="622" w:type="pct"/>
                  <w:vMerge w:val="restart"/>
                  <w:vAlign w:val="center"/>
                </w:tcPr>
                <w:p>
                  <w:pPr>
                    <w:pStyle w:val="46"/>
                    <w:rPr>
                      <w:b/>
                      <w:bCs/>
                      <w:kern w:val="2"/>
                      <w:szCs w:val="21"/>
                      <w:u w:val="single"/>
                    </w:rPr>
                  </w:pPr>
                  <w:r>
                    <w:rPr>
                      <w:b/>
                      <w:bCs/>
                      <w:kern w:val="2"/>
                      <w:szCs w:val="21"/>
                      <w:u w:val="single"/>
                    </w:rPr>
                    <w:t>产污</w:t>
                  </w:r>
                </w:p>
                <w:p>
                  <w:pPr>
                    <w:pStyle w:val="46"/>
                    <w:rPr>
                      <w:b/>
                      <w:bCs/>
                      <w:kern w:val="2"/>
                      <w:szCs w:val="21"/>
                      <w:u w:val="single"/>
                    </w:rPr>
                  </w:pPr>
                  <w:r>
                    <w:rPr>
                      <w:b/>
                      <w:bCs/>
                      <w:kern w:val="2"/>
                      <w:szCs w:val="21"/>
                      <w:u w:val="single"/>
                    </w:rPr>
                    <w:t>环节</w:t>
                  </w:r>
                </w:p>
              </w:tc>
              <w:tc>
                <w:tcPr>
                  <w:tcW w:w="570" w:type="pct"/>
                  <w:vMerge w:val="restart"/>
                  <w:vAlign w:val="center"/>
                </w:tcPr>
                <w:p>
                  <w:pPr>
                    <w:pStyle w:val="46"/>
                    <w:rPr>
                      <w:b/>
                      <w:bCs/>
                      <w:kern w:val="2"/>
                      <w:szCs w:val="21"/>
                      <w:u w:val="single"/>
                    </w:rPr>
                  </w:pPr>
                  <w:r>
                    <w:rPr>
                      <w:b/>
                      <w:bCs/>
                      <w:kern w:val="2"/>
                      <w:szCs w:val="21"/>
                      <w:u w:val="single"/>
                    </w:rPr>
                    <w:t>污染物</w:t>
                  </w:r>
                </w:p>
              </w:tc>
              <w:tc>
                <w:tcPr>
                  <w:tcW w:w="911" w:type="pct"/>
                  <w:vMerge w:val="restart"/>
                  <w:vAlign w:val="center"/>
                </w:tcPr>
                <w:p>
                  <w:pPr>
                    <w:pStyle w:val="46"/>
                    <w:rPr>
                      <w:b/>
                      <w:bCs/>
                      <w:kern w:val="2"/>
                      <w:szCs w:val="21"/>
                      <w:u w:val="single"/>
                    </w:rPr>
                  </w:pPr>
                  <w:r>
                    <w:rPr>
                      <w:b/>
                      <w:bCs/>
                      <w:kern w:val="2"/>
                      <w:szCs w:val="21"/>
                      <w:u w:val="single"/>
                    </w:rPr>
                    <w:t>主要污染防治措施</w:t>
                  </w:r>
                </w:p>
              </w:tc>
              <w:tc>
                <w:tcPr>
                  <w:tcW w:w="1953" w:type="pct"/>
                  <w:gridSpan w:val="2"/>
                  <w:vAlign w:val="center"/>
                </w:tcPr>
                <w:p>
                  <w:pPr>
                    <w:pStyle w:val="46"/>
                    <w:rPr>
                      <w:b/>
                      <w:bCs/>
                      <w:kern w:val="2"/>
                      <w:szCs w:val="21"/>
                      <w:u w:val="single"/>
                    </w:rPr>
                  </w:pPr>
                  <w:r>
                    <w:rPr>
                      <w:b/>
                      <w:bCs/>
                      <w:kern w:val="2"/>
                      <w:szCs w:val="21"/>
                      <w:u w:val="single"/>
                    </w:rPr>
                    <w:t>国家或地方污染物排放标准</w:t>
                  </w:r>
                </w:p>
              </w:tc>
              <w:tc>
                <w:tcPr>
                  <w:tcW w:w="611" w:type="pct"/>
                  <w:vMerge w:val="restart"/>
                  <w:vAlign w:val="center"/>
                </w:tcPr>
                <w:p>
                  <w:pPr>
                    <w:pStyle w:val="46"/>
                    <w:rPr>
                      <w:b/>
                      <w:bCs/>
                      <w:kern w:val="2"/>
                      <w:szCs w:val="21"/>
                      <w:u w:val="single"/>
                    </w:rPr>
                  </w:pPr>
                  <w:r>
                    <w:rPr>
                      <w:b/>
                      <w:bCs/>
                      <w:kern w:val="2"/>
                      <w:szCs w:val="21"/>
                      <w:u w:val="single"/>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4" w:hRule="atLeast"/>
                <w:jc w:val="center"/>
              </w:trPr>
              <w:tc>
                <w:tcPr>
                  <w:tcW w:w="331" w:type="pct"/>
                  <w:vMerge w:val="continue"/>
                  <w:vAlign w:val="center"/>
                </w:tcPr>
                <w:p>
                  <w:pPr>
                    <w:pStyle w:val="46"/>
                    <w:rPr>
                      <w:b/>
                      <w:bCs/>
                      <w:kern w:val="2"/>
                      <w:szCs w:val="21"/>
                      <w:u w:val="single"/>
                    </w:rPr>
                  </w:pPr>
                </w:p>
              </w:tc>
              <w:tc>
                <w:tcPr>
                  <w:tcW w:w="622" w:type="pct"/>
                  <w:vMerge w:val="continue"/>
                  <w:vAlign w:val="center"/>
                </w:tcPr>
                <w:p>
                  <w:pPr>
                    <w:pStyle w:val="46"/>
                    <w:rPr>
                      <w:b/>
                      <w:bCs/>
                      <w:kern w:val="2"/>
                      <w:szCs w:val="21"/>
                      <w:u w:val="single"/>
                    </w:rPr>
                  </w:pPr>
                </w:p>
              </w:tc>
              <w:tc>
                <w:tcPr>
                  <w:tcW w:w="570" w:type="pct"/>
                  <w:vMerge w:val="continue"/>
                  <w:vAlign w:val="center"/>
                </w:tcPr>
                <w:p>
                  <w:pPr>
                    <w:pStyle w:val="46"/>
                    <w:rPr>
                      <w:b/>
                      <w:bCs/>
                      <w:kern w:val="2"/>
                      <w:szCs w:val="21"/>
                      <w:u w:val="single"/>
                    </w:rPr>
                  </w:pPr>
                </w:p>
              </w:tc>
              <w:tc>
                <w:tcPr>
                  <w:tcW w:w="911" w:type="pct"/>
                  <w:vMerge w:val="continue"/>
                  <w:vAlign w:val="center"/>
                </w:tcPr>
                <w:p>
                  <w:pPr>
                    <w:pStyle w:val="46"/>
                    <w:rPr>
                      <w:b/>
                      <w:bCs/>
                      <w:kern w:val="2"/>
                      <w:szCs w:val="21"/>
                      <w:u w:val="single"/>
                    </w:rPr>
                  </w:pPr>
                </w:p>
              </w:tc>
              <w:tc>
                <w:tcPr>
                  <w:tcW w:w="1198" w:type="pct"/>
                  <w:vAlign w:val="center"/>
                </w:tcPr>
                <w:p>
                  <w:pPr>
                    <w:pStyle w:val="46"/>
                    <w:rPr>
                      <w:b/>
                      <w:bCs/>
                      <w:kern w:val="2"/>
                      <w:szCs w:val="21"/>
                      <w:u w:val="single"/>
                    </w:rPr>
                  </w:pPr>
                  <w:r>
                    <w:rPr>
                      <w:b/>
                      <w:bCs/>
                      <w:kern w:val="2"/>
                      <w:szCs w:val="21"/>
                      <w:u w:val="single"/>
                    </w:rPr>
                    <w:t>标准名称</w:t>
                  </w:r>
                </w:p>
              </w:tc>
              <w:tc>
                <w:tcPr>
                  <w:tcW w:w="755" w:type="pct"/>
                  <w:vAlign w:val="center"/>
                </w:tcPr>
                <w:p>
                  <w:pPr>
                    <w:pStyle w:val="46"/>
                    <w:rPr>
                      <w:b/>
                      <w:bCs/>
                      <w:kern w:val="2"/>
                      <w:szCs w:val="21"/>
                      <w:u w:val="single"/>
                    </w:rPr>
                  </w:pPr>
                  <w:r>
                    <w:rPr>
                      <w:b/>
                      <w:bCs/>
                      <w:kern w:val="2"/>
                      <w:szCs w:val="21"/>
                      <w:u w:val="single"/>
                    </w:rPr>
                    <w:t>浓度限值</w:t>
                  </w:r>
                </w:p>
                <w:p>
                  <w:pPr>
                    <w:pStyle w:val="46"/>
                    <w:rPr>
                      <w:b/>
                      <w:bCs/>
                      <w:kern w:val="2"/>
                      <w:szCs w:val="21"/>
                      <w:u w:val="single"/>
                    </w:rPr>
                  </w:pPr>
                  <w:r>
                    <w:rPr>
                      <w:b/>
                      <w:bCs/>
                      <w:kern w:val="2"/>
                      <w:szCs w:val="21"/>
                      <w:u w:val="single"/>
                    </w:rPr>
                    <w:t>（mg/m</w:t>
                  </w:r>
                  <w:r>
                    <w:rPr>
                      <w:b/>
                      <w:bCs/>
                      <w:kern w:val="2"/>
                      <w:szCs w:val="21"/>
                      <w:u w:val="single"/>
                      <w:vertAlign w:val="superscript"/>
                    </w:rPr>
                    <w:t>3</w:t>
                  </w:r>
                  <w:r>
                    <w:rPr>
                      <w:b/>
                      <w:bCs/>
                      <w:kern w:val="2"/>
                      <w:szCs w:val="21"/>
                      <w:u w:val="single"/>
                    </w:rPr>
                    <w:t>）</w:t>
                  </w:r>
                </w:p>
              </w:tc>
              <w:tc>
                <w:tcPr>
                  <w:tcW w:w="611" w:type="pct"/>
                  <w:vMerge w:val="continue"/>
                  <w:vAlign w:val="center"/>
                </w:tcPr>
                <w:p>
                  <w:pPr>
                    <w:pStyle w:val="46"/>
                    <w:rPr>
                      <w:b/>
                      <w:bCs/>
                      <w:kern w:val="2"/>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4" w:hRule="atLeast"/>
                <w:jc w:val="center"/>
              </w:trPr>
              <w:tc>
                <w:tcPr>
                  <w:tcW w:w="331" w:type="pct"/>
                  <w:vAlign w:val="center"/>
                </w:tcPr>
                <w:p>
                  <w:pPr>
                    <w:pStyle w:val="46"/>
                    <w:rPr>
                      <w:kern w:val="2"/>
                      <w:szCs w:val="21"/>
                      <w:u w:val="single"/>
                    </w:rPr>
                  </w:pPr>
                  <w:r>
                    <w:rPr>
                      <w:kern w:val="2"/>
                      <w:szCs w:val="21"/>
                      <w:u w:val="single"/>
                    </w:rPr>
                    <w:t>1</w:t>
                  </w:r>
                </w:p>
              </w:tc>
              <w:tc>
                <w:tcPr>
                  <w:tcW w:w="622" w:type="pct"/>
                  <w:vAlign w:val="center"/>
                </w:tcPr>
                <w:p>
                  <w:pPr>
                    <w:wordWrap w:val="0"/>
                    <w:topLinePunct/>
                    <w:adjustRightInd w:val="0"/>
                    <w:snapToGrid w:val="0"/>
                    <w:spacing w:line="240" w:lineRule="auto"/>
                    <w:ind w:left="-120" w:leftChars="-50" w:right="-120" w:rightChars="-50"/>
                    <w:jc w:val="center"/>
                    <w:rPr>
                      <w:sz w:val="21"/>
                      <w:szCs w:val="21"/>
                      <w:u w:val="single"/>
                    </w:rPr>
                  </w:pPr>
                  <w:r>
                    <w:rPr>
                      <w:rFonts w:hint="eastAsia"/>
                      <w:sz w:val="21"/>
                      <w:szCs w:val="21"/>
                      <w:u w:val="single"/>
                    </w:rPr>
                    <w:t>成品堆场扬尘</w:t>
                  </w:r>
                </w:p>
              </w:tc>
              <w:tc>
                <w:tcPr>
                  <w:tcW w:w="570" w:type="pct"/>
                  <w:vMerge w:val="restart"/>
                  <w:vAlign w:val="center"/>
                </w:tcPr>
                <w:p>
                  <w:pPr>
                    <w:pStyle w:val="46"/>
                    <w:rPr>
                      <w:color w:val="0000FF"/>
                      <w:kern w:val="2"/>
                      <w:szCs w:val="21"/>
                      <w:u w:val="single"/>
                    </w:rPr>
                  </w:pPr>
                  <w:r>
                    <w:rPr>
                      <w:kern w:val="2"/>
                      <w:szCs w:val="21"/>
                      <w:u w:val="single"/>
                    </w:rPr>
                    <w:t>颗粒物</w:t>
                  </w:r>
                </w:p>
              </w:tc>
              <w:tc>
                <w:tcPr>
                  <w:tcW w:w="911" w:type="pct"/>
                  <w:vAlign w:val="center"/>
                </w:tcPr>
                <w:p>
                  <w:pPr>
                    <w:pStyle w:val="46"/>
                    <w:rPr>
                      <w:color w:val="0000FF"/>
                      <w:kern w:val="2"/>
                      <w:szCs w:val="21"/>
                      <w:u w:val="single"/>
                    </w:rPr>
                  </w:pPr>
                  <w:r>
                    <w:rPr>
                      <w:u w:val="single"/>
                    </w:rPr>
                    <w:t>设置</w:t>
                  </w:r>
                  <w:r>
                    <w:rPr>
                      <w:rFonts w:hint="eastAsia"/>
                      <w:u w:val="single"/>
                    </w:rPr>
                    <w:t>喷淋抑尘设施</w:t>
                  </w:r>
                </w:p>
              </w:tc>
              <w:tc>
                <w:tcPr>
                  <w:tcW w:w="1198" w:type="pct"/>
                  <w:vMerge w:val="restart"/>
                  <w:vAlign w:val="center"/>
                </w:tcPr>
                <w:p>
                  <w:pPr>
                    <w:pStyle w:val="46"/>
                    <w:rPr>
                      <w:kern w:val="2"/>
                      <w:szCs w:val="21"/>
                      <w:u w:val="single"/>
                    </w:rPr>
                  </w:pPr>
                  <w:r>
                    <w:rPr>
                      <w:szCs w:val="21"/>
                      <w:u w:val="single"/>
                    </w:rPr>
                    <w:t>（GB16297-1996）</w:t>
                  </w:r>
                </w:p>
              </w:tc>
              <w:tc>
                <w:tcPr>
                  <w:tcW w:w="755" w:type="pct"/>
                  <w:vMerge w:val="restart"/>
                  <w:vAlign w:val="center"/>
                </w:tcPr>
                <w:p>
                  <w:pPr>
                    <w:pStyle w:val="46"/>
                    <w:rPr>
                      <w:kern w:val="2"/>
                      <w:szCs w:val="21"/>
                      <w:u w:val="single"/>
                    </w:rPr>
                  </w:pPr>
                  <w:r>
                    <w:rPr>
                      <w:kern w:val="2"/>
                      <w:szCs w:val="21"/>
                      <w:u w:val="single"/>
                    </w:rPr>
                    <w:t>1.0</w:t>
                  </w:r>
                </w:p>
              </w:tc>
              <w:tc>
                <w:tcPr>
                  <w:tcW w:w="611" w:type="pct"/>
                  <w:vAlign w:val="center"/>
                </w:tcPr>
                <w:p>
                  <w:pPr>
                    <w:wordWrap w:val="0"/>
                    <w:topLinePunct/>
                    <w:adjustRightInd w:val="0"/>
                    <w:snapToGrid w:val="0"/>
                    <w:spacing w:line="240" w:lineRule="auto"/>
                    <w:ind w:left="-120" w:leftChars="-50" w:right="-120" w:rightChars="-50"/>
                    <w:jc w:val="center"/>
                    <w:rPr>
                      <w:rFonts w:hint="default" w:eastAsia="宋体"/>
                      <w:color w:val="0000FF"/>
                      <w:sz w:val="21"/>
                      <w:szCs w:val="21"/>
                      <w:u w:val="single"/>
                      <w:lang w:val="en-US" w:eastAsia="zh-CN"/>
                    </w:rPr>
                  </w:pPr>
                  <w:r>
                    <w:rPr>
                      <w:rFonts w:hint="eastAsia"/>
                      <w:snapToGrid w:val="0"/>
                      <w:spacing w:val="4"/>
                      <w:sz w:val="21"/>
                      <w:szCs w:val="21"/>
                      <w:u w:val="singl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4" w:hRule="atLeast"/>
                <w:jc w:val="center"/>
              </w:trPr>
              <w:tc>
                <w:tcPr>
                  <w:tcW w:w="331" w:type="pct"/>
                  <w:vAlign w:val="center"/>
                </w:tcPr>
                <w:p>
                  <w:pPr>
                    <w:pStyle w:val="46"/>
                    <w:rPr>
                      <w:kern w:val="2"/>
                      <w:szCs w:val="21"/>
                      <w:u w:val="single"/>
                    </w:rPr>
                  </w:pPr>
                  <w:r>
                    <w:rPr>
                      <w:kern w:val="2"/>
                      <w:szCs w:val="21"/>
                      <w:u w:val="single"/>
                    </w:rPr>
                    <w:t>2</w:t>
                  </w:r>
                </w:p>
              </w:tc>
              <w:tc>
                <w:tcPr>
                  <w:tcW w:w="622" w:type="pct"/>
                  <w:vAlign w:val="center"/>
                </w:tcPr>
                <w:p>
                  <w:pPr>
                    <w:pStyle w:val="46"/>
                    <w:rPr>
                      <w:kern w:val="2"/>
                      <w:szCs w:val="21"/>
                      <w:u w:val="single"/>
                    </w:rPr>
                  </w:pPr>
                  <w:r>
                    <w:rPr>
                      <w:rFonts w:hint="eastAsia"/>
                      <w:kern w:val="2"/>
                      <w:szCs w:val="21"/>
                      <w:u w:val="single"/>
                    </w:rPr>
                    <w:t>装卸扬尘</w:t>
                  </w:r>
                </w:p>
              </w:tc>
              <w:tc>
                <w:tcPr>
                  <w:tcW w:w="570" w:type="pct"/>
                  <w:vMerge w:val="continue"/>
                  <w:vAlign w:val="center"/>
                </w:tcPr>
                <w:p>
                  <w:pPr>
                    <w:pStyle w:val="46"/>
                    <w:rPr>
                      <w:color w:val="0000FF"/>
                      <w:kern w:val="2"/>
                      <w:szCs w:val="21"/>
                      <w:u w:val="single"/>
                    </w:rPr>
                  </w:pPr>
                </w:p>
              </w:tc>
              <w:tc>
                <w:tcPr>
                  <w:tcW w:w="911" w:type="pct"/>
                  <w:vAlign w:val="center"/>
                </w:tcPr>
                <w:p>
                  <w:pPr>
                    <w:pStyle w:val="46"/>
                    <w:rPr>
                      <w:color w:val="0000FF"/>
                      <w:kern w:val="2"/>
                      <w:szCs w:val="21"/>
                      <w:u w:val="single"/>
                    </w:rPr>
                  </w:pPr>
                  <w:r>
                    <w:rPr>
                      <w:rFonts w:eastAsia="Calibri"/>
                      <w:u w:val="single"/>
                    </w:rPr>
                    <w:t>加强洒水防尘力度、避开大风天气卸车等</w:t>
                  </w:r>
                </w:p>
              </w:tc>
              <w:tc>
                <w:tcPr>
                  <w:tcW w:w="1198" w:type="pct"/>
                  <w:vMerge w:val="continue"/>
                  <w:vAlign w:val="center"/>
                </w:tcPr>
                <w:p>
                  <w:pPr>
                    <w:pStyle w:val="46"/>
                    <w:rPr>
                      <w:color w:val="0000FF"/>
                      <w:szCs w:val="21"/>
                      <w:u w:val="single"/>
                    </w:rPr>
                  </w:pPr>
                </w:p>
              </w:tc>
              <w:tc>
                <w:tcPr>
                  <w:tcW w:w="755" w:type="pct"/>
                  <w:vMerge w:val="continue"/>
                  <w:vAlign w:val="center"/>
                </w:tcPr>
                <w:p>
                  <w:pPr>
                    <w:pStyle w:val="46"/>
                    <w:rPr>
                      <w:color w:val="0000FF"/>
                      <w:kern w:val="2"/>
                      <w:szCs w:val="21"/>
                      <w:u w:val="single"/>
                    </w:rPr>
                  </w:pPr>
                </w:p>
              </w:tc>
              <w:tc>
                <w:tcPr>
                  <w:tcW w:w="611" w:type="pct"/>
                  <w:vAlign w:val="center"/>
                </w:tcPr>
                <w:p>
                  <w:pPr>
                    <w:wordWrap w:val="0"/>
                    <w:topLinePunct/>
                    <w:adjustRightInd w:val="0"/>
                    <w:snapToGrid w:val="0"/>
                    <w:spacing w:line="240" w:lineRule="auto"/>
                    <w:ind w:left="-120" w:leftChars="-50" w:right="-120" w:rightChars="-50"/>
                    <w:jc w:val="center"/>
                    <w:rPr>
                      <w:rFonts w:hint="default" w:eastAsia="宋体"/>
                      <w:snapToGrid w:val="0"/>
                      <w:color w:val="0000FF"/>
                      <w:spacing w:val="4"/>
                      <w:sz w:val="21"/>
                      <w:szCs w:val="21"/>
                      <w:u w:val="single"/>
                      <w:lang w:val="en-US" w:eastAsia="zh-CN"/>
                    </w:rPr>
                  </w:pPr>
                  <w:r>
                    <w:rPr>
                      <w:snapToGrid w:val="0"/>
                      <w:spacing w:val="4"/>
                      <w:sz w:val="21"/>
                      <w:szCs w:val="21"/>
                      <w:u w:val="single"/>
                    </w:rPr>
                    <w:t>0.</w:t>
                  </w:r>
                  <w:r>
                    <w:rPr>
                      <w:rFonts w:hint="eastAsia"/>
                      <w:snapToGrid w:val="0"/>
                      <w:spacing w:val="4"/>
                      <w:sz w:val="21"/>
                      <w:szCs w:val="21"/>
                      <w:u w:val="single"/>
                      <w:lang w:val="en-US" w:eastAsia="zh-CN"/>
                    </w:rPr>
                    <w:t>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13" w:hRule="atLeast"/>
                <w:jc w:val="center"/>
              </w:trPr>
              <w:tc>
                <w:tcPr>
                  <w:tcW w:w="331" w:type="pct"/>
                  <w:vAlign w:val="center"/>
                </w:tcPr>
                <w:p>
                  <w:pPr>
                    <w:pStyle w:val="46"/>
                    <w:rPr>
                      <w:kern w:val="2"/>
                      <w:szCs w:val="21"/>
                      <w:u w:val="single"/>
                    </w:rPr>
                  </w:pPr>
                  <w:r>
                    <w:rPr>
                      <w:kern w:val="2"/>
                      <w:szCs w:val="21"/>
                      <w:u w:val="single"/>
                    </w:rPr>
                    <w:t>3</w:t>
                  </w:r>
                </w:p>
              </w:tc>
              <w:tc>
                <w:tcPr>
                  <w:tcW w:w="622" w:type="pct"/>
                  <w:vAlign w:val="center"/>
                </w:tcPr>
                <w:p>
                  <w:pPr>
                    <w:pStyle w:val="46"/>
                    <w:rPr>
                      <w:kern w:val="2"/>
                      <w:szCs w:val="21"/>
                      <w:u w:val="single"/>
                    </w:rPr>
                  </w:pPr>
                  <w:r>
                    <w:rPr>
                      <w:rFonts w:hint="eastAsia"/>
                      <w:szCs w:val="21"/>
                      <w:u w:val="single"/>
                    </w:rPr>
                    <w:t>运输车辆扬尘</w:t>
                  </w:r>
                </w:p>
              </w:tc>
              <w:tc>
                <w:tcPr>
                  <w:tcW w:w="570" w:type="pct"/>
                  <w:vMerge w:val="continue"/>
                  <w:vAlign w:val="center"/>
                </w:tcPr>
                <w:p>
                  <w:pPr>
                    <w:pStyle w:val="46"/>
                    <w:rPr>
                      <w:color w:val="0000FF"/>
                      <w:kern w:val="2"/>
                      <w:szCs w:val="21"/>
                      <w:u w:val="single"/>
                    </w:rPr>
                  </w:pPr>
                </w:p>
              </w:tc>
              <w:tc>
                <w:tcPr>
                  <w:tcW w:w="911" w:type="pct"/>
                  <w:vAlign w:val="center"/>
                </w:tcPr>
                <w:p>
                  <w:pPr>
                    <w:pStyle w:val="46"/>
                    <w:rPr>
                      <w:color w:val="0000FF"/>
                      <w:kern w:val="2"/>
                      <w:szCs w:val="21"/>
                      <w:u w:val="single"/>
                    </w:rPr>
                  </w:pPr>
                  <w:r>
                    <w:rPr>
                      <w:rFonts w:eastAsia="Calibri"/>
                      <w:u w:val="single"/>
                    </w:rPr>
                    <w:t>控制车速，减速慢行，对厂区道路进行洒水</w:t>
                  </w:r>
                  <w:r>
                    <w:rPr>
                      <w:rFonts w:hint="eastAsia" w:eastAsia="Calibri"/>
                      <w:u w:val="single"/>
                    </w:rPr>
                    <w:t>，</w:t>
                  </w:r>
                  <w:r>
                    <w:rPr>
                      <w:rFonts w:eastAsia="Calibri"/>
                      <w:u w:val="single"/>
                    </w:rPr>
                    <w:t>进出厂区时进行加盖篷布</w:t>
                  </w:r>
                </w:p>
              </w:tc>
              <w:tc>
                <w:tcPr>
                  <w:tcW w:w="1198" w:type="pct"/>
                  <w:vMerge w:val="continue"/>
                  <w:vAlign w:val="center"/>
                </w:tcPr>
                <w:p>
                  <w:pPr>
                    <w:pStyle w:val="46"/>
                    <w:rPr>
                      <w:color w:val="0000FF"/>
                      <w:szCs w:val="21"/>
                      <w:u w:val="single"/>
                    </w:rPr>
                  </w:pPr>
                </w:p>
              </w:tc>
              <w:tc>
                <w:tcPr>
                  <w:tcW w:w="755" w:type="pct"/>
                  <w:vMerge w:val="continue"/>
                  <w:vAlign w:val="center"/>
                </w:tcPr>
                <w:p>
                  <w:pPr>
                    <w:pStyle w:val="46"/>
                    <w:rPr>
                      <w:color w:val="0000FF"/>
                      <w:kern w:val="2"/>
                      <w:szCs w:val="21"/>
                      <w:u w:val="single"/>
                    </w:rPr>
                  </w:pPr>
                </w:p>
              </w:tc>
              <w:tc>
                <w:tcPr>
                  <w:tcW w:w="611" w:type="pct"/>
                  <w:vAlign w:val="center"/>
                </w:tcPr>
                <w:p>
                  <w:pPr>
                    <w:wordWrap w:val="0"/>
                    <w:topLinePunct/>
                    <w:adjustRightInd w:val="0"/>
                    <w:snapToGrid w:val="0"/>
                    <w:spacing w:line="240" w:lineRule="auto"/>
                    <w:ind w:left="-120" w:leftChars="-50" w:right="-120" w:rightChars="-50"/>
                    <w:jc w:val="center"/>
                    <w:rPr>
                      <w:rFonts w:hint="default" w:eastAsia="宋体"/>
                      <w:snapToGrid w:val="0"/>
                      <w:color w:val="0000FF"/>
                      <w:spacing w:val="4"/>
                      <w:sz w:val="21"/>
                      <w:szCs w:val="21"/>
                      <w:u w:val="single"/>
                      <w:lang w:val="en-US" w:eastAsia="zh-CN"/>
                    </w:rPr>
                  </w:pPr>
                  <w:r>
                    <w:rPr>
                      <w:snapToGrid w:val="0"/>
                      <w:spacing w:val="4"/>
                      <w:sz w:val="21"/>
                      <w:szCs w:val="21"/>
                      <w:u w:val="single"/>
                    </w:rPr>
                    <w:t>0.</w:t>
                  </w:r>
                  <w:r>
                    <w:rPr>
                      <w:rFonts w:hint="eastAsia"/>
                      <w:snapToGrid w:val="0"/>
                      <w:spacing w:val="4"/>
                      <w:sz w:val="21"/>
                      <w:szCs w:val="21"/>
                      <w:u w:val="single"/>
                      <w:lang w:val="en-US" w:eastAsia="zh-C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3" w:hRule="atLeast"/>
                <w:jc w:val="center"/>
              </w:trPr>
              <w:tc>
                <w:tcPr>
                  <w:tcW w:w="3633" w:type="pct"/>
                  <w:gridSpan w:val="5"/>
                  <w:vAlign w:val="center"/>
                </w:tcPr>
                <w:p>
                  <w:pPr>
                    <w:pStyle w:val="46"/>
                    <w:rPr>
                      <w:color w:val="0000FF"/>
                      <w:szCs w:val="21"/>
                      <w:u w:val="single"/>
                    </w:rPr>
                  </w:pPr>
                  <w:r>
                    <w:rPr>
                      <w:rFonts w:hint="eastAsia"/>
                      <w:szCs w:val="21"/>
                      <w:u w:val="single"/>
                    </w:rPr>
                    <w:t>总计</w:t>
                  </w:r>
                </w:p>
              </w:tc>
              <w:tc>
                <w:tcPr>
                  <w:tcW w:w="755" w:type="pct"/>
                  <w:vMerge w:val="continue"/>
                  <w:vAlign w:val="center"/>
                </w:tcPr>
                <w:p>
                  <w:pPr>
                    <w:pStyle w:val="46"/>
                    <w:rPr>
                      <w:color w:val="0000FF"/>
                      <w:kern w:val="2"/>
                      <w:szCs w:val="21"/>
                      <w:u w:val="single"/>
                    </w:rPr>
                  </w:pPr>
                </w:p>
              </w:tc>
              <w:tc>
                <w:tcPr>
                  <w:tcW w:w="611" w:type="pct"/>
                  <w:vAlign w:val="center"/>
                </w:tcPr>
                <w:p>
                  <w:pPr>
                    <w:wordWrap w:val="0"/>
                    <w:topLinePunct/>
                    <w:adjustRightInd w:val="0"/>
                    <w:snapToGrid w:val="0"/>
                    <w:spacing w:line="240" w:lineRule="auto"/>
                    <w:ind w:left="-120" w:leftChars="-50" w:right="-120" w:rightChars="-50"/>
                    <w:jc w:val="center"/>
                    <w:rPr>
                      <w:rFonts w:hint="default"/>
                      <w:snapToGrid w:val="0"/>
                      <w:spacing w:val="4"/>
                      <w:sz w:val="21"/>
                      <w:szCs w:val="21"/>
                      <w:u w:val="single"/>
                      <w:lang w:val="en-US"/>
                    </w:rPr>
                  </w:pPr>
                  <w:r>
                    <w:rPr>
                      <w:rFonts w:hint="eastAsia"/>
                      <w:snapToGrid w:val="0"/>
                      <w:spacing w:val="4"/>
                      <w:sz w:val="21"/>
                      <w:szCs w:val="21"/>
                      <w:highlight w:val="none"/>
                      <w:u w:val="single"/>
                      <w:lang w:val="en-US" w:eastAsia="zh-CN"/>
                    </w:rPr>
                    <w:t>0.734</w:t>
                  </w:r>
                </w:p>
              </w:tc>
            </w:tr>
          </w:tbl>
          <w:p>
            <w:pPr>
              <w:pStyle w:val="40"/>
              <w:numPr>
                <w:ilvl w:val="3"/>
                <w:numId w:val="0"/>
              </w:numPr>
              <w:ind w:firstLine="481" w:firstLineChars="200"/>
            </w:pPr>
            <w:r>
              <w:t>2、废气治理设施可行性分析</w:t>
            </w:r>
            <w:bookmarkEnd w:id="76"/>
            <w:bookmarkEnd w:id="77"/>
          </w:p>
          <w:p>
            <w:pPr>
              <w:ind w:firstLine="480" w:firstLineChars="200"/>
            </w:pPr>
            <w:r>
              <w:t>根据工程分析，项目运营期产生的废气主要为</w:t>
            </w:r>
            <w:r>
              <w:rPr>
                <w:rFonts w:hint="eastAsia"/>
              </w:rPr>
              <w:t>成品</w:t>
            </w:r>
            <w:r>
              <w:rPr>
                <w:kern w:val="0"/>
              </w:rPr>
              <w:t>堆场扬尘、</w:t>
            </w:r>
            <w:r>
              <w:rPr>
                <w:rFonts w:hint="eastAsia"/>
                <w:kern w:val="0"/>
              </w:rPr>
              <w:t>装卸</w:t>
            </w:r>
            <w:r>
              <w:rPr>
                <w:kern w:val="0"/>
              </w:rPr>
              <w:t>粉尘、运输车辆扬尘、生产过程中产生的破碎筛分</w:t>
            </w:r>
            <w:r>
              <w:rPr>
                <w:rFonts w:hint="eastAsia"/>
                <w:kern w:val="0"/>
              </w:rPr>
              <w:t>制砂</w:t>
            </w:r>
            <w:r>
              <w:rPr>
                <w:kern w:val="0"/>
              </w:rPr>
              <w:t>粉尘、运输车辆汽车尾气及</w:t>
            </w:r>
            <w:r>
              <w:t>食堂油烟。参照《排污许可证申请与核发技术规范 陶瓷砖瓦工业》（HJ954-2018）污染防治要求，主要防治措施及可行性见下表。</w:t>
            </w:r>
          </w:p>
          <w:p>
            <w:pPr>
              <w:spacing w:line="240" w:lineRule="auto"/>
              <w:jc w:val="center"/>
              <w:rPr>
                <w:b/>
                <w:bCs/>
                <w:sz w:val="21"/>
                <w:szCs w:val="21"/>
              </w:rPr>
            </w:pPr>
            <w:r>
              <w:rPr>
                <w:b/>
                <w:bCs/>
                <w:sz w:val="21"/>
                <w:szCs w:val="21"/>
              </w:rPr>
              <w:t>表4-</w:t>
            </w:r>
            <w:r>
              <w:rPr>
                <w:rFonts w:hint="eastAsia"/>
                <w:b/>
                <w:bCs/>
                <w:sz w:val="21"/>
                <w:szCs w:val="21"/>
                <w:lang w:val="en-US" w:eastAsia="zh-CN"/>
              </w:rPr>
              <w:t>5</w:t>
            </w:r>
            <w:r>
              <w:rPr>
                <w:b/>
                <w:bCs/>
                <w:sz w:val="21"/>
                <w:szCs w:val="21"/>
              </w:rPr>
              <w:t xml:space="preserve"> 废气治理措施及其可行性</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73"/>
              <w:gridCol w:w="1218"/>
              <w:gridCol w:w="609"/>
              <w:gridCol w:w="1657"/>
              <w:gridCol w:w="1525"/>
              <w:gridCol w:w="232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2" w:hRule="atLeast"/>
                <w:jc w:val="center"/>
              </w:trPr>
              <w:tc>
                <w:tcPr>
                  <w:tcW w:w="303" w:type="pct"/>
                  <w:vAlign w:val="center"/>
                </w:tcPr>
                <w:p>
                  <w:pPr>
                    <w:spacing w:line="240" w:lineRule="auto"/>
                    <w:jc w:val="center"/>
                    <w:rPr>
                      <w:b/>
                      <w:bCs/>
                      <w:sz w:val="21"/>
                      <w:szCs w:val="21"/>
                    </w:rPr>
                  </w:pPr>
                  <w:r>
                    <w:rPr>
                      <w:b/>
                      <w:bCs/>
                      <w:sz w:val="21"/>
                      <w:szCs w:val="21"/>
                    </w:rPr>
                    <w:t>序号</w:t>
                  </w:r>
                </w:p>
              </w:tc>
              <w:tc>
                <w:tcPr>
                  <w:tcW w:w="780" w:type="pct"/>
                  <w:vAlign w:val="center"/>
                </w:tcPr>
                <w:p>
                  <w:pPr>
                    <w:spacing w:line="240" w:lineRule="auto"/>
                    <w:jc w:val="center"/>
                    <w:rPr>
                      <w:b/>
                      <w:bCs/>
                      <w:sz w:val="21"/>
                      <w:szCs w:val="21"/>
                    </w:rPr>
                  </w:pPr>
                  <w:r>
                    <w:rPr>
                      <w:b/>
                      <w:bCs/>
                      <w:sz w:val="21"/>
                      <w:szCs w:val="21"/>
                    </w:rPr>
                    <w:t>产污环节</w:t>
                  </w:r>
                </w:p>
              </w:tc>
              <w:tc>
                <w:tcPr>
                  <w:tcW w:w="390" w:type="pct"/>
                  <w:vAlign w:val="center"/>
                </w:tcPr>
                <w:p>
                  <w:pPr>
                    <w:spacing w:line="240" w:lineRule="auto"/>
                    <w:jc w:val="center"/>
                    <w:rPr>
                      <w:b/>
                      <w:bCs/>
                      <w:sz w:val="21"/>
                      <w:szCs w:val="21"/>
                    </w:rPr>
                  </w:pPr>
                  <w:r>
                    <w:rPr>
                      <w:b/>
                      <w:bCs/>
                      <w:sz w:val="21"/>
                      <w:szCs w:val="21"/>
                    </w:rPr>
                    <w:t>污染因子</w:t>
                  </w:r>
                </w:p>
              </w:tc>
              <w:tc>
                <w:tcPr>
                  <w:tcW w:w="1061" w:type="pct"/>
                  <w:vAlign w:val="center"/>
                </w:tcPr>
                <w:p>
                  <w:pPr>
                    <w:spacing w:line="240" w:lineRule="auto"/>
                    <w:jc w:val="center"/>
                    <w:rPr>
                      <w:b/>
                      <w:bCs/>
                      <w:sz w:val="21"/>
                      <w:szCs w:val="21"/>
                    </w:rPr>
                  </w:pPr>
                  <w:r>
                    <w:rPr>
                      <w:b/>
                      <w:bCs/>
                      <w:sz w:val="21"/>
                      <w:szCs w:val="21"/>
                    </w:rPr>
                    <w:t>防治措施</w:t>
                  </w:r>
                </w:p>
              </w:tc>
              <w:tc>
                <w:tcPr>
                  <w:tcW w:w="976" w:type="pct"/>
                  <w:vAlign w:val="center"/>
                </w:tcPr>
                <w:p>
                  <w:pPr>
                    <w:spacing w:line="240" w:lineRule="auto"/>
                    <w:jc w:val="center"/>
                    <w:rPr>
                      <w:b/>
                      <w:bCs/>
                      <w:sz w:val="21"/>
                      <w:szCs w:val="21"/>
                    </w:rPr>
                  </w:pPr>
                  <w:r>
                    <w:rPr>
                      <w:b/>
                      <w:bCs/>
                      <w:sz w:val="21"/>
                      <w:szCs w:val="21"/>
                    </w:rPr>
                    <w:t>是否为可行技术</w:t>
                  </w:r>
                </w:p>
              </w:tc>
              <w:tc>
                <w:tcPr>
                  <w:tcW w:w="1487" w:type="pct"/>
                  <w:vAlign w:val="center"/>
                </w:tcPr>
                <w:p>
                  <w:pPr>
                    <w:spacing w:line="240" w:lineRule="auto"/>
                    <w:jc w:val="center"/>
                    <w:rPr>
                      <w:b/>
                      <w:bCs/>
                      <w:sz w:val="21"/>
                      <w:szCs w:val="21"/>
                    </w:rPr>
                  </w:pPr>
                  <w:r>
                    <w:rPr>
                      <w:b/>
                      <w:bCs/>
                      <w:sz w:val="21"/>
                      <w:szCs w:val="21"/>
                    </w:rPr>
                    <w:t>防治效果</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9" w:hRule="atLeast"/>
                <w:jc w:val="center"/>
              </w:trPr>
              <w:tc>
                <w:tcPr>
                  <w:tcW w:w="303" w:type="pct"/>
                  <w:vAlign w:val="center"/>
                </w:tcPr>
                <w:p>
                  <w:pPr>
                    <w:spacing w:line="240" w:lineRule="auto"/>
                    <w:jc w:val="center"/>
                    <w:rPr>
                      <w:sz w:val="21"/>
                      <w:szCs w:val="21"/>
                    </w:rPr>
                  </w:pPr>
                  <w:r>
                    <w:rPr>
                      <w:sz w:val="21"/>
                      <w:szCs w:val="21"/>
                    </w:rPr>
                    <w:t>1</w:t>
                  </w:r>
                </w:p>
              </w:tc>
              <w:tc>
                <w:tcPr>
                  <w:tcW w:w="780" w:type="pct"/>
                  <w:vAlign w:val="center"/>
                </w:tcPr>
                <w:p>
                  <w:pPr>
                    <w:spacing w:line="240" w:lineRule="auto"/>
                    <w:jc w:val="center"/>
                    <w:rPr>
                      <w:sz w:val="21"/>
                      <w:szCs w:val="21"/>
                    </w:rPr>
                  </w:pPr>
                  <w:r>
                    <w:rPr>
                      <w:rFonts w:hint="eastAsia"/>
                      <w:sz w:val="21"/>
                      <w:szCs w:val="21"/>
                    </w:rPr>
                    <w:t>成品</w:t>
                  </w:r>
                  <w:r>
                    <w:rPr>
                      <w:sz w:val="21"/>
                      <w:szCs w:val="21"/>
                    </w:rPr>
                    <w:t>堆场扬尘</w:t>
                  </w:r>
                </w:p>
              </w:tc>
              <w:tc>
                <w:tcPr>
                  <w:tcW w:w="390" w:type="pct"/>
                  <w:vMerge w:val="restart"/>
                  <w:shd w:val="clear" w:color="auto" w:fill="auto"/>
                  <w:vAlign w:val="center"/>
                </w:tcPr>
                <w:p>
                  <w:pPr>
                    <w:spacing w:line="240" w:lineRule="auto"/>
                    <w:jc w:val="center"/>
                    <w:rPr>
                      <w:color w:val="0000FF"/>
                      <w:sz w:val="21"/>
                      <w:szCs w:val="21"/>
                    </w:rPr>
                  </w:pPr>
                  <w:r>
                    <w:rPr>
                      <w:sz w:val="21"/>
                      <w:szCs w:val="21"/>
                    </w:rPr>
                    <w:t>颗粒物</w:t>
                  </w:r>
                </w:p>
              </w:tc>
              <w:tc>
                <w:tcPr>
                  <w:tcW w:w="1061" w:type="pct"/>
                  <w:shd w:val="clear" w:color="auto" w:fill="auto"/>
                  <w:vAlign w:val="center"/>
                </w:tcPr>
                <w:p>
                  <w:pPr>
                    <w:spacing w:line="240" w:lineRule="auto"/>
                    <w:jc w:val="center"/>
                    <w:rPr>
                      <w:color w:val="0000FF"/>
                      <w:sz w:val="21"/>
                      <w:szCs w:val="21"/>
                    </w:rPr>
                  </w:pPr>
                  <w:r>
                    <w:rPr>
                      <w:sz w:val="21"/>
                      <w:szCs w:val="21"/>
                    </w:rPr>
                    <w:t>设置</w:t>
                  </w:r>
                  <w:r>
                    <w:rPr>
                      <w:rFonts w:hint="eastAsia"/>
                      <w:sz w:val="21"/>
                      <w:szCs w:val="21"/>
                    </w:rPr>
                    <w:t>喷淋抑尘设施</w:t>
                  </w:r>
                </w:p>
              </w:tc>
              <w:tc>
                <w:tcPr>
                  <w:tcW w:w="976" w:type="pct"/>
                  <w:vAlign w:val="center"/>
                </w:tcPr>
                <w:p>
                  <w:pPr>
                    <w:spacing w:line="240" w:lineRule="auto"/>
                    <w:jc w:val="center"/>
                    <w:rPr>
                      <w:color w:val="0000FF"/>
                      <w:sz w:val="21"/>
                      <w:szCs w:val="21"/>
                    </w:rPr>
                  </w:pPr>
                  <w:r>
                    <w:rPr>
                      <w:sz w:val="21"/>
                      <w:szCs w:val="21"/>
                    </w:rPr>
                    <w:t>是</w:t>
                  </w:r>
                </w:p>
              </w:tc>
              <w:tc>
                <w:tcPr>
                  <w:tcW w:w="1487" w:type="pct"/>
                  <w:vMerge w:val="restart"/>
                  <w:shd w:val="clear" w:color="auto" w:fill="auto"/>
                  <w:vAlign w:val="center"/>
                </w:tcPr>
                <w:p>
                  <w:pPr>
                    <w:spacing w:line="240" w:lineRule="auto"/>
                    <w:jc w:val="center"/>
                    <w:rPr>
                      <w:color w:val="0000FF"/>
                      <w:sz w:val="21"/>
                      <w:szCs w:val="21"/>
                    </w:rPr>
                  </w:pPr>
                  <w:r>
                    <w:rPr>
                      <w:sz w:val="21"/>
                      <w:szCs w:val="21"/>
                    </w:rPr>
                    <w:t>满足《大气污染物综合排放标准》（GB16297-1996）表2中无组织排放浓度限值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6" w:hRule="atLeast"/>
                <w:jc w:val="center"/>
              </w:trPr>
              <w:tc>
                <w:tcPr>
                  <w:tcW w:w="303" w:type="pct"/>
                  <w:vAlign w:val="center"/>
                </w:tcPr>
                <w:p>
                  <w:pPr>
                    <w:spacing w:line="240" w:lineRule="auto"/>
                    <w:jc w:val="center"/>
                    <w:rPr>
                      <w:sz w:val="21"/>
                      <w:szCs w:val="21"/>
                    </w:rPr>
                  </w:pPr>
                  <w:r>
                    <w:rPr>
                      <w:sz w:val="21"/>
                      <w:szCs w:val="21"/>
                    </w:rPr>
                    <w:t>2</w:t>
                  </w:r>
                </w:p>
              </w:tc>
              <w:tc>
                <w:tcPr>
                  <w:tcW w:w="780" w:type="pct"/>
                  <w:vAlign w:val="center"/>
                </w:tcPr>
                <w:p>
                  <w:pPr>
                    <w:spacing w:line="240" w:lineRule="auto"/>
                    <w:jc w:val="center"/>
                    <w:rPr>
                      <w:sz w:val="21"/>
                      <w:szCs w:val="21"/>
                    </w:rPr>
                  </w:pPr>
                  <w:r>
                    <w:rPr>
                      <w:rFonts w:hint="eastAsia"/>
                      <w:sz w:val="21"/>
                      <w:szCs w:val="21"/>
                    </w:rPr>
                    <w:t>装卸</w:t>
                  </w:r>
                  <w:r>
                    <w:rPr>
                      <w:sz w:val="21"/>
                      <w:szCs w:val="21"/>
                    </w:rPr>
                    <w:t>粉尘</w:t>
                  </w:r>
                </w:p>
              </w:tc>
              <w:tc>
                <w:tcPr>
                  <w:tcW w:w="390" w:type="pct"/>
                  <w:vMerge w:val="continue"/>
                  <w:shd w:val="clear" w:color="auto" w:fill="auto"/>
                  <w:vAlign w:val="center"/>
                </w:tcPr>
                <w:p>
                  <w:pPr>
                    <w:spacing w:line="240" w:lineRule="auto"/>
                    <w:jc w:val="center"/>
                    <w:rPr>
                      <w:color w:val="0000FF"/>
                      <w:sz w:val="21"/>
                      <w:szCs w:val="21"/>
                    </w:rPr>
                  </w:pPr>
                </w:p>
              </w:tc>
              <w:tc>
                <w:tcPr>
                  <w:tcW w:w="1061" w:type="pct"/>
                  <w:shd w:val="clear" w:color="auto" w:fill="auto"/>
                  <w:vAlign w:val="center"/>
                </w:tcPr>
                <w:p>
                  <w:pPr>
                    <w:spacing w:line="240" w:lineRule="auto"/>
                    <w:jc w:val="center"/>
                    <w:rPr>
                      <w:sz w:val="21"/>
                      <w:szCs w:val="21"/>
                    </w:rPr>
                  </w:pPr>
                  <w:r>
                    <w:rPr>
                      <w:sz w:val="21"/>
                      <w:szCs w:val="21"/>
                    </w:rPr>
                    <w:t>加强洒水防尘力度、避开大风天气卸车</w:t>
                  </w:r>
                </w:p>
              </w:tc>
              <w:tc>
                <w:tcPr>
                  <w:tcW w:w="976" w:type="pct"/>
                  <w:vAlign w:val="center"/>
                </w:tcPr>
                <w:p>
                  <w:pPr>
                    <w:spacing w:line="240" w:lineRule="auto"/>
                    <w:jc w:val="center"/>
                    <w:rPr>
                      <w:sz w:val="21"/>
                      <w:szCs w:val="21"/>
                    </w:rPr>
                  </w:pPr>
                  <w:r>
                    <w:rPr>
                      <w:sz w:val="21"/>
                      <w:szCs w:val="21"/>
                    </w:rPr>
                    <w:t>是</w:t>
                  </w:r>
                </w:p>
              </w:tc>
              <w:tc>
                <w:tcPr>
                  <w:tcW w:w="1487" w:type="pct"/>
                  <w:vMerge w:val="continue"/>
                  <w:shd w:val="clear" w:color="auto" w:fill="auto"/>
                  <w:vAlign w:val="center"/>
                </w:tcPr>
                <w:p>
                  <w:pPr>
                    <w:spacing w:line="240" w:lineRule="auto"/>
                    <w:jc w:val="center"/>
                    <w:rPr>
                      <w:color w:val="0000FF"/>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16" w:hRule="atLeast"/>
                <w:jc w:val="center"/>
              </w:trPr>
              <w:tc>
                <w:tcPr>
                  <w:tcW w:w="303" w:type="pct"/>
                  <w:vAlign w:val="center"/>
                </w:tcPr>
                <w:p>
                  <w:pPr>
                    <w:spacing w:line="240" w:lineRule="auto"/>
                    <w:jc w:val="center"/>
                    <w:rPr>
                      <w:sz w:val="21"/>
                      <w:szCs w:val="21"/>
                    </w:rPr>
                  </w:pPr>
                  <w:r>
                    <w:rPr>
                      <w:sz w:val="21"/>
                      <w:szCs w:val="21"/>
                    </w:rPr>
                    <w:t>3</w:t>
                  </w:r>
                </w:p>
              </w:tc>
              <w:tc>
                <w:tcPr>
                  <w:tcW w:w="780" w:type="pct"/>
                  <w:vAlign w:val="center"/>
                </w:tcPr>
                <w:p>
                  <w:pPr>
                    <w:spacing w:line="240" w:lineRule="auto"/>
                    <w:jc w:val="center"/>
                    <w:rPr>
                      <w:sz w:val="21"/>
                      <w:szCs w:val="21"/>
                    </w:rPr>
                  </w:pPr>
                  <w:r>
                    <w:rPr>
                      <w:sz w:val="21"/>
                      <w:szCs w:val="21"/>
                    </w:rPr>
                    <w:t>运输车辆扬尘</w:t>
                  </w:r>
                </w:p>
              </w:tc>
              <w:tc>
                <w:tcPr>
                  <w:tcW w:w="390" w:type="pct"/>
                  <w:vMerge w:val="continue"/>
                  <w:shd w:val="clear" w:color="auto" w:fill="auto"/>
                  <w:vAlign w:val="center"/>
                </w:tcPr>
                <w:p>
                  <w:pPr>
                    <w:spacing w:line="240" w:lineRule="auto"/>
                    <w:jc w:val="center"/>
                    <w:rPr>
                      <w:color w:val="0000FF"/>
                      <w:sz w:val="21"/>
                      <w:szCs w:val="21"/>
                    </w:rPr>
                  </w:pPr>
                </w:p>
              </w:tc>
              <w:tc>
                <w:tcPr>
                  <w:tcW w:w="1061" w:type="pct"/>
                  <w:shd w:val="clear" w:color="auto" w:fill="auto"/>
                  <w:vAlign w:val="center"/>
                </w:tcPr>
                <w:p>
                  <w:pPr>
                    <w:spacing w:line="240" w:lineRule="auto"/>
                    <w:jc w:val="center"/>
                    <w:rPr>
                      <w:sz w:val="21"/>
                      <w:szCs w:val="21"/>
                    </w:rPr>
                  </w:pPr>
                  <w:r>
                    <w:rPr>
                      <w:sz w:val="21"/>
                      <w:szCs w:val="21"/>
                    </w:rPr>
                    <w:t>控制车速，减速慢行，对厂区道路进行洒水</w:t>
                  </w:r>
                  <w:r>
                    <w:rPr>
                      <w:rFonts w:hint="eastAsia"/>
                      <w:sz w:val="21"/>
                      <w:szCs w:val="21"/>
                    </w:rPr>
                    <w:t>，</w:t>
                  </w:r>
                  <w:r>
                    <w:rPr>
                      <w:sz w:val="21"/>
                      <w:szCs w:val="21"/>
                    </w:rPr>
                    <w:t>进出厂区时进行加盖篷布</w:t>
                  </w:r>
                </w:p>
              </w:tc>
              <w:tc>
                <w:tcPr>
                  <w:tcW w:w="976" w:type="pct"/>
                  <w:vAlign w:val="center"/>
                </w:tcPr>
                <w:p>
                  <w:pPr>
                    <w:spacing w:line="240" w:lineRule="auto"/>
                    <w:jc w:val="center"/>
                    <w:rPr>
                      <w:sz w:val="21"/>
                      <w:szCs w:val="21"/>
                    </w:rPr>
                  </w:pPr>
                  <w:r>
                    <w:rPr>
                      <w:sz w:val="21"/>
                      <w:szCs w:val="21"/>
                    </w:rPr>
                    <w:t>是</w:t>
                  </w:r>
                </w:p>
              </w:tc>
              <w:tc>
                <w:tcPr>
                  <w:tcW w:w="1487" w:type="pct"/>
                  <w:vMerge w:val="continue"/>
                  <w:shd w:val="clear" w:color="auto" w:fill="auto"/>
                  <w:vAlign w:val="center"/>
                </w:tcPr>
                <w:p>
                  <w:pPr>
                    <w:spacing w:line="240" w:lineRule="auto"/>
                    <w:jc w:val="center"/>
                    <w:rPr>
                      <w:color w:val="0000FF"/>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6" w:hRule="atLeast"/>
                <w:jc w:val="center"/>
              </w:trPr>
              <w:tc>
                <w:tcPr>
                  <w:tcW w:w="303" w:type="pct"/>
                  <w:vAlign w:val="center"/>
                </w:tcPr>
                <w:p>
                  <w:pPr>
                    <w:spacing w:line="240" w:lineRule="auto"/>
                    <w:jc w:val="center"/>
                    <w:rPr>
                      <w:sz w:val="21"/>
                      <w:szCs w:val="21"/>
                    </w:rPr>
                  </w:pPr>
                  <w:r>
                    <w:rPr>
                      <w:sz w:val="21"/>
                      <w:szCs w:val="21"/>
                    </w:rPr>
                    <w:t>4</w:t>
                  </w:r>
                </w:p>
              </w:tc>
              <w:tc>
                <w:tcPr>
                  <w:tcW w:w="780" w:type="pct"/>
                  <w:vAlign w:val="center"/>
                </w:tcPr>
                <w:p>
                  <w:pPr>
                    <w:spacing w:line="240" w:lineRule="auto"/>
                    <w:jc w:val="center"/>
                    <w:rPr>
                      <w:sz w:val="21"/>
                      <w:szCs w:val="21"/>
                    </w:rPr>
                  </w:pPr>
                  <w:r>
                    <w:rPr>
                      <w:sz w:val="21"/>
                      <w:szCs w:val="21"/>
                    </w:rPr>
                    <w:t>破碎、筛分</w:t>
                  </w:r>
                  <w:r>
                    <w:rPr>
                      <w:rFonts w:hint="eastAsia"/>
                      <w:sz w:val="21"/>
                      <w:szCs w:val="21"/>
                    </w:rPr>
                    <w:t>、制砂</w:t>
                  </w:r>
                  <w:r>
                    <w:rPr>
                      <w:sz w:val="21"/>
                      <w:szCs w:val="21"/>
                    </w:rPr>
                    <w:t>粉尘</w:t>
                  </w:r>
                </w:p>
              </w:tc>
              <w:tc>
                <w:tcPr>
                  <w:tcW w:w="390" w:type="pct"/>
                  <w:vMerge w:val="continue"/>
                  <w:shd w:val="clear" w:color="auto" w:fill="auto"/>
                  <w:vAlign w:val="center"/>
                </w:tcPr>
                <w:p>
                  <w:pPr>
                    <w:spacing w:line="240" w:lineRule="auto"/>
                    <w:jc w:val="center"/>
                    <w:rPr>
                      <w:color w:val="0000FF"/>
                      <w:sz w:val="21"/>
                      <w:szCs w:val="21"/>
                    </w:rPr>
                  </w:pPr>
                </w:p>
              </w:tc>
              <w:tc>
                <w:tcPr>
                  <w:tcW w:w="1061" w:type="pct"/>
                  <w:shd w:val="clear" w:color="auto" w:fill="auto"/>
                  <w:vAlign w:val="center"/>
                </w:tcPr>
                <w:p>
                  <w:pPr>
                    <w:spacing w:line="240" w:lineRule="auto"/>
                    <w:jc w:val="center"/>
                    <w:rPr>
                      <w:rFonts w:hint="eastAsia" w:eastAsia="宋体"/>
                      <w:sz w:val="21"/>
                      <w:szCs w:val="21"/>
                      <w:lang w:eastAsia="zh-CN"/>
                    </w:rPr>
                  </w:pPr>
                  <w:r>
                    <w:rPr>
                      <w:rFonts w:hint="default" w:ascii="Times New Roman" w:hAnsi="Times New Roman" w:eastAsia="宋体" w:cs="Times New Roman"/>
                      <w:sz w:val="21"/>
                      <w:szCs w:val="21"/>
                      <w:u w:val="single"/>
                    </w:rPr>
                    <w:t>湿法作业</w:t>
                  </w:r>
                  <w:r>
                    <w:rPr>
                      <w:rFonts w:hint="default" w:ascii="Times New Roman" w:hAnsi="Times New Roman" w:eastAsia="宋体" w:cs="Times New Roman"/>
                      <w:sz w:val="21"/>
                      <w:szCs w:val="21"/>
                      <w:u w:val="single"/>
                      <w:lang w:eastAsia="zh-CN"/>
                    </w:rPr>
                    <w:t>，且</w:t>
                  </w:r>
                  <w:r>
                    <w:rPr>
                      <w:rFonts w:hint="default" w:ascii="Times New Roman" w:hAnsi="Times New Roman" w:eastAsia="宋体" w:cs="Times New Roman"/>
                      <w:sz w:val="21"/>
                      <w:szCs w:val="21"/>
                      <w:u w:val="single"/>
                    </w:rPr>
                    <w:t>对</w:t>
                  </w:r>
                  <w:r>
                    <w:rPr>
                      <w:rFonts w:hint="default" w:ascii="Times New Roman" w:hAnsi="Times New Roman" w:eastAsia="宋体" w:cs="Times New Roman"/>
                      <w:sz w:val="21"/>
                      <w:szCs w:val="21"/>
                      <w:u w:val="single"/>
                      <w:lang w:eastAsia="zh-CN"/>
                    </w:rPr>
                    <w:t>破碎工序</w:t>
                  </w:r>
                  <w:r>
                    <w:rPr>
                      <w:rFonts w:hint="default" w:ascii="Times New Roman" w:hAnsi="Times New Roman" w:eastAsia="宋体" w:cs="Times New Roman"/>
                      <w:sz w:val="21"/>
                      <w:szCs w:val="21"/>
                      <w:u w:val="single"/>
                    </w:rPr>
                    <w:t>设置</w:t>
                  </w:r>
                  <w:r>
                    <w:rPr>
                      <w:rFonts w:hint="eastAsia"/>
                      <w:sz w:val="21"/>
                      <w:szCs w:val="21"/>
                      <w:u w:val="single"/>
                      <w:lang w:eastAsia="zh-CN"/>
                    </w:rPr>
                    <w:t>三面</w:t>
                  </w:r>
                  <w:r>
                    <w:rPr>
                      <w:rFonts w:hint="default" w:ascii="Times New Roman" w:hAnsi="Times New Roman" w:eastAsia="宋体" w:cs="Times New Roman"/>
                      <w:sz w:val="21"/>
                      <w:szCs w:val="21"/>
                      <w:u w:val="single"/>
                    </w:rPr>
                    <w:t>围挡</w:t>
                  </w:r>
                </w:p>
              </w:tc>
              <w:tc>
                <w:tcPr>
                  <w:tcW w:w="976" w:type="pct"/>
                  <w:vAlign w:val="center"/>
                </w:tcPr>
                <w:p>
                  <w:pPr>
                    <w:spacing w:line="240" w:lineRule="auto"/>
                    <w:jc w:val="center"/>
                    <w:rPr>
                      <w:sz w:val="21"/>
                      <w:szCs w:val="21"/>
                    </w:rPr>
                  </w:pPr>
                  <w:r>
                    <w:rPr>
                      <w:sz w:val="21"/>
                      <w:szCs w:val="21"/>
                    </w:rPr>
                    <w:t>是</w:t>
                  </w:r>
                </w:p>
              </w:tc>
              <w:tc>
                <w:tcPr>
                  <w:tcW w:w="1487" w:type="pct"/>
                  <w:vMerge w:val="continue"/>
                  <w:shd w:val="clear" w:color="auto" w:fill="auto"/>
                  <w:vAlign w:val="center"/>
                </w:tcPr>
                <w:p>
                  <w:pPr>
                    <w:spacing w:line="240" w:lineRule="auto"/>
                    <w:jc w:val="center"/>
                    <w:rPr>
                      <w:color w:val="0000FF"/>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6" w:hRule="atLeast"/>
                <w:jc w:val="center"/>
              </w:trPr>
              <w:tc>
                <w:tcPr>
                  <w:tcW w:w="303" w:type="pct"/>
                  <w:vAlign w:val="center"/>
                </w:tcPr>
                <w:p>
                  <w:pPr>
                    <w:spacing w:line="240" w:lineRule="auto"/>
                    <w:jc w:val="center"/>
                    <w:rPr>
                      <w:sz w:val="21"/>
                      <w:szCs w:val="21"/>
                    </w:rPr>
                  </w:pPr>
                  <w:r>
                    <w:rPr>
                      <w:sz w:val="21"/>
                      <w:szCs w:val="21"/>
                    </w:rPr>
                    <w:t>5</w:t>
                  </w:r>
                </w:p>
              </w:tc>
              <w:tc>
                <w:tcPr>
                  <w:tcW w:w="780" w:type="pct"/>
                  <w:vAlign w:val="center"/>
                </w:tcPr>
                <w:p>
                  <w:pPr>
                    <w:spacing w:line="240" w:lineRule="auto"/>
                    <w:jc w:val="center"/>
                    <w:rPr>
                      <w:sz w:val="21"/>
                      <w:szCs w:val="21"/>
                    </w:rPr>
                  </w:pPr>
                  <w:r>
                    <w:rPr>
                      <w:sz w:val="21"/>
                      <w:szCs w:val="21"/>
                    </w:rPr>
                    <w:t>运输车辆尾气</w:t>
                  </w:r>
                </w:p>
              </w:tc>
              <w:tc>
                <w:tcPr>
                  <w:tcW w:w="390" w:type="pct"/>
                  <w:vMerge w:val="continue"/>
                  <w:shd w:val="clear" w:color="auto" w:fill="auto"/>
                  <w:vAlign w:val="center"/>
                </w:tcPr>
                <w:p>
                  <w:pPr>
                    <w:spacing w:line="240" w:lineRule="auto"/>
                    <w:jc w:val="center"/>
                    <w:rPr>
                      <w:sz w:val="21"/>
                      <w:szCs w:val="21"/>
                    </w:rPr>
                  </w:pPr>
                </w:p>
              </w:tc>
              <w:tc>
                <w:tcPr>
                  <w:tcW w:w="1061" w:type="pct"/>
                  <w:shd w:val="clear" w:color="auto" w:fill="auto"/>
                  <w:vAlign w:val="center"/>
                </w:tcPr>
                <w:p>
                  <w:pPr>
                    <w:spacing w:line="240" w:lineRule="auto"/>
                    <w:jc w:val="center"/>
                    <w:rPr>
                      <w:sz w:val="21"/>
                      <w:szCs w:val="21"/>
                    </w:rPr>
                  </w:pPr>
                  <w:r>
                    <w:rPr>
                      <w:sz w:val="21"/>
                      <w:szCs w:val="21"/>
                    </w:rPr>
                    <w:t>合理作业时间及车辆进场</w:t>
                  </w:r>
                </w:p>
              </w:tc>
              <w:tc>
                <w:tcPr>
                  <w:tcW w:w="976" w:type="pct"/>
                  <w:vAlign w:val="center"/>
                </w:tcPr>
                <w:p>
                  <w:pPr>
                    <w:spacing w:line="240" w:lineRule="auto"/>
                    <w:jc w:val="center"/>
                    <w:rPr>
                      <w:sz w:val="21"/>
                      <w:szCs w:val="21"/>
                    </w:rPr>
                  </w:pPr>
                  <w:r>
                    <w:rPr>
                      <w:sz w:val="21"/>
                      <w:szCs w:val="21"/>
                    </w:rPr>
                    <w:t>是</w:t>
                  </w:r>
                </w:p>
              </w:tc>
              <w:tc>
                <w:tcPr>
                  <w:tcW w:w="1487" w:type="pct"/>
                  <w:vMerge w:val="continue"/>
                  <w:shd w:val="clear" w:color="auto" w:fill="auto"/>
                  <w:vAlign w:val="center"/>
                </w:tcPr>
                <w:p>
                  <w:pPr>
                    <w:spacing w:line="240" w:lineRule="auto"/>
                    <w:jc w:val="center"/>
                    <w:rPr>
                      <w:color w:val="0000FF"/>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6" w:hRule="atLeast"/>
                <w:jc w:val="center"/>
              </w:trPr>
              <w:tc>
                <w:tcPr>
                  <w:tcW w:w="303" w:type="pct"/>
                  <w:vAlign w:val="center"/>
                </w:tcPr>
                <w:p>
                  <w:pPr>
                    <w:spacing w:line="240" w:lineRule="auto"/>
                    <w:jc w:val="center"/>
                    <w:rPr>
                      <w:sz w:val="21"/>
                      <w:szCs w:val="21"/>
                    </w:rPr>
                  </w:pPr>
                  <w:r>
                    <w:rPr>
                      <w:sz w:val="21"/>
                      <w:szCs w:val="21"/>
                    </w:rPr>
                    <w:t>6</w:t>
                  </w:r>
                </w:p>
              </w:tc>
              <w:tc>
                <w:tcPr>
                  <w:tcW w:w="780" w:type="pct"/>
                  <w:vAlign w:val="center"/>
                </w:tcPr>
                <w:p>
                  <w:pPr>
                    <w:spacing w:line="240" w:lineRule="auto"/>
                    <w:jc w:val="center"/>
                    <w:rPr>
                      <w:sz w:val="21"/>
                      <w:szCs w:val="21"/>
                    </w:rPr>
                  </w:pPr>
                  <w:r>
                    <w:rPr>
                      <w:sz w:val="21"/>
                      <w:szCs w:val="21"/>
                    </w:rPr>
                    <w:t>食堂油烟</w:t>
                  </w:r>
                </w:p>
              </w:tc>
              <w:tc>
                <w:tcPr>
                  <w:tcW w:w="390" w:type="pct"/>
                  <w:shd w:val="clear" w:color="auto" w:fill="auto"/>
                  <w:vAlign w:val="center"/>
                </w:tcPr>
                <w:p>
                  <w:pPr>
                    <w:spacing w:line="240" w:lineRule="auto"/>
                    <w:jc w:val="center"/>
                    <w:rPr>
                      <w:sz w:val="21"/>
                      <w:szCs w:val="21"/>
                    </w:rPr>
                  </w:pPr>
                  <w:r>
                    <w:rPr>
                      <w:sz w:val="21"/>
                      <w:szCs w:val="21"/>
                    </w:rPr>
                    <w:t>油烟</w:t>
                  </w:r>
                </w:p>
              </w:tc>
              <w:tc>
                <w:tcPr>
                  <w:tcW w:w="1061" w:type="pct"/>
                  <w:shd w:val="clear" w:color="auto" w:fill="auto"/>
                  <w:vAlign w:val="center"/>
                </w:tcPr>
                <w:p>
                  <w:pPr>
                    <w:spacing w:line="240" w:lineRule="auto"/>
                    <w:jc w:val="center"/>
                    <w:rPr>
                      <w:sz w:val="21"/>
                      <w:szCs w:val="21"/>
                    </w:rPr>
                  </w:pPr>
                  <w:r>
                    <w:rPr>
                      <w:sz w:val="21"/>
                      <w:szCs w:val="21"/>
                    </w:rPr>
                    <w:t>油烟净化器处理</w:t>
                  </w:r>
                </w:p>
              </w:tc>
              <w:tc>
                <w:tcPr>
                  <w:tcW w:w="976" w:type="pct"/>
                  <w:vAlign w:val="center"/>
                </w:tcPr>
                <w:p>
                  <w:pPr>
                    <w:spacing w:line="240" w:lineRule="auto"/>
                    <w:jc w:val="center"/>
                    <w:rPr>
                      <w:sz w:val="21"/>
                      <w:szCs w:val="21"/>
                    </w:rPr>
                  </w:pPr>
                  <w:r>
                    <w:rPr>
                      <w:sz w:val="21"/>
                      <w:szCs w:val="21"/>
                    </w:rPr>
                    <w:t>是</w:t>
                  </w:r>
                </w:p>
              </w:tc>
              <w:tc>
                <w:tcPr>
                  <w:tcW w:w="1487" w:type="pct"/>
                  <w:shd w:val="clear" w:color="auto" w:fill="auto"/>
                  <w:vAlign w:val="center"/>
                </w:tcPr>
                <w:p>
                  <w:pPr>
                    <w:spacing w:line="240" w:lineRule="auto"/>
                    <w:jc w:val="center"/>
                    <w:rPr>
                      <w:rFonts w:hint="eastAsia" w:eastAsia="宋体"/>
                      <w:sz w:val="21"/>
                      <w:szCs w:val="21"/>
                      <w:lang w:eastAsia="zh-CN"/>
                    </w:rPr>
                  </w:pPr>
                  <w:r>
                    <w:rPr>
                      <w:rFonts w:hint="eastAsia"/>
                      <w:sz w:val="21"/>
                      <w:szCs w:val="21"/>
                      <w:lang w:val="en-US" w:eastAsia="zh-CN"/>
                    </w:rPr>
                    <w:t>/</w:t>
                  </w:r>
                </w:p>
              </w:tc>
            </w:tr>
          </w:tbl>
          <w:p>
            <w:pPr>
              <w:pStyle w:val="40"/>
              <w:numPr>
                <w:ilvl w:val="3"/>
                <w:numId w:val="0"/>
              </w:numPr>
              <w:ind w:left="454"/>
            </w:pPr>
            <w:bookmarkStart w:id="78" w:name="_Toc17071"/>
            <w:bookmarkStart w:id="79" w:name="_Toc68160389"/>
            <w:r>
              <w:t>3、废气影响分析</w:t>
            </w:r>
            <w:bookmarkEnd w:id="78"/>
            <w:bookmarkEnd w:id="79"/>
          </w:p>
          <w:p>
            <w:pPr>
              <w:ind w:firstLine="480" w:firstLineChars="200"/>
            </w:pPr>
            <w:r>
              <w:rPr>
                <w:rFonts w:hint="eastAsia"/>
              </w:rPr>
              <w:t>本项目的主要废气特征污染物为颗粒物，</w:t>
            </w:r>
            <w:r>
              <w:t>为了解</w:t>
            </w:r>
            <w:r>
              <w:rPr>
                <w:rFonts w:hint="eastAsia"/>
              </w:rPr>
              <w:t>项目废气排放情况</w:t>
            </w:r>
            <w:r>
              <w:t>，我单位特委托湖南</w:t>
            </w:r>
            <w:r>
              <w:rPr>
                <w:rFonts w:hint="eastAsia"/>
              </w:rPr>
              <w:t>昌旭环保科技</w:t>
            </w:r>
            <w:r>
              <w:t>有限公司于20</w:t>
            </w:r>
            <w:r>
              <w:rPr>
                <w:rFonts w:hint="eastAsia"/>
              </w:rPr>
              <w:t>23</w:t>
            </w:r>
            <w:r>
              <w:t>年</w:t>
            </w:r>
            <w:r>
              <w:rPr>
                <w:rFonts w:hint="eastAsia"/>
              </w:rPr>
              <w:t>6</w:t>
            </w:r>
            <w:r>
              <w:t>月</w:t>
            </w:r>
            <w:r>
              <w:rPr>
                <w:rFonts w:hint="eastAsia"/>
              </w:rPr>
              <w:t>30</w:t>
            </w:r>
            <w:r>
              <w:t>日</w:t>
            </w:r>
            <w:r>
              <w:rPr>
                <w:rFonts w:hint="eastAsia"/>
              </w:rPr>
              <w:t>~7月1</w:t>
            </w:r>
            <w:r>
              <w:t>日进行了一期</w:t>
            </w:r>
            <w:r>
              <w:rPr>
                <w:rFonts w:hint="eastAsia"/>
              </w:rPr>
              <w:t>颗粒物</w:t>
            </w:r>
            <w:r>
              <w:t>的</w:t>
            </w:r>
            <w:r>
              <w:rPr>
                <w:rFonts w:hint="eastAsia"/>
              </w:rPr>
              <w:t>污染源监测</w:t>
            </w:r>
            <w:r>
              <w:t>。监测期间，该厂处于生产阶段</w:t>
            </w:r>
            <w:r>
              <w:rPr>
                <w:rFonts w:hint="eastAsia"/>
              </w:rPr>
              <w:t>。</w:t>
            </w:r>
          </w:p>
          <w:p>
            <w:pPr>
              <w:ind w:firstLine="480" w:firstLineChars="200"/>
            </w:pPr>
            <w:r>
              <w:rPr>
                <w:rFonts w:hint="eastAsia"/>
              </w:rPr>
              <w:t>1）</w:t>
            </w:r>
            <w:r>
              <w:t>监测点位</w:t>
            </w:r>
          </w:p>
          <w:p>
            <w:pPr>
              <w:ind w:firstLine="480" w:firstLineChars="200"/>
            </w:pPr>
            <w:r>
              <w:t>在当季主导风向</w:t>
            </w:r>
            <w:r>
              <w:rPr>
                <w:rFonts w:hint="eastAsia"/>
              </w:rPr>
              <w:t>厂界</w:t>
            </w:r>
            <w:r>
              <w:t>外</w:t>
            </w:r>
            <w:r>
              <w:rPr>
                <w:rFonts w:hint="eastAsia"/>
              </w:rPr>
              <w:t>上风向10m处设参照点</w:t>
            </w:r>
            <w:r>
              <w:t>G1</w:t>
            </w:r>
            <w:r>
              <w:rPr>
                <w:rFonts w:hint="eastAsia"/>
              </w:rPr>
              <w:t>，下风向10m处设</w:t>
            </w:r>
            <w:r>
              <w:t>监控点G2</w:t>
            </w:r>
            <w:r>
              <w:rPr>
                <w:rFonts w:hint="eastAsia"/>
              </w:rPr>
              <w:t>、</w:t>
            </w:r>
            <w:r>
              <w:t>G</w:t>
            </w:r>
            <w:r>
              <w:rPr>
                <w:rFonts w:hint="eastAsia"/>
              </w:rPr>
              <w:t>3</w:t>
            </w:r>
            <w:r>
              <w:t>。</w:t>
            </w:r>
          </w:p>
          <w:p>
            <w:pPr>
              <w:ind w:firstLine="480" w:firstLineChars="200"/>
            </w:pPr>
            <w:r>
              <w:rPr>
                <w:rFonts w:hint="eastAsia"/>
              </w:rPr>
              <w:t>2）</w:t>
            </w:r>
            <w:r>
              <w:t>监测项目</w:t>
            </w:r>
          </w:p>
          <w:p>
            <w:pPr>
              <w:ind w:firstLine="480" w:firstLineChars="200"/>
            </w:pPr>
            <w:r>
              <w:t>监测项目为</w:t>
            </w:r>
            <w:r>
              <w:rPr>
                <w:rFonts w:hint="eastAsia"/>
              </w:rPr>
              <w:t>颗粒物</w:t>
            </w:r>
            <w:r>
              <w:t>，并同步进行天气情况、气温、气压风向、风速等常规气象参数的观测。</w:t>
            </w:r>
          </w:p>
          <w:p>
            <w:pPr>
              <w:ind w:firstLine="480" w:firstLineChars="200"/>
            </w:pPr>
            <w:r>
              <w:rPr>
                <w:rFonts w:hint="eastAsia"/>
              </w:rPr>
              <w:t>3）</w:t>
            </w:r>
            <w:r>
              <w:t>监测时间及频次</w:t>
            </w:r>
          </w:p>
          <w:p>
            <w:pPr>
              <w:ind w:firstLine="480" w:firstLineChars="200"/>
            </w:pPr>
            <w:r>
              <w:t>从20</w:t>
            </w:r>
            <w:r>
              <w:rPr>
                <w:rFonts w:hint="eastAsia"/>
              </w:rPr>
              <w:t>23</w:t>
            </w:r>
            <w:r>
              <w:t>年</w:t>
            </w:r>
            <w:r>
              <w:rPr>
                <w:rFonts w:hint="eastAsia"/>
              </w:rPr>
              <w:t>6</w:t>
            </w:r>
            <w:r>
              <w:t>月</w:t>
            </w:r>
            <w:r>
              <w:rPr>
                <w:rFonts w:hint="eastAsia"/>
              </w:rPr>
              <w:t>30</w:t>
            </w:r>
            <w:r>
              <w:t>日</w:t>
            </w:r>
            <w:r>
              <w:rPr>
                <w:rFonts w:hint="eastAsia"/>
              </w:rPr>
              <w:t>~7月1</w:t>
            </w:r>
            <w:r>
              <w:t>日进行监测，</w:t>
            </w:r>
            <w:r>
              <w:rPr>
                <w:rFonts w:hint="eastAsia"/>
              </w:rPr>
              <w:t>2</w:t>
            </w:r>
            <w:r>
              <w:t>天连续采样。</w:t>
            </w:r>
          </w:p>
          <w:p>
            <w:pPr>
              <w:numPr>
                <w:ilvl w:val="0"/>
                <w:numId w:val="8"/>
              </w:numPr>
              <w:ind w:firstLine="480"/>
            </w:pPr>
            <w:r>
              <w:t>无组织废气检测结果</w:t>
            </w:r>
          </w:p>
          <w:p>
            <w:pPr>
              <w:ind w:firstLine="480"/>
            </w:pPr>
            <w:r>
              <w:t>本项目产生的无组织废气监测结果见下表：</w:t>
            </w:r>
          </w:p>
          <w:p>
            <w:pPr>
              <w:spacing w:line="240" w:lineRule="auto"/>
              <w:jc w:val="center"/>
              <w:rPr>
                <w:b/>
                <w:bCs/>
                <w:sz w:val="21"/>
                <w:szCs w:val="21"/>
              </w:rPr>
            </w:pPr>
            <w:r>
              <w:rPr>
                <w:b/>
                <w:bCs/>
                <w:sz w:val="21"/>
                <w:szCs w:val="21"/>
              </w:rPr>
              <w:t>表</w:t>
            </w:r>
            <w:r>
              <w:rPr>
                <w:rFonts w:hint="eastAsia"/>
                <w:b/>
                <w:bCs/>
                <w:sz w:val="21"/>
                <w:szCs w:val="21"/>
              </w:rPr>
              <w:t>4-</w:t>
            </w:r>
            <w:r>
              <w:rPr>
                <w:rFonts w:hint="eastAsia"/>
                <w:b/>
                <w:bCs/>
                <w:sz w:val="21"/>
                <w:szCs w:val="21"/>
                <w:lang w:val="en-US" w:eastAsia="zh-CN"/>
              </w:rPr>
              <w:t>6</w:t>
            </w:r>
            <w:r>
              <w:rPr>
                <w:b/>
                <w:bCs/>
                <w:sz w:val="21"/>
                <w:szCs w:val="21"/>
              </w:rPr>
              <w:t xml:space="preserve">   无组织废气监测结果一览表    单位：mg/m</w:t>
            </w:r>
            <w:r>
              <w:rPr>
                <w:b/>
                <w:bCs/>
                <w:sz w:val="21"/>
                <w:szCs w:val="21"/>
                <w:vertAlign w:val="superscript"/>
              </w:rPr>
              <w:t>3</w:t>
            </w:r>
          </w:p>
          <w:tbl>
            <w:tblPr>
              <w:tblStyle w:val="22"/>
              <w:tblW w:w="8301" w:type="dxa"/>
              <w:tblInd w:w="0" w:type="dxa"/>
              <w:tblLayout w:type="fixed"/>
              <w:tblCellMar>
                <w:top w:w="0" w:type="dxa"/>
                <w:left w:w="108" w:type="dxa"/>
                <w:bottom w:w="0" w:type="dxa"/>
                <w:right w:w="108" w:type="dxa"/>
              </w:tblCellMar>
            </w:tblPr>
            <w:tblGrid>
              <w:gridCol w:w="853"/>
              <w:gridCol w:w="636"/>
              <w:gridCol w:w="965"/>
              <w:gridCol w:w="1964"/>
              <w:gridCol w:w="1904"/>
              <w:gridCol w:w="1979"/>
            </w:tblGrid>
            <w:tr>
              <w:trPr>
                <w:trHeight w:val="314" w:hRule="atLeast"/>
              </w:trPr>
              <w:tc>
                <w:tcPr>
                  <w:tcW w:w="8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b/>
                      <w:sz w:val="21"/>
                      <w:szCs w:val="21"/>
                    </w:rPr>
                  </w:pPr>
                  <w:r>
                    <w:rPr>
                      <w:b/>
                      <w:sz w:val="21"/>
                      <w:szCs w:val="21"/>
                    </w:rPr>
                    <w:t>采样日期</w:t>
                  </w:r>
                </w:p>
              </w:tc>
              <w:tc>
                <w:tcPr>
                  <w:tcW w:w="1601" w:type="dxa"/>
                  <w:gridSpan w:val="2"/>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b/>
                      <w:sz w:val="21"/>
                      <w:szCs w:val="21"/>
                    </w:rPr>
                  </w:pPr>
                  <w:r>
                    <w:rPr>
                      <w:b/>
                      <w:sz w:val="21"/>
                      <w:szCs w:val="21"/>
                    </w:rPr>
                    <w:t>检测项目</w:t>
                  </w:r>
                </w:p>
              </w:tc>
              <w:tc>
                <w:tcPr>
                  <w:tcW w:w="5847"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b/>
                      <w:sz w:val="21"/>
                      <w:szCs w:val="21"/>
                    </w:rPr>
                  </w:pPr>
                  <w:r>
                    <w:rPr>
                      <w:b/>
                      <w:sz w:val="21"/>
                      <w:szCs w:val="21"/>
                    </w:rPr>
                    <w:t>检测结果(mg/m³)</w:t>
                  </w:r>
                </w:p>
              </w:tc>
            </w:tr>
            <w:tr>
              <w:trPr>
                <w:trHeight w:val="455" w:hRule="atLeast"/>
              </w:trPr>
              <w:tc>
                <w:tcPr>
                  <w:tcW w:w="8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b/>
                      <w:sz w:val="21"/>
                      <w:szCs w:val="21"/>
                    </w:rPr>
                  </w:pPr>
                </w:p>
              </w:tc>
              <w:tc>
                <w:tcPr>
                  <w:tcW w:w="1601" w:type="dxa"/>
                  <w:gridSpan w:val="2"/>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b/>
                      <w:sz w:val="21"/>
                      <w:szCs w:val="21"/>
                    </w:rPr>
                  </w:pPr>
                </w:p>
              </w:tc>
              <w:tc>
                <w:tcPr>
                  <w:tcW w:w="1964"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b/>
                      <w:sz w:val="21"/>
                      <w:szCs w:val="21"/>
                    </w:rPr>
                  </w:pPr>
                  <w:r>
                    <w:rPr>
                      <w:b/>
                      <w:sz w:val="21"/>
                      <w:szCs w:val="21"/>
                    </w:rPr>
                    <w:t>厂界上风向10m 处G1</w:t>
                  </w:r>
                </w:p>
              </w:tc>
              <w:tc>
                <w:tcPr>
                  <w:tcW w:w="1904"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b/>
                      <w:sz w:val="21"/>
                      <w:szCs w:val="21"/>
                    </w:rPr>
                  </w:pPr>
                  <w:r>
                    <w:rPr>
                      <w:b/>
                      <w:sz w:val="21"/>
                      <w:szCs w:val="21"/>
                    </w:rPr>
                    <w:t>厂界下风向10m处G2</w:t>
                  </w:r>
                </w:p>
              </w:tc>
              <w:tc>
                <w:tcPr>
                  <w:tcW w:w="1979"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b/>
                      <w:sz w:val="21"/>
                      <w:szCs w:val="21"/>
                    </w:rPr>
                  </w:pPr>
                  <w:r>
                    <w:rPr>
                      <w:b/>
                      <w:sz w:val="21"/>
                      <w:szCs w:val="21"/>
                    </w:rPr>
                    <w:t>厂界下风向10m处 G3</w:t>
                  </w:r>
                </w:p>
              </w:tc>
            </w:tr>
            <w:tr>
              <w:trPr>
                <w:trHeight w:val="272" w:hRule="atLeast"/>
              </w:trPr>
              <w:tc>
                <w:tcPr>
                  <w:tcW w:w="8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bCs/>
                      <w:sz w:val="21"/>
                      <w:szCs w:val="21"/>
                    </w:rPr>
                  </w:pPr>
                  <w:r>
                    <w:rPr>
                      <w:bCs/>
                      <w:sz w:val="21"/>
                      <w:szCs w:val="21"/>
                    </w:rPr>
                    <w:t>2023.06.30</w:t>
                  </w:r>
                </w:p>
              </w:tc>
              <w:tc>
                <w:tcPr>
                  <w:tcW w:w="636" w:type="dxa"/>
                  <w:vMerge w:val="restart"/>
                  <w:tcBorders>
                    <w:top w:val="single" w:color="000000" w:sz="4" w:space="0"/>
                    <w:left w:val="single" w:color="000000" w:sz="4" w:space="0"/>
                    <w:right w:val="single" w:color="000000" w:sz="4" w:space="0"/>
                  </w:tcBorders>
                  <w:vAlign w:val="center"/>
                </w:tcPr>
                <w:p>
                  <w:pPr>
                    <w:spacing w:line="240" w:lineRule="auto"/>
                    <w:jc w:val="center"/>
                    <w:rPr>
                      <w:bCs/>
                      <w:sz w:val="21"/>
                      <w:szCs w:val="21"/>
                    </w:rPr>
                  </w:pPr>
                  <w:r>
                    <w:rPr>
                      <w:bCs/>
                      <w:sz w:val="21"/>
                      <w:szCs w:val="21"/>
                    </w:rPr>
                    <w:t>颗粒物</w:t>
                  </w:r>
                </w:p>
              </w:tc>
              <w:tc>
                <w:tcPr>
                  <w:tcW w:w="965"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bCs/>
                      <w:sz w:val="21"/>
                      <w:szCs w:val="21"/>
                    </w:rPr>
                  </w:pPr>
                  <w:r>
                    <w:rPr>
                      <w:bCs/>
                      <w:sz w:val="21"/>
                      <w:szCs w:val="21"/>
                    </w:rPr>
                    <w:t>第一次</w:t>
                  </w:r>
                </w:p>
              </w:tc>
              <w:tc>
                <w:tcPr>
                  <w:tcW w:w="1964"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bCs/>
                      <w:sz w:val="21"/>
                      <w:szCs w:val="21"/>
                    </w:rPr>
                  </w:pPr>
                  <w:r>
                    <w:rPr>
                      <w:bCs/>
                      <w:sz w:val="21"/>
                      <w:szCs w:val="21"/>
                    </w:rPr>
                    <w:t>0.167</w:t>
                  </w:r>
                </w:p>
              </w:tc>
              <w:tc>
                <w:tcPr>
                  <w:tcW w:w="1904"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bCs/>
                      <w:sz w:val="21"/>
                      <w:szCs w:val="21"/>
                    </w:rPr>
                  </w:pPr>
                  <w:r>
                    <w:rPr>
                      <w:bCs/>
                      <w:sz w:val="21"/>
                      <w:szCs w:val="21"/>
                    </w:rPr>
                    <w:t>0.367</w:t>
                  </w:r>
                </w:p>
              </w:tc>
              <w:tc>
                <w:tcPr>
                  <w:tcW w:w="1979"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bCs/>
                      <w:sz w:val="21"/>
                      <w:szCs w:val="21"/>
                    </w:rPr>
                  </w:pPr>
                  <w:r>
                    <w:rPr>
                      <w:bCs/>
                      <w:sz w:val="21"/>
                      <w:szCs w:val="21"/>
                    </w:rPr>
                    <w:t>0.317</w:t>
                  </w:r>
                </w:p>
              </w:tc>
            </w:tr>
            <w:tr>
              <w:trPr>
                <w:trHeight w:val="193" w:hRule="atLeast"/>
              </w:trPr>
              <w:tc>
                <w:tcPr>
                  <w:tcW w:w="8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bCs/>
                      <w:sz w:val="21"/>
                      <w:szCs w:val="21"/>
                    </w:rPr>
                  </w:pPr>
                </w:p>
              </w:tc>
              <w:tc>
                <w:tcPr>
                  <w:tcW w:w="636" w:type="dxa"/>
                  <w:vMerge w:val="continue"/>
                  <w:tcBorders>
                    <w:left w:val="single" w:color="000000" w:sz="4" w:space="0"/>
                    <w:right w:val="single" w:color="000000" w:sz="4" w:space="0"/>
                  </w:tcBorders>
                  <w:vAlign w:val="center"/>
                </w:tcPr>
                <w:p>
                  <w:pPr>
                    <w:spacing w:line="240" w:lineRule="auto"/>
                    <w:jc w:val="center"/>
                    <w:rPr>
                      <w:bCs/>
                      <w:sz w:val="21"/>
                      <w:szCs w:val="21"/>
                    </w:rPr>
                  </w:pPr>
                </w:p>
              </w:tc>
              <w:tc>
                <w:tcPr>
                  <w:tcW w:w="965"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bCs/>
                      <w:sz w:val="21"/>
                      <w:szCs w:val="21"/>
                    </w:rPr>
                  </w:pPr>
                  <w:r>
                    <w:rPr>
                      <w:bCs/>
                      <w:sz w:val="21"/>
                      <w:szCs w:val="21"/>
                    </w:rPr>
                    <w:t>第二次</w:t>
                  </w:r>
                </w:p>
              </w:tc>
              <w:tc>
                <w:tcPr>
                  <w:tcW w:w="1964"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bCs/>
                      <w:sz w:val="21"/>
                      <w:szCs w:val="21"/>
                    </w:rPr>
                  </w:pPr>
                  <w:r>
                    <w:rPr>
                      <w:bCs/>
                      <w:sz w:val="21"/>
                      <w:szCs w:val="21"/>
                    </w:rPr>
                    <w:t>0.150</w:t>
                  </w:r>
                </w:p>
              </w:tc>
              <w:tc>
                <w:tcPr>
                  <w:tcW w:w="1904"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bCs/>
                      <w:sz w:val="21"/>
                      <w:szCs w:val="21"/>
                    </w:rPr>
                  </w:pPr>
                  <w:r>
                    <w:rPr>
                      <w:bCs/>
                      <w:sz w:val="21"/>
                      <w:szCs w:val="21"/>
                    </w:rPr>
                    <w:t>0.300</w:t>
                  </w:r>
                </w:p>
              </w:tc>
              <w:tc>
                <w:tcPr>
                  <w:tcW w:w="1979"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bCs/>
                      <w:sz w:val="21"/>
                      <w:szCs w:val="21"/>
                    </w:rPr>
                  </w:pPr>
                  <w:r>
                    <w:rPr>
                      <w:bCs/>
                      <w:sz w:val="21"/>
                      <w:szCs w:val="21"/>
                    </w:rPr>
                    <w:t>0.383</w:t>
                  </w:r>
                </w:p>
              </w:tc>
            </w:tr>
            <w:tr>
              <w:trPr>
                <w:trHeight w:val="247" w:hRule="atLeast"/>
              </w:trPr>
              <w:tc>
                <w:tcPr>
                  <w:tcW w:w="8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bCs/>
                      <w:sz w:val="21"/>
                      <w:szCs w:val="21"/>
                    </w:rPr>
                  </w:pPr>
                </w:p>
              </w:tc>
              <w:tc>
                <w:tcPr>
                  <w:tcW w:w="636" w:type="dxa"/>
                  <w:vMerge w:val="continue"/>
                  <w:tcBorders>
                    <w:left w:val="single" w:color="000000" w:sz="4" w:space="0"/>
                    <w:right w:val="single" w:color="000000" w:sz="4" w:space="0"/>
                  </w:tcBorders>
                  <w:vAlign w:val="center"/>
                </w:tcPr>
                <w:p>
                  <w:pPr>
                    <w:spacing w:line="240" w:lineRule="auto"/>
                    <w:jc w:val="center"/>
                    <w:rPr>
                      <w:bCs/>
                      <w:sz w:val="21"/>
                      <w:szCs w:val="21"/>
                    </w:rPr>
                  </w:pPr>
                </w:p>
              </w:tc>
              <w:tc>
                <w:tcPr>
                  <w:tcW w:w="965"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bCs/>
                      <w:sz w:val="21"/>
                      <w:szCs w:val="21"/>
                    </w:rPr>
                  </w:pPr>
                  <w:r>
                    <w:rPr>
                      <w:bCs/>
                      <w:sz w:val="21"/>
                      <w:szCs w:val="21"/>
                    </w:rPr>
                    <w:t>第三次</w:t>
                  </w:r>
                </w:p>
              </w:tc>
              <w:tc>
                <w:tcPr>
                  <w:tcW w:w="1964"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bCs/>
                      <w:sz w:val="21"/>
                      <w:szCs w:val="21"/>
                    </w:rPr>
                  </w:pPr>
                  <w:r>
                    <w:rPr>
                      <w:bCs/>
                      <w:sz w:val="21"/>
                      <w:szCs w:val="21"/>
                    </w:rPr>
                    <w:t>0.133</w:t>
                  </w:r>
                </w:p>
              </w:tc>
              <w:tc>
                <w:tcPr>
                  <w:tcW w:w="1904"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bCs/>
                      <w:sz w:val="21"/>
                      <w:szCs w:val="21"/>
                    </w:rPr>
                  </w:pPr>
                  <w:r>
                    <w:rPr>
                      <w:bCs/>
                      <w:sz w:val="21"/>
                      <w:szCs w:val="21"/>
                    </w:rPr>
                    <w:t>0.350</w:t>
                  </w:r>
                </w:p>
              </w:tc>
              <w:tc>
                <w:tcPr>
                  <w:tcW w:w="1979"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bCs/>
                      <w:sz w:val="21"/>
                      <w:szCs w:val="21"/>
                    </w:rPr>
                  </w:pPr>
                  <w:r>
                    <w:rPr>
                      <w:bCs/>
                      <w:sz w:val="21"/>
                      <w:szCs w:val="21"/>
                    </w:rPr>
                    <w:t>0.400</w:t>
                  </w:r>
                </w:p>
              </w:tc>
            </w:tr>
            <w:tr>
              <w:trPr>
                <w:trHeight w:val="90" w:hRule="atLeast"/>
              </w:trPr>
              <w:tc>
                <w:tcPr>
                  <w:tcW w:w="8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bCs/>
                      <w:sz w:val="21"/>
                      <w:szCs w:val="21"/>
                    </w:rPr>
                  </w:pPr>
                  <w:r>
                    <w:rPr>
                      <w:bCs/>
                      <w:sz w:val="21"/>
                      <w:szCs w:val="21"/>
                    </w:rPr>
                    <w:t>2023.07.01</w:t>
                  </w:r>
                </w:p>
              </w:tc>
              <w:tc>
                <w:tcPr>
                  <w:tcW w:w="636" w:type="dxa"/>
                  <w:vMerge w:val="continue"/>
                  <w:tcBorders>
                    <w:left w:val="single" w:color="000000" w:sz="4" w:space="0"/>
                    <w:right w:val="single" w:color="000000" w:sz="4" w:space="0"/>
                  </w:tcBorders>
                  <w:vAlign w:val="center"/>
                </w:tcPr>
                <w:p>
                  <w:pPr>
                    <w:spacing w:line="240" w:lineRule="auto"/>
                    <w:jc w:val="center"/>
                    <w:rPr>
                      <w:bCs/>
                      <w:sz w:val="21"/>
                      <w:szCs w:val="21"/>
                    </w:rPr>
                  </w:pPr>
                </w:p>
              </w:tc>
              <w:tc>
                <w:tcPr>
                  <w:tcW w:w="965"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bCs/>
                      <w:sz w:val="21"/>
                      <w:szCs w:val="21"/>
                    </w:rPr>
                  </w:pPr>
                  <w:r>
                    <w:rPr>
                      <w:bCs/>
                      <w:sz w:val="21"/>
                      <w:szCs w:val="21"/>
                    </w:rPr>
                    <w:t>第一次</w:t>
                  </w:r>
                </w:p>
              </w:tc>
              <w:tc>
                <w:tcPr>
                  <w:tcW w:w="1964"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bCs/>
                      <w:sz w:val="21"/>
                      <w:szCs w:val="21"/>
                    </w:rPr>
                  </w:pPr>
                  <w:r>
                    <w:rPr>
                      <w:bCs/>
                      <w:sz w:val="21"/>
                      <w:szCs w:val="21"/>
                    </w:rPr>
                    <w:t>0.117</w:t>
                  </w:r>
                </w:p>
              </w:tc>
              <w:tc>
                <w:tcPr>
                  <w:tcW w:w="1904"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bCs/>
                      <w:sz w:val="21"/>
                      <w:szCs w:val="21"/>
                    </w:rPr>
                  </w:pPr>
                  <w:r>
                    <w:rPr>
                      <w:bCs/>
                      <w:sz w:val="21"/>
                      <w:szCs w:val="21"/>
                    </w:rPr>
                    <w:t>0.317</w:t>
                  </w:r>
                </w:p>
              </w:tc>
              <w:tc>
                <w:tcPr>
                  <w:tcW w:w="1979"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bCs/>
                      <w:sz w:val="21"/>
                      <w:szCs w:val="21"/>
                    </w:rPr>
                  </w:pPr>
                  <w:r>
                    <w:rPr>
                      <w:bCs/>
                      <w:sz w:val="21"/>
                      <w:szCs w:val="21"/>
                    </w:rPr>
                    <w:t>0.350</w:t>
                  </w:r>
                </w:p>
              </w:tc>
            </w:tr>
            <w:tr>
              <w:trPr>
                <w:trHeight w:val="251" w:hRule="atLeast"/>
              </w:trPr>
              <w:tc>
                <w:tcPr>
                  <w:tcW w:w="8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bCs/>
                      <w:sz w:val="21"/>
                      <w:szCs w:val="21"/>
                    </w:rPr>
                  </w:pPr>
                </w:p>
              </w:tc>
              <w:tc>
                <w:tcPr>
                  <w:tcW w:w="636" w:type="dxa"/>
                  <w:vMerge w:val="continue"/>
                  <w:tcBorders>
                    <w:left w:val="single" w:color="000000" w:sz="4" w:space="0"/>
                    <w:right w:val="single" w:color="000000" w:sz="4" w:space="0"/>
                  </w:tcBorders>
                  <w:vAlign w:val="center"/>
                </w:tcPr>
                <w:p>
                  <w:pPr>
                    <w:spacing w:line="240" w:lineRule="auto"/>
                    <w:jc w:val="center"/>
                    <w:rPr>
                      <w:bCs/>
                      <w:sz w:val="21"/>
                      <w:szCs w:val="21"/>
                    </w:rPr>
                  </w:pPr>
                </w:p>
              </w:tc>
              <w:tc>
                <w:tcPr>
                  <w:tcW w:w="965"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bCs/>
                      <w:sz w:val="21"/>
                      <w:szCs w:val="21"/>
                    </w:rPr>
                  </w:pPr>
                  <w:r>
                    <w:rPr>
                      <w:bCs/>
                      <w:sz w:val="21"/>
                      <w:szCs w:val="21"/>
                    </w:rPr>
                    <w:t>第二次</w:t>
                  </w:r>
                </w:p>
              </w:tc>
              <w:tc>
                <w:tcPr>
                  <w:tcW w:w="1964"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bCs/>
                      <w:sz w:val="21"/>
                      <w:szCs w:val="21"/>
                    </w:rPr>
                  </w:pPr>
                  <w:r>
                    <w:rPr>
                      <w:bCs/>
                      <w:sz w:val="21"/>
                      <w:szCs w:val="21"/>
                    </w:rPr>
                    <w:t>0.133</w:t>
                  </w:r>
                </w:p>
              </w:tc>
              <w:tc>
                <w:tcPr>
                  <w:tcW w:w="1904"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bCs/>
                      <w:sz w:val="21"/>
                      <w:szCs w:val="21"/>
                    </w:rPr>
                  </w:pPr>
                  <w:r>
                    <w:rPr>
                      <w:bCs/>
                      <w:sz w:val="21"/>
                      <w:szCs w:val="21"/>
                    </w:rPr>
                    <w:t>0.367</w:t>
                  </w:r>
                </w:p>
              </w:tc>
              <w:tc>
                <w:tcPr>
                  <w:tcW w:w="1979"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bCs/>
                      <w:sz w:val="21"/>
                      <w:szCs w:val="21"/>
                    </w:rPr>
                  </w:pPr>
                  <w:r>
                    <w:rPr>
                      <w:bCs/>
                      <w:sz w:val="21"/>
                      <w:szCs w:val="21"/>
                    </w:rPr>
                    <w:t>0.333</w:t>
                  </w:r>
                </w:p>
              </w:tc>
            </w:tr>
            <w:tr>
              <w:trPr>
                <w:trHeight w:val="251" w:hRule="atLeast"/>
              </w:trPr>
              <w:tc>
                <w:tcPr>
                  <w:tcW w:w="8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bCs/>
                      <w:sz w:val="21"/>
                      <w:szCs w:val="21"/>
                    </w:rPr>
                  </w:pPr>
                </w:p>
              </w:tc>
              <w:tc>
                <w:tcPr>
                  <w:tcW w:w="636" w:type="dxa"/>
                  <w:vMerge w:val="continue"/>
                  <w:tcBorders>
                    <w:left w:val="single" w:color="000000" w:sz="4" w:space="0"/>
                    <w:bottom w:val="single" w:color="000000" w:sz="4" w:space="0"/>
                    <w:right w:val="single" w:color="000000" w:sz="4" w:space="0"/>
                  </w:tcBorders>
                  <w:vAlign w:val="center"/>
                </w:tcPr>
                <w:p>
                  <w:pPr>
                    <w:spacing w:line="240" w:lineRule="auto"/>
                    <w:jc w:val="center"/>
                    <w:rPr>
                      <w:bCs/>
                      <w:sz w:val="21"/>
                      <w:szCs w:val="21"/>
                    </w:rPr>
                  </w:pPr>
                </w:p>
              </w:tc>
              <w:tc>
                <w:tcPr>
                  <w:tcW w:w="965"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bCs/>
                      <w:sz w:val="21"/>
                      <w:szCs w:val="21"/>
                    </w:rPr>
                  </w:pPr>
                  <w:r>
                    <w:rPr>
                      <w:bCs/>
                      <w:sz w:val="21"/>
                      <w:szCs w:val="21"/>
                    </w:rPr>
                    <w:t>第三次</w:t>
                  </w:r>
                </w:p>
              </w:tc>
              <w:tc>
                <w:tcPr>
                  <w:tcW w:w="1964"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bCs/>
                      <w:sz w:val="21"/>
                      <w:szCs w:val="21"/>
                    </w:rPr>
                  </w:pPr>
                  <w:r>
                    <w:rPr>
                      <w:bCs/>
                      <w:sz w:val="21"/>
                      <w:szCs w:val="21"/>
                    </w:rPr>
                    <w:t>0.150</w:t>
                  </w:r>
                </w:p>
              </w:tc>
              <w:tc>
                <w:tcPr>
                  <w:tcW w:w="1904"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bCs/>
                      <w:sz w:val="21"/>
                      <w:szCs w:val="21"/>
                    </w:rPr>
                  </w:pPr>
                  <w:r>
                    <w:rPr>
                      <w:bCs/>
                      <w:sz w:val="21"/>
                      <w:szCs w:val="21"/>
                    </w:rPr>
                    <w:t>0.300</w:t>
                  </w:r>
                </w:p>
              </w:tc>
              <w:tc>
                <w:tcPr>
                  <w:tcW w:w="1979"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bCs/>
                      <w:sz w:val="21"/>
                      <w:szCs w:val="21"/>
                    </w:rPr>
                  </w:pPr>
                  <w:r>
                    <w:rPr>
                      <w:bCs/>
                      <w:sz w:val="21"/>
                      <w:szCs w:val="21"/>
                    </w:rPr>
                    <w:t>0.383</w:t>
                  </w:r>
                </w:p>
              </w:tc>
            </w:tr>
            <w:tr>
              <w:trPr>
                <w:trHeight w:val="114" w:hRule="atLeast"/>
              </w:trPr>
              <w:tc>
                <w:tcPr>
                  <w:tcW w:w="2454"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bCs/>
                      <w:sz w:val="21"/>
                      <w:szCs w:val="21"/>
                    </w:rPr>
                  </w:pPr>
                  <w:r>
                    <w:rPr>
                      <w:bCs/>
                      <w:sz w:val="21"/>
                      <w:szCs w:val="21"/>
                    </w:rPr>
                    <w:t>标准限值</w:t>
                  </w:r>
                </w:p>
              </w:tc>
              <w:tc>
                <w:tcPr>
                  <w:tcW w:w="1964"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bCs/>
                      <w:sz w:val="21"/>
                      <w:szCs w:val="21"/>
                    </w:rPr>
                  </w:pPr>
                  <w:r>
                    <w:rPr>
                      <w:bCs/>
                      <w:sz w:val="21"/>
                      <w:szCs w:val="21"/>
                    </w:rPr>
                    <w:t>1.0</w:t>
                  </w:r>
                </w:p>
              </w:tc>
              <w:tc>
                <w:tcPr>
                  <w:tcW w:w="1904"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bCs/>
                      <w:sz w:val="21"/>
                      <w:szCs w:val="21"/>
                    </w:rPr>
                  </w:pPr>
                  <w:r>
                    <w:rPr>
                      <w:bCs/>
                      <w:sz w:val="21"/>
                      <w:szCs w:val="21"/>
                    </w:rPr>
                    <w:t>1.0</w:t>
                  </w:r>
                </w:p>
              </w:tc>
              <w:tc>
                <w:tcPr>
                  <w:tcW w:w="1979"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bCs/>
                      <w:sz w:val="21"/>
                      <w:szCs w:val="21"/>
                    </w:rPr>
                  </w:pPr>
                  <w:r>
                    <w:rPr>
                      <w:bCs/>
                      <w:sz w:val="21"/>
                      <w:szCs w:val="21"/>
                    </w:rPr>
                    <w:t>1.0</w:t>
                  </w:r>
                </w:p>
              </w:tc>
            </w:tr>
            <w:tr>
              <w:trPr>
                <w:trHeight w:val="704" w:hRule="atLeast"/>
              </w:trPr>
              <w:tc>
                <w:tcPr>
                  <w:tcW w:w="8301" w:type="dxa"/>
                  <w:gridSpan w:val="6"/>
                  <w:tcBorders>
                    <w:top w:val="single" w:color="000000" w:sz="4" w:space="0"/>
                    <w:left w:val="single" w:color="000000" w:sz="4" w:space="0"/>
                    <w:bottom w:val="single" w:color="000000" w:sz="4" w:space="0"/>
                    <w:right w:val="single" w:color="000000" w:sz="4" w:space="0"/>
                  </w:tcBorders>
                  <w:vAlign w:val="center"/>
                </w:tcPr>
                <w:p>
                  <w:pPr>
                    <w:spacing w:line="240" w:lineRule="auto"/>
                    <w:rPr>
                      <w:bCs/>
                      <w:sz w:val="21"/>
                      <w:szCs w:val="21"/>
                    </w:rPr>
                  </w:pPr>
                  <w:r>
                    <w:rPr>
                      <w:bCs/>
                      <w:sz w:val="21"/>
                      <w:szCs w:val="21"/>
                    </w:rPr>
                    <w:t>备注:1、是否分包:否</w:t>
                  </w:r>
                </w:p>
                <w:p>
                  <w:pPr>
                    <w:spacing w:line="240" w:lineRule="auto"/>
                    <w:ind w:firstLine="420" w:firstLineChars="200"/>
                    <w:rPr>
                      <w:bCs/>
                      <w:sz w:val="21"/>
                      <w:szCs w:val="21"/>
                    </w:rPr>
                  </w:pPr>
                  <w:r>
                    <w:rPr>
                      <w:bCs/>
                      <w:sz w:val="21"/>
                      <w:szCs w:val="21"/>
                    </w:rPr>
                    <w:t>2、检测结果小于检测方法最低检出限,用检出限+L表示</w:t>
                  </w:r>
                </w:p>
              </w:tc>
            </w:tr>
            <w:tr>
              <w:trPr>
                <w:trHeight w:val="414" w:hRule="atLeast"/>
              </w:trPr>
              <w:tc>
                <w:tcPr>
                  <w:tcW w:w="8301" w:type="dxa"/>
                  <w:gridSpan w:val="6"/>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bCs/>
                      <w:sz w:val="21"/>
                      <w:szCs w:val="21"/>
                    </w:rPr>
                  </w:pPr>
                  <w:r>
                    <w:rPr>
                      <w:bCs/>
                      <w:sz w:val="21"/>
                      <w:szCs w:val="21"/>
                    </w:rPr>
                    <w:t>标准限值来源:G1-G3:《大气污染物综合排放标准》(GB16297-1996)表2中无组织排放限值标准</w:t>
                  </w:r>
                </w:p>
              </w:tc>
            </w:tr>
          </w:tbl>
          <w:p>
            <w:pPr>
              <w:pStyle w:val="47"/>
              <w:snapToGrid w:val="0"/>
              <w:spacing w:line="360" w:lineRule="auto"/>
              <w:ind w:firstLine="480" w:firstLineChars="200"/>
              <w:jc w:val="both"/>
              <w:rPr>
                <w:rFonts w:ascii="Times New Roman" w:hAnsi="Times New Roman" w:cs="Times New Roman"/>
                <w:color w:val="auto"/>
                <w:kern w:val="2"/>
              </w:rPr>
            </w:pPr>
            <w:r>
              <w:rPr>
                <w:rFonts w:ascii="Times New Roman" w:hAnsi="Times New Roman" w:cs="Times New Roman"/>
                <w:color w:val="auto"/>
                <w:kern w:val="2"/>
              </w:rPr>
              <w:t>由上表知，监测期间</w:t>
            </w:r>
            <w:r>
              <w:rPr>
                <w:rFonts w:hint="eastAsia" w:ascii="Times New Roman" w:hAnsi="Times New Roman" w:cs="Times New Roman"/>
                <w:color w:val="auto"/>
                <w:kern w:val="2"/>
              </w:rPr>
              <w:t>颗粒物</w:t>
            </w:r>
            <w:r>
              <w:rPr>
                <w:rFonts w:ascii="Times New Roman" w:hAnsi="Times New Roman" w:cs="Times New Roman"/>
                <w:color w:val="auto"/>
                <w:kern w:val="2"/>
              </w:rPr>
              <w:t>上风向监控点及2个下风向监测点浓度均可以达到《大气污染物综合排放标准》（GB16297-1996）表2中的新污染源无组织排放监控浓度限值（</w:t>
            </w:r>
            <w:r>
              <w:rPr>
                <w:rFonts w:hint="eastAsia" w:ascii="Times New Roman" w:hAnsi="Times New Roman" w:cs="Times New Roman"/>
                <w:color w:val="auto"/>
                <w:kern w:val="2"/>
              </w:rPr>
              <w:t>颗粒物</w:t>
            </w:r>
            <w:r>
              <w:rPr>
                <w:rFonts w:ascii="Times New Roman" w:hAnsi="Times New Roman" w:cs="Times New Roman"/>
                <w:color w:val="auto"/>
                <w:kern w:val="2"/>
              </w:rPr>
              <w:t>≤</w:t>
            </w:r>
            <w:r>
              <w:rPr>
                <w:rFonts w:hint="eastAsia" w:ascii="Times New Roman" w:hAnsi="Times New Roman" w:cs="Times New Roman"/>
                <w:color w:val="auto"/>
                <w:kern w:val="2"/>
              </w:rPr>
              <w:t>1</w:t>
            </w:r>
            <w:r>
              <w:rPr>
                <w:rFonts w:ascii="Times New Roman" w:hAnsi="Times New Roman" w:cs="Times New Roman"/>
                <w:color w:val="auto"/>
                <w:kern w:val="2"/>
              </w:rPr>
              <w:t>.0mg/m</w:t>
            </w:r>
            <w:r>
              <w:rPr>
                <w:rFonts w:ascii="Times New Roman" w:hAnsi="Times New Roman" w:cs="Times New Roman"/>
                <w:color w:val="auto"/>
                <w:kern w:val="2"/>
                <w:vertAlign w:val="superscript"/>
              </w:rPr>
              <w:t>3</w:t>
            </w:r>
            <w:r>
              <w:rPr>
                <w:rFonts w:ascii="Times New Roman" w:hAnsi="Times New Roman" w:cs="Times New Roman"/>
                <w:color w:val="auto"/>
                <w:kern w:val="2"/>
              </w:rPr>
              <w:t>）。</w:t>
            </w:r>
          </w:p>
          <w:p>
            <w:pPr>
              <w:pStyle w:val="48"/>
              <w:jc w:val="both"/>
              <w:rPr>
                <w:color w:val="auto"/>
                <w:szCs w:val="24"/>
              </w:rPr>
            </w:pPr>
            <w:bookmarkStart w:id="80" w:name="_Toc24408"/>
            <w:bookmarkStart w:id="81" w:name="_Toc68160390"/>
            <w:r>
              <w:rPr>
                <w:color w:val="auto"/>
                <w:szCs w:val="24"/>
                <w:u w:val="single"/>
              </w:rPr>
              <w:t>本项目</w:t>
            </w:r>
            <w:r>
              <w:rPr>
                <w:rFonts w:hint="eastAsia"/>
                <w:color w:val="auto"/>
                <w:szCs w:val="24"/>
                <w:u w:val="single"/>
              </w:rPr>
              <w:t>装卸时加强洒水防尘力度、避开大风天气卸车，破碎、筛分、制砂采用湿法作业</w:t>
            </w:r>
            <w:r>
              <w:rPr>
                <w:rFonts w:hint="eastAsia"/>
                <w:color w:val="auto"/>
                <w:szCs w:val="24"/>
                <w:u w:val="single"/>
                <w:lang w:eastAsia="zh-CN"/>
              </w:rPr>
              <w:t>，且</w:t>
            </w:r>
            <w:r>
              <w:rPr>
                <w:rFonts w:hint="eastAsia"/>
                <w:color w:val="auto"/>
                <w:sz w:val="24"/>
                <w:szCs w:val="24"/>
                <w:u w:val="single"/>
              </w:rPr>
              <w:t>对</w:t>
            </w:r>
            <w:r>
              <w:rPr>
                <w:rFonts w:hint="eastAsia"/>
                <w:color w:val="auto"/>
                <w:sz w:val="24"/>
                <w:szCs w:val="24"/>
                <w:u w:val="single"/>
                <w:lang w:eastAsia="zh-CN"/>
              </w:rPr>
              <w:t>破碎工序</w:t>
            </w:r>
            <w:r>
              <w:rPr>
                <w:rFonts w:hint="eastAsia"/>
                <w:color w:val="auto"/>
                <w:sz w:val="24"/>
                <w:szCs w:val="24"/>
                <w:u w:val="single"/>
              </w:rPr>
              <w:t>设置</w:t>
            </w:r>
            <w:r>
              <w:rPr>
                <w:rFonts w:hint="eastAsia"/>
                <w:color w:val="auto"/>
                <w:sz w:val="24"/>
                <w:szCs w:val="24"/>
                <w:u w:val="single"/>
                <w:lang w:eastAsia="zh-CN"/>
              </w:rPr>
              <w:t>三面</w:t>
            </w:r>
            <w:r>
              <w:rPr>
                <w:rFonts w:hint="eastAsia"/>
                <w:color w:val="auto"/>
                <w:sz w:val="24"/>
                <w:szCs w:val="24"/>
                <w:u w:val="single"/>
              </w:rPr>
              <w:t>围挡</w:t>
            </w:r>
            <w:r>
              <w:rPr>
                <w:rFonts w:hint="eastAsia"/>
                <w:color w:val="auto"/>
                <w:szCs w:val="24"/>
                <w:u w:val="single"/>
              </w:rPr>
              <w:t>基本无粉尘产生，运输车辆</w:t>
            </w:r>
            <w:r>
              <w:rPr>
                <w:color w:val="auto"/>
                <w:szCs w:val="24"/>
                <w:u w:val="single"/>
              </w:rPr>
              <w:t>控制车速，减速慢行，对厂区道路进行洒水</w:t>
            </w:r>
            <w:r>
              <w:rPr>
                <w:rFonts w:hint="eastAsia"/>
                <w:color w:val="auto"/>
                <w:szCs w:val="24"/>
                <w:u w:val="single"/>
              </w:rPr>
              <w:t>，</w:t>
            </w:r>
            <w:r>
              <w:rPr>
                <w:color w:val="auto"/>
                <w:szCs w:val="24"/>
                <w:u w:val="single"/>
              </w:rPr>
              <w:t>进出厂区时进行加盖篷布</w:t>
            </w:r>
            <w:r>
              <w:rPr>
                <w:rFonts w:hint="eastAsia"/>
                <w:color w:val="auto"/>
                <w:szCs w:val="24"/>
                <w:u w:val="single"/>
              </w:rPr>
              <w:t>，且</w:t>
            </w:r>
            <w:r>
              <w:rPr>
                <w:color w:val="auto"/>
                <w:szCs w:val="24"/>
                <w:u w:val="single"/>
              </w:rPr>
              <w:t>合理作业时间及车辆进场</w:t>
            </w:r>
            <w:r>
              <w:rPr>
                <w:rFonts w:hint="eastAsia"/>
                <w:color w:val="auto"/>
                <w:szCs w:val="24"/>
                <w:u w:val="single"/>
              </w:rPr>
              <w:t>，成品堆场</w:t>
            </w:r>
            <w:r>
              <w:rPr>
                <w:rFonts w:hint="eastAsia"/>
                <w:color w:val="auto"/>
                <w:szCs w:val="24"/>
                <w:u w:val="single"/>
                <w:lang w:eastAsia="zh-CN"/>
              </w:rPr>
              <w:t>拟增加</w:t>
            </w:r>
            <w:r>
              <w:rPr>
                <w:rFonts w:hint="eastAsia"/>
                <w:color w:val="auto"/>
                <w:szCs w:val="24"/>
                <w:u w:val="single"/>
              </w:rPr>
              <w:t>喷淋抑尘设施，以上均属于可行技术。</w:t>
            </w:r>
            <w:r>
              <w:rPr>
                <w:rFonts w:hint="eastAsia"/>
                <w:color w:val="auto"/>
                <w:szCs w:val="24"/>
              </w:rPr>
              <w:t>项目</w:t>
            </w:r>
            <w:r>
              <w:rPr>
                <w:color w:val="auto"/>
                <w:szCs w:val="24"/>
              </w:rPr>
              <w:t>采用连续化、自动化等生产技术，且生产采用高效工艺与设备，减少了工艺过程无组织排放，排放量很小，无组织排放的颗粒物可以达到《大气污染源综合排放标准》（GB16297-1996）无组织排放监控浓度限值，排放废气对周围大气环境影响较小。</w:t>
            </w:r>
          </w:p>
          <w:p>
            <w:pPr>
              <w:ind w:firstLine="480" w:firstLineChars="200"/>
            </w:pPr>
            <w:r>
              <w:rPr>
                <w:rFonts w:hint="eastAsia"/>
              </w:rPr>
              <w:t>项目位于达标区，在采取上述措施后</w:t>
            </w:r>
            <w:r>
              <w:t>项目排放废气对周围大气环境影响较小，本项目粉尘无组织排放符合要求。</w:t>
            </w:r>
          </w:p>
          <w:bookmarkEnd w:id="80"/>
          <w:bookmarkEnd w:id="81"/>
          <w:p>
            <w:pPr>
              <w:pStyle w:val="34"/>
              <w:numPr>
                <w:ilvl w:val="2"/>
                <w:numId w:val="0"/>
              </w:numPr>
              <w:ind w:firstLine="481" w:firstLineChars="200"/>
            </w:pPr>
            <w:bookmarkStart w:id="82" w:name="_Toc767"/>
            <w:bookmarkStart w:id="83" w:name="_Toc68160391"/>
            <w:r>
              <w:t>4.2.2、废水</w:t>
            </w:r>
            <w:bookmarkEnd w:id="82"/>
            <w:bookmarkEnd w:id="83"/>
          </w:p>
          <w:p>
            <w:pPr>
              <w:pStyle w:val="40"/>
              <w:numPr>
                <w:ilvl w:val="3"/>
                <w:numId w:val="0"/>
              </w:numPr>
              <w:ind w:left="454"/>
            </w:pPr>
            <w:bookmarkStart w:id="84" w:name="_Toc29839"/>
            <w:bookmarkStart w:id="85" w:name="_Toc68160392"/>
            <w:r>
              <w:t>1、废水产排情况</w:t>
            </w:r>
            <w:bookmarkEnd w:id="84"/>
            <w:bookmarkEnd w:id="85"/>
          </w:p>
          <w:p>
            <w:pPr>
              <w:ind w:firstLine="480" w:firstLineChars="200"/>
              <w:rPr>
                <w:u w:val="none" w:color="auto"/>
              </w:rPr>
            </w:pPr>
            <w:r>
              <w:t>项目废水主要为</w:t>
            </w:r>
            <w:r>
              <w:rPr>
                <w:rFonts w:hint="eastAsia"/>
                <w:lang w:eastAsia="zh-CN"/>
              </w:rPr>
              <w:t>生产工艺</w:t>
            </w:r>
            <w:r>
              <w:t>废水</w:t>
            </w:r>
            <w:r>
              <w:rPr>
                <w:rFonts w:hint="eastAsia"/>
              </w:rPr>
              <w:t>、洗车废水以及</w:t>
            </w:r>
            <w:r>
              <w:t>工作人员生活污水。</w:t>
            </w:r>
            <w:r>
              <w:rPr>
                <w:rFonts w:hint="eastAsia"/>
                <w:lang w:eastAsia="zh-CN"/>
              </w:rPr>
              <w:t>其中生产工艺</w:t>
            </w:r>
            <w:r>
              <w:t>废水经过废水处理系统</w:t>
            </w:r>
            <w:r>
              <w:rPr>
                <w:highlight w:val="none"/>
              </w:rPr>
              <w:t>（废水收集池+深锥浓缩罐+板框压滤机+清水池）</w:t>
            </w:r>
            <w:r>
              <w:t>处理后循环使用，</w:t>
            </w:r>
            <w:r>
              <w:rPr>
                <w:rFonts w:hint="eastAsia"/>
              </w:rPr>
              <w:t>不外排；</w:t>
            </w:r>
            <w:r>
              <w:rPr>
                <w:rFonts w:hint="eastAsia"/>
                <w:lang w:eastAsia="zh-CN"/>
              </w:rPr>
              <w:t>洗车废</w:t>
            </w:r>
            <w:r>
              <w:rPr>
                <w:rFonts w:hint="eastAsia"/>
                <w:u w:val="none" w:color="auto"/>
                <w:lang w:eastAsia="zh-CN"/>
              </w:rPr>
              <w:t>水</w:t>
            </w:r>
            <w:r>
              <w:rPr>
                <w:rFonts w:hint="default" w:ascii="Times New Roman" w:hAnsi="Times New Roman" w:eastAsia="宋体" w:cs="Times New Roman"/>
                <w:bCs/>
                <w:color w:val="000000"/>
                <w:szCs w:val="24"/>
                <w:highlight w:val="none"/>
                <w:u w:val="none" w:color="auto"/>
                <w:lang w:val="en-US" w:eastAsia="zh-CN"/>
              </w:rPr>
              <w:t>经</w:t>
            </w:r>
            <w:r>
              <w:rPr>
                <w:rFonts w:hint="eastAsia" w:cs="Times New Roman"/>
                <w:bCs/>
                <w:color w:val="000000"/>
                <w:szCs w:val="24"/>
                <w:highlight w:val="none"/>
                <w:u w:val="none" w:color="auto"/>
                <w:lang w:val="en-US" w:eastAsia="zh-CN"/>
              </w:rPr>
              <w:t>沉淀</w:t>
            </w:r>
            <w:r>
              <w:rPr>
                <w:rFonts w:hint="default" w:ascii="Times New Roman" w:hAnsi="Times New Roman" w:eastAsia="宋体" w:cs="Times New Roman"/>
                <w:bCs/>
                <w:color w:val="000000"/>
                <w:szCs w:val="24"/>
                <w:highlight w:val="none"/>
                <w:u w:val="none" w:color="auto"/>
                <w:lang w:val="en-US" w:eastAsia="zh-CN"/>
              </w:rPr>
              <w:t>池沉淀处理后</w:t>
            </w:r>
            <w:r>
              <w:rPr>
                <w:rFonts w:hint="eastAsia" w:ascii="Times New Roman" w:hAnsi="Times New Roman" w:cs="Times New Roman"/>
                <w:bCs/>
                <w:color w:val="000000"/>
                <w:szCs w:val="24"/>
                <w:highlight w:val="none"/>
                <w:u w:val="none" w:color="auto"/>
                <w:lang w:eastAsia="zh-CN"/>
              </w:rPr>
              <w:t>回用</w:t>
            </w:r>
            <w:r>
              <w:rPr>
                <w:rFonts w:hint="default" w:ascii="Times New Roman" w:hAnsi="Times New Roman" w:eastAsia="宋体" w:cs="Times New Roman"/>
                <w:bCs/>
                <w:color w:val="000000"/>
                <w:szCs w:val="24"/>
                <w:highlight w:val="none"/>
                <w:u w:val="none" w:color="auto"/>
                <w:lang w:val="en-US" w:eastAsia="zh-CN"/>
              </w:rPr>
              <w:t>作为车辆冲洗用水</w:t>
            </w:r>
            <w:r>
              <w:rPr>
                <w:rFonts w:hint="eastAsia"/>
                <w:u w:val="none" w:color="auto"/>
                <w:lang w:eastAsia="zh-CN"/>
              </w:rPr>
              <w:t>；</w:t>
            </w:r>
            <w:r>
              <w:rPr>
                <w:u w:val="none" w:color="auto"/>
              </w:rPr>
              <w:t>生活污水</w:t>
            </w:r>
            <w:r>
              <w:rPr>
                <w:rFonts w:hint="eastAsia"/>
                <w:u w:val="none" w:color="auto"/>
              </w:rPr>
              <w:t>经隔油化粪池处理后</w:t>
            </w:r>
            <w:r>
              <w:rPr>
                <w:u w:val="none" w:color="auto"/>
              </w:rPr>
              <w:t>可用于周边农灌</w:t>
            </w:r>
            <w:r>
              <w:rPr>
                <w:rFonts w:hint="eastAsia"/>
                <w:u w:val="none" w:color="auto"/>
              </w:rPr>
              <w:t>；</w:t>
            </w:r>
            <w:r>
              <w:rPr>
                <w:rFonts w:hint="eastAsia"/>
                <w:u w:val="single" w:color="auto"/>
              </w:rPr>
              <w:t>初期</w:t>
            </w:r>
            <w:r>
              <w:rPr>
                <w:u w:val="single" w:color="auto"/>
              </w:rPr>
              <w:t>雨水</w:t>
            </w:r>
            <w:r>
              <w:rPr>
                <w:color w:val="auto"/>
                <w:sz w:val="24"/>
                <w:szCs w:val="22"/>
                <w:u w:val="single" w:color="auto"/>
                <w:lang w:bidi="zh-CN"/>
              </w:rPr>
              <w:t>通过截排水沟将</w:t>
            </w:r>
            <w:r>
              <w:rPr>
                <w:rFonts w:hint="eastAsia"/>
                <w:color w:val="auto"/>
                <w:sz w:val="24"/>
                <w:szCs w:val="22"/>
                <w:u w:val="single" w:color="auto"/>
                <w:lang w:bidi="zh-CN"/>
              </w:rPr>
              <w:t>厂区</w:t>
            </w:r>
            <w:r>
              <w:rPr>
                <w:color w:val="auto"/>
                <w:sz w:val="24"/>
                <w:szCs w:val="22"/>
                <w:u w:val="single" w:color="auto"/>
                <w:lang w:bidi="zh-CN"/>
              </w:rPr>
              <w:t>汇集的地表径流收集至</w:t>
            </w:r>
            <w:r>
              <w:rPr>
                <w:rFonts w:hint="eastAsia"/>
                <w:u w:val="single" w:color="auto"/>
              </w:rPr>
              <w:t>初期雨水收集池</w:t>
            </w:r>
            <w:r>
              <w:rPr>
                <w:u w:val="single" w:color="auto"/>
              </w:rPr>
              <w:t>沉淀后回用于厂区降尘洒水</w:t>
            </w:r>
            <w:r>
              <w:rPr>
                <w:rFonts w:hint="eastAsia"/>
                <w:u w:val="single" w:color="auto"/>
                <w:lang w:eastAsia="zh-CN"/>
              </w:rPr>
              <w:t>；</w:t>
            </w:r>
            <w:r>
              <w:rPr>
                <w:rFonts w:hint="default" w:ascii="Times New Roman" w:hAnsi="Times New Roman" w:eastAsia="宋体" w:cs="Times New Roman"/>
                <w:sz w:val="24"/>
                <w:u w:val="none" w:color="auto"/>
              </w:rPr>
              <w:t>洒水降尘用水自然蒸发，不外排</w:t>
            </w:r>
            <w:r>
              <w:rPr>
                <w:u w:val="none" w:color="auto"/>
              </w:rPr>
              <w:t>。</w:t>
            </w:r>
            <w:r>
              <w:rPr>
                <w:rFonts w:hint="eastAsia"/>
                <w:u w:val="none" w:color="auto"/>
              </w:rPr>
              <w:t>本项目废水</w:t>
            </w:r>
            <w:r>
              <w:rPr>
                <w:u w:val="none" w:color="auto"/>
              </w:rPr>
              <w:t>对环境产生影响</w:t>
            </w:r>
            <w:r>
              <w:rPr>
                <w:rFonts w:hint="eastAsia"/>
                <w:u w:val="none" w:color="auto"/>
              </w:rPr>
              <w:t>较</w:t>
            </w:r>
            <w:r>
              <w:rPr>
                <w:u w:val="none" w:color="auto"/>
              </w:rPr>
              <w:t>小。</w:t>
            </w:r>
          </w:p>
          <w:p>
            <w:pPr>
              <w:pStyle w:val="40"/>
              <w:numPr>
                <w:ilvl w:val="3"/>
                <w:numId w:val="0"/>
              </w:numPr>
              <w:ind w:left="454"/>
              <w:rPr>
                <w:u w:val="none" w:color="auto"/>
              </w:rPr>
            </w:pPr>
            <w:bookmarkStart w:id="86" w:name="_Toc28161"/>
            <w:bookmarkStart w:id="87" w:name="_Toc68160393"/>
            <w:r>
              <w:rPr>
                <w:u w:val="none" w:color="auto"/>
              </w:rPr>
              <w:t>2、废水影响分析</w:t>
            </w:r>
            <w:bookmarkEnd w:id="86"/>
            <w:bookmarkEnd w:id="87"/>
          </w:p>
          <w:p>
            <w:pPr>
              <w:ind w:firstLine="480" w:firstLineChars="200"/>
              <w:rPr>
                <w:u w:val="none" w:color="auto"/>
              </w:rPr>
            </w:pPr>
            <w:r>
              <w:rPr>
                <w:u w:val="none" w:color="auto"/>
              </w:rPr>
              <w:t>（1）</w:t>
            </w:r>
            <w:r>
              <w:rPr>
                <w:rFonts w:hint="eastAsia"/>
                <w:u w:val="none" w:color="auto"/>
                <w:lang w:eastAsia="zh-CN"/>
              </w:rPr>
              <w:t>生产工艺</w:t>
            </w:r>
            <w:r>
              <w:rPr>
                <w:u w:val="none" w:color="auto"/>
              </w:rPr>
              <w:t>废水</w:t>
            </w:r>
          </w:p>
          <w:p>
            <w:pPr>
              <w:ind w:firstLine="480" w:firstLineChars="200"/>
              <w:rPr>
                <w:u w:val="single" w:color="auto"/>
              </w:rPr>
            </w:pPr>
            <w:r>
              <w:rPr>
                <w:rFonts w:hint="eastAsia" w:ascii="Times New Roman" w:hAnsi="Times New Roman" w:eastAsia="宋体" w:cs="Times New Roman"/>
                <w:color w:val="auto"/>
                <w:sz w:val="24"/>
                <w:szCs w:val="24"/>
                <w:highlight w:val="none"/>
                <w:u w:val="single" w:color="auto"/>
                <w:lang w:val="en-US" w:eastAsia="zh-CN"/>
              </w:rPr>
              <w:t>本项目在生产过程中，</w:t>
            </w:r>
            <w:r>
              <w:rPr>
                <w:rFonts w:hint="eastAsia" w:cs="Times New Roman"/>
                <w:color w:val="auto"/>
                <w:sz w:val="24"/>
                <w:szCs w:val="24"/>
                <w:highlight w:val="none"/>
                <w:u w:val="single" w:color="auto"/>
                <w:lang w:val="en-US" w:eastAsia="zh-CN"/>
              </w:rPr>
              <w:t>破碎制砂采用湿法作业，</w:t>
            </w:r>
            <w:r>
              <w:rPr>
                <w:rFonts w:hint="eastAsia" w:ascii="Times New Roman" w:hAnsi="Times New Roman" w:eastAsia="宋体" w:cs="Times New Roman"/>
                <w:color w:val="auto"/>
                <w:sz w:val="24"/>
                <w:szCs w:val="24"/>
                <w:highlight w:val="none"/>
                <w:u w:val="single" w:color="auto"/>
                <w:lang w:val="en-US" w:eastAsia="zh-CN"/>
              </w:rPr>
              <w:t>使用水冲洗破碎后砂石，以除去砂石表面的粉尘。</w:t>
            </w:r>
            <w:r>
              <w:rPr>
                <w:rFonts w:hint="eastAsia" w:cs="Times New Roman"/>
                <w:color w:val="auto"/>
                <w:sz w:val="24"/>
                <w:szCs w:val="24"/>
                <w:highlight w:val="none"/>
                <w:u w:val="single" w:color="auto"/>
                <w:lang w:val="en-US" w:eastAsia="zh-CN"/>
              </w:rPr>
              <w:t>其中破碎筛分废水一部分自然蒸发，一部分附着在产品直接被带入洗砂工序。</w:t>
            </w:r>
            <w:r>
              <w:rPr>
                <w:rFonts w:hint="eastAsia"/>
                <w:u w:val="single" w:color="auto"/>
              </w:rPr>
              <w:t>根据建设单位提供资料</w:t>
            </w:r>
            <w:r>
              <w:rPr>
                <w:u w:val="single" w:color="auto"/>
              </w:rPr>
              <w:t>，</w:t>
            </w:r>
            <w:r>
              <w:rPr>
                <w:rFonts w:hint="eastAsia"/>
                <w:u w:val="single" w:color="auto"/>
                <w:lang w:eastAsia="zh-CN"/>
              </w:rPr>
              <w:t>生产工艺</w:t>
            </w:r>
            <w:r>
              <w:rPr>
                <w:rFonts w:hint="eastAsia"/>
                <w:u w:val="single" w:color="auto"/>
              </w:rPr>
              <w:t>新鲜补水量553.65</w:t>
            </w:r>
            <w:r>
              <w:rPr>
                <w:u w:val="single" w:color="auto"/>
              </w:rPr>
              <w:t>m</w:t>
            </w:r>
            <w:r>
              <w:rPr>
                <w:u w:val="single" w:color="auto"/>
                <w:vertAlign w:val="superscript"/>
              </w:rPr>
              <w:t>3</w:t>
            </w:r>
            <w:r>
              <w:rPr>
                <w:u w:val="single" w:color="auto"/>
              </w:rPr>
              <w:t>/d (</w:t>
            </w:r>
            <w:r>
              <w:rPr>
                <w:rFonts w:hint="eastAsia"/>
                <w:u w:val="single" w:color="auto"/>
              </w:rPr>
              <w:t>16609</w:t>
            </w:r>
            <w:r>
              <w:rPr>
                <w:rFonts w:hint="eastAsia"/>
                <w:u w:val="single" w:color="auto"/>
                <w:lang w:val="en-US" w:eastAsia="zh-CN"/>
              </w:rPr>
              <w:t>4.93</w:t>
            </w:r>
            <w:r>
              <w:rPr>
                <w:u w:val="single" w:color="auto"/>
              </w:rPr>
              <w:t>m</w:t>
            </w:r>
            <w:r>
              <w:rPr>
                <w:u w:val="single" w:color="auto"/>
                <w:vertAlign w:val="superscript"/>
              </w:rPr>
              <w:t>3</w:t>
            </w:r>
            <w:r>
              <w:rPr>
                <w:u w:val="single" w:color="auto"/>
              </w:rPr>
              <w:t>/a)。成品砂含水率约</w:t>
            </w:r>
            <w:r>
              <w:rPr>
                <w:rFonts w:hint="eastAsia"/>
                <w:u w:val="single" w:color="auto"/>
              </w:rPr>
              <w:t>6</w:t>
            </w:r>
            <w:r>
              <w:rPr>
                <w:u w:val="single" w:color="auto"/>
              </w:rPr>
              <w:t>%，则产品中含水量为</w:t>
            </w:r>
            <w:r>
              <w:rPr>
                <w:rFonts w:hint="eastAsia"/>
                <w:u w:val="single" w:color="auto"/>
              </w:rPr>
              <w:t>240</w:t>
            </w:r>
            <w:r>
              <w:rPr>
                <w:u w:val="single" w:color="auto"/>
              </w:rPr>
              <w:t>m</w:t>
            </w:r>
            <w:r>
              <w:rPr>
                <w:u w:val="single" w:color="auto"/>
                <w:vertAlign w:val="superscript"/>
              </w:rPr>
              <w:t>3</w:t>
            </w:r>
            <w:r>
              <w:rPr>
                <w:u w:val="single" w:color="auto"/>
              </w:rPr>
              <w:t>/d(</w:t>
            </w:r>
            <w:r>
              <w:rPr>
                <w:rFonts w:hint="eastAsia"/>
                <w:u w:val="single" w:color="auto"/>
              </w:rPr>
              <w:t>72000</w:t>
            </w:r>
            <w:r>
              <w:rPr>
                <w:u w:val="single" w:color="auto"/>
              </w:rPr>
              <w:t>m</w:t>
            </w:r>
            <w:r>
              <w:rPr>
                <w:u w:val="single" w:color="auto"/>
                <w:vertAlign w:val="superscript"/>
              </w:rPr>
              <w:t>3</w:t>
            </w:r>
            <w:r>
              <w:rPr>
                <w:u w:val="single" w:color="auto"/>
              </w:rPr>
              <w:t>/a);</w:t>
            </w:r>
            <w:r>
              <w:rPr>
                <w:rFonts w:hint="eastAsia"/>
                <w:u w:val="single" w:color="auto"/>
                <w:lang w:eastAsia="zh-CN"/>
              </w:rPr>
              <w:t>生产工艺废水</w:t>
            </w:r>
            <w:r>
              <w:rPr>
                <w:u w:val="single" w:color="auto"/>
              </w:rPr>
              <w:t>中会夹带泥，废泥饼含水率为</w:t>
            </w:r>
            <w:r>
              <w:rPr>
                <w:rFonts w:hint="eastAsia"/>
                <w:u w:val="single" w:color="auto"/>
              </w:rPr>
              <w:t>65</w:t>
            </w:r>
            <w:r>
              <w:rPr>
                <w:u w:val="single" w:color="auto"/>
              </w:rPr>
              <w:t>%，</w:t>
            </w:r>
            <w:r>
              <w:rPr>
                <w:rFonts w:hint="eastAsia"/>
                <w:u w:val="single" w:color="auto"/>
              </w:rPr>
              <w:t>根据固废源强计算可知，</w:t>
            </w:r>
            <w:r>
              <w:rPr>
                <w:u w:val="single" w:color="auto"/>
              </w:rPr>
              <w:t>废泥饼产生量为</w:t>
            </w:r>
            <w:r>
              <w:rPr>
                <w:rFonts w:hint="eastAsia"/>
                <w:u w:val="single" w:color="auto"/>
              </w:rPr>
              <w:t>476.08</w:t>
            </w:r>
            <w:r>
              <w:rPr>
                <w:u w:val="single" w:color="auto"/>
              </w:rPr>
              <w:t xml:space="preserve">t/d ( </w:t>
            </w:r>
            <w:r>
              <w:rPr>
                <w:rFonts w:hint="eastAsia"/>
                <w:kern w:val="0"/>
                <w:u w:val="single" w:color="auto"/>
              </w:rPr>
              <w:t>14282</w:t>
            </w:r>
            <w:r>
              <w:rPr>
                <w:rFonts w:hint="eastAsia"/>
                <w:kern w:val="0"/>
                <w:u w:val="single" w:color="auto"/>
                <w:lang w:val="en-US" w:eastAsia="zh-CN"/>
              </w:rPr>
              <w:t>2.97</w:t>
            </w:r>
            <w:r>
              <w:rPr>
                <w:kern w:val="0"/>
                <w:u w:val="single" w:color="auto"/>
              </w:rPr>
              <w:t>t/a</w:t>
            </w:r>
            <w:r>
              <w:rPr>
                <w:u w:val="single" w:color="auto"/>
              </w:rPr>
              <w:t>)，</w:t>
            </w:r>
            <w:r>
              <w:rPr>
                <w:highlight w:val="none"/>
                <w:u w:val="single" w:color="auto"/>
              </w:rPr>
              <w:t>泥饼含水量为</w:t>
            </w:r>
            <w:r>
              <w:rPr>
                <w:rFonts w:hint="eastAsia"/>
                <w:highlight w:val="none"/>
                <w:u w:val="single" w:color="auto"/>
              </w:rPr>
              <w:t>309.45</w:t>
            </w:r>
            <w:r>
              <w:rPr>
                <w:highlight w:val="none"/>
                <w:u w:val="single" w:color="auto"/>
              </w:rPr>
              <w:t>m</w:t>
            </w:r>
            <w:r>
              <w:rPr>
                <w:highlight w:val="none"/>
                <w:u w:val="single" w:color="auto"/>
                <w:vertAlign w:val="superscript"/>
              </w:rPr>
              <w:t>3</w:t>
            </w:r>
            <w:r>
              <w:rPr>
                <w:highlight w:val="none"/>
                <w:u w:val="single" w:color="auto"/>
              </w:rPr>
              <w:t>/d (</w:t>
            </w:r>
            <w:r>
              <w:rPr>
                <w:rFonts w:hint="eastAsia"/>
                <w:highlight w:val="none"/>
                <w:u w:val="single" w:color="auto"/>
              </w:rPr>
              <w:t>9283</w:t>
            </w:r>
            <w:r>
              <w:rPr>
                <w:rFonts w:hint="eastAsia"/>
                <w:highlight w:val="none"/>
                <w:u w:val="single" w:color="auto"/>
                <w:lang w:val="en-US" w:eastAsia="zh-CN"/>
              </w:rPr>
              <w:t>4.93</w:t>
            </w:r>
            <w:r>
              <w:rPr>
                <w:highlight w:val="none"/>
                <w:u w:val="single" w:color="auto"/>
              </w:rPr>
              <w:t>m</w:t>
            </w:r>
            <w:r>
              <w:rPr>
                <w:highlight w:val="none"/>
                <w:u w:val="single" w:color="auto"/>
                <w:vertAlign w:val="superscript"/>
              </w:rPr>
              <w:t>3</w:t>
            </w:r>
            <w:r>
              <w:rPr>
                <w:highlight w:val="none"/>
                <w:u w:val="single" w:color="auto"/>
              </w:rPr>
              <w:t>/a);</w:t>
            </w:r>
            <w:r>
              <w:rPr>
                <w:u w:val="single" w:color="auto"/>
              </w:rPr>
              <w:t>用水蒸发量约5%，则蒸发量为</w:t>
            </w:r>
            <w:r>
              <w:rPr>
                <w:rFonts w:hint="eastAsia"/>
                <w:u w:val="single" w:color="auto"/>
              </w:rPr>
              <w:t>4.2</w:t>
            </w:r>
            <w:r>
              <w:rPr>
                <w:u w:val="single" w:color="auto"/>
              </w:rPr>
              <w:t>m</w:t>
            </w:r>
            <w:r>
              <w:rPr>
                <w:u w:val="single" w:color="auto"/>
                <w:vertAlign w:val="superscript"/>
              </w:rPr>
              <w:t>3</w:t>
            </w:r>
            <w:r>
              <w:rPr>
                <w:u w:val="single" w:color="auto"/>
              </w:rPr>
              <w:t>/d (</w:t>
            </w:r>
            <w:r>
              <w:rPr>
                <w:rFonts w:hint="eastAsia"/>
                <w:u w:val="single" w:color="auto"/>
              </w:rPr>
              <w:t>1260</w:t>
            </w:r>
            <w:r>
              <w:rPr>
                <w:u w:val="single" w:color="auto"/>
              </w:rPr>
              <w:t>m</w:t>
            </w:r>
            <w:r>
              <w:rPr>
                <w:u w:val="single" w:color="auto"/>
                <w:vertAlign w:val="superscript"/>
              </w:rPr>
              <w:t>3</w:t>
            </w:r>
            <w:r>
              <w:rPr>
                <w:u w:val="single" w:color="auto"/>
              </w:rPr>
              <w:t>/a)。由上述计算可知，</w:t>
            </w:r>
            <w:r>
              <w:rPr>
                <w:rFonts w:hint="eastAsia"/>
                <w:u w:val="single" w:color="auto"/>
                <w:lang w:eastAsia="zh-CN"/>
              </w:rPr>
              <w:t>生产工艺废水</w:t>
            </w:r>
            <w:r>
              <w:rPr>
                <w:rFonts w:hint="eastAsia"/>
                <w:u w:val="single" w:color="auto"/>
              </w:rPr>
              <w:t>量</w:t>
            </w:r>
            <w:r>
              <w:rPr>
                <w:u w:val="single" w:color="auto"/>
              </w:rPr>
              <w:t>为</w:t>
            </w:r>
            <w:r>
              <w:rPr>
                <w:rFonts w:hint="eastAsia"/>
                <w:u w:val="single" w:color="auto"/>
              </w:rPr>
              <w:t>492.75</w:t>
            </w:r>
            <w:r>
              <w:rPr>
                <w:u w:val="single" w:color="auto"/>
              </w:rPr>
              <w:t>m</w:t>
            </w:r>
            <w:r>
              <w:rPr>
                <w:u w:val="single" w:color="auto"/>
                <w:vertAlign w:val="superscript"/>
              </w:rPr>
              <w:t>3</w:t>
            </w:r>
            <w:r>
              <w:rPr>
                <w:u w:val="single" w:color="auto"/>
              </w:rPr>
              <w:t>/d (</w:t>
            </w:r>
            <w:r>
              <w:rPr>
                <w:rFonts w:hint="eastAsia"/>
                <w:u w:val="single" w:color="auto"/>
              </w:rPr>
              <w:t>147824.55</w:t>
            </w:r>
            <w:r>
              <w:rPr>
                <w:u w:val="single" w:color="auto"/>
              </w:rPr>
              <w:t>m</w:t>
            </w:r>
            <w:r>
              <w:rPr>
                <w:u w:val="single" w:color="auto"/>
                <w:vertAlign w:val="superscript"/>
              </w:rPr>
              <w:t>3</w:t>
            </w:r>
            <w:r>
              <w:rPr>
                <w:u w:val="single" w:color="auto"/>
              </w:rPr>
              <w:t>/a)。</w:t>
            </w:r>
            <w:r>
              <w:rPr>
                <w:rFonts w:hint="eastAsia"/>
                <w:u w:val="single" w:color="auto"/>
                <w:lang w:eastAsia="zh-CN"/>
              </w:rPr>
              <w:t>生产工艺废水</w:t>
            </w:r>
            <w:r>
              <w:rPr>
                <w:u w:val="single" w:color="auto"/>
              </w:rPr>
              <w:t>通过沉淀池+环保罐+清水池处理后回用于生产，不外排。</w:t>
            </w:r>
          </w:p>
          <w:p>
            <w:pPr>
              <w:ind w:firstLine="480" w:firstLineChars="200"/>
            </w:pPr>
            <w:r>
              <w:t>（</w:t>
            </w:r>
            <w:r>
              <w:rPr>
                <w:rFonts w:hint="eastAsia"/>
                <w:lang w:val="en-US" w:eastAsia="zh-CN"/>
              </w:rPr>
              <w:t>2</w:t>
            </w:r>
            <w:r>
              <w:t>）</w:t>
            </w:r>
            <w:r>
              <w:rPr>
                <w:rFonts w:hint="eastAsia"/>
              </w:rPr>
              <w:t>洗车</w:t>
            </w:r>
            <w:r>
              <w:t>废水</w:t>
            </w:r>
          </w:p>
          <w:p>
            <w:pPr>
              <w:ind w:firstLine="480" w:firstLineChars="200"/>
            </w:pPr>
            <w:r>
              <w:rPr>
                <w:rFonts w:hint="default" w:ascii="Times New Roman" w:hAnsi="Times New Roman" w:eastAsia="宋体" w:cs="Times New Roman"/>
                <w:bCs/>
                <w:color w:val="000000"/>
                <w:szCs w:val="24"/>
                <w:highlight w:val="none"/>
                <w:u w:val="none" w:color="auto"/>
              </w:rPr>
              <w:t>项目运输车辆每次出厂均需对车身进行冲洗。车辆冲洗水量大致为0.2m</w:t>
            </w:r>
            <w:r>
              <w:rPr>
                <w:rFonts w:hint="default" w:ascii="Times New Roman" w:hAnsi="Times New Roman" w:eastAsia="宋体" w:cs="Times New Roman"/>
                <w:bCs/>
                <w:color w:val="000000"/>
                <w:szCs w:val="24"/>
                <w:highlight w:val="none"/>
                <w:u w:val="none" w:color="auto"/>
                <w:vertAlign w:val="superscript"/>
              </w:rPr>
              <w:t>3</w:t>
            </w:r>
            <w:r>
              <w:rPr>
                <w:rFonts w:hint="default" w:ascii="Times New Roman" w:hAnsi="Times New Roman" w:eastAsia="宋体" w:cs="Times New Roman"/>
                <w:bCs/>
                <w:color w:val="000000"/>
                <w:szCs w:val="24"/>
                <w:highlight w:val="none"/>
                <w:u w:val="none" w:color="auto"/>
              </w:rPr>
              <w:t>/辆·次，日出</w:t>
            </w:r>
            <w:r>
              <w:rPr>
                <w:rFonts w:hint="eastAsia" w:cs="Times New Roman"/>
                <w:bCs/>
                <w:color w:val="000000"/>
                <w:szCs w:val="24"/>
                <w:highlight w:val="none"/>
                <w:u w:val="none" w:color="auto"/>
                <w:lang w:eastAsia="zh-CN"/>
              </w:rPr>
              <w:t>厂</w:t>
            </w:r>
            <w:r>
              <w:rPr>
                <w:rFonts w:hint="eastAsia" w:cs="Times New Roman"/>
                <w:bCs/>
                <w:color w:val="000000"/>
                <w:szCs w:val="24"/>
                <w:highlight w:val="none"/>
                <w:u w:val="none" w:color="auto"/>
                <w:lang w:val="en-US" w:eastAsia="zh-CN"/>
              </w:rPr>
              <w:t>168</w:t>
            </w:r>
            <w:r>
              <w:rPr>
                <w:rFonts w:hint="default" w:ascii="Times New Roman" w:hAnsi="Times New Roman" w:eastAsia="宋体" w:cs="Times New Roman"/>
                <w:bCs/>
                <w:color w:val="000000"/>
                <w:szCs w:val="24"/>
                <w:highlight w:val="none"/>
                <w:u w:val="none" w:color="auto"/>
              </w:rPr>
              <w:t>辆</w:t>
            </w:r>
            <w:r>
              <w:rPr>
                <w:rFonts w:hint="default" w:ascii="Times New Roman" w:hAnsi="Times New Roman" w:eastAsia="宋体" w:cs="Times New Roman"/>
                <w:bCs/>
                <w:color w:val="000000"/>
                <w:szCs w:val="24"/>
                <w:highlight w:val="none"/>
                <w:u w:val="none" w:color="auto"/>
                <w:lang w:val="en-US" w:eastAsia="zh-CN"/>
              </w:rPr>
              <w:t>·</w:t>
            </w:r>
            <w:r>
              <w:rPr>
                <w:rFonts w:hint="default" w:ascii="Times New Roman" w:hAnsi="Times New Roman" w:eastAsia="宋体" w:cs="Times New Roman"/>
                <w:bCs/>
                <w:color w:val="000000"/>
                <w:szCs w:val="24"/>
                <w:highlight w:val="none"/>
                <w:u w:val="none" w:color="auto"/>
              </w:rPr>
              <w:t>次，合计</w:t>
            </w:r>
            <w:r>
              <w:rPr>
                <w:rFonts w:hint="eastAsia" w:cs="Times New Roman"/>
                <w:bCs/>
                <w:color w:val="000000"/>
                <w:szCs w:val="24"/>
                <w:highlight w:val="none"/>
                <w:u w:val="none" w:color="auto"/>
                <w:lang w:val="en-US" w:eastAsia="zh-CN"/>
              </w:rPr>
              <w:t>33.6</w:t>
            </w:r>
            <w:r>
              <w:rPr>
                <w:rFonts w:hint="default" w:ascii="Times New Roman" w:hAnsi="Times New Roman" w:eastAsia="宋体" w:cs="Times New Roman"/>
                <w:bCs/>
                <w:color w:val="000000"/>
                <w:szCs w:val="24"/>
                <w:highlight w:val="none"/>
                <w:u w:val="none" w:color="auto"/>
              </w:rPr>
              <w:t>m</w:t>
            </w:r>
            <w:r>
              <w:rPr>
                <w:rFonts w:hint="default" w:ascii="Times New Roman" w:hAnsi="Times New Roman" w:eastAsia="宋体" w:cs="Times New Roman"/>
                <w:bCs/>
                <w:color w:val="000000"/>
                <w:szCs w:val="24"/>
                <w:highlight w:val="none"/>
                <w:u w:val="none" w:color="auto"/>
                <w:vertAlign w:val="superscript"/>
              </w:rPr>
              <w:t>3</w:t>
            </w:r>
            <w:r>
              <w:rPr>
                <w:rFonts w:hint="default" w:ascii="Times New Roman" w:hAnsi="Times New Roman" w:eastAsia="宋体" w:cs="Times New Roman"/>
                <w:bCs/>
                <w:color w:val="000000"/>
                <w:szCs w:val="24"/>
                <w:highlight w:val="none"/>
                <w:u w:val="none" w:color="auto"/>
              </w:rPr>
              <w:t>/d，</w:t>
            </w:r>
            <w:r>
              <w:rPr>
                <w:rFonts w:hint="eastAsia" w:cs="Times New Roman"/>
                <w:bCs/>
                <w:color w:val="000000"/>
                <w:szCs w:val="24"/>
                <w:highlight w:val="none"/>
                <w:u w:val="none" w:color="auto"/>
                <w:lang w:val="en-US" w:eastAsia="zh-CN"/>
              </w:rPr>
              <w:t>100</w:t>
            </w:r>
            <w:r>
              <w:rPr>
                <w:rFonts w:hint="eastAsia" w:eastAsia="宋体" w:cs="Times New Roman"/>
                <w:bCs/>
                <w:color w:val="000000"/>
                <w:szCs w:val="24"/>
                <w:highlight w:val="none"/>
                <w:u w:val="none" w:color="auto"/>
                <w:lang w:val="en-US" w:eastAsia="zh-CN"/>
              </w:rPr>
              <w:t>80</w:t>
            </w:r>
            <w:r>
              <w:rPr>
                <w:rFonts w:hint="default" w:ascii="Times New Roman" w:hAnsi="Times New Roman" w:eastAsia="宋体" w:cs="Times New Roman"/>
                <w:bCs/>
                <w:color w:val="000000"/>
                <w:szCs w:val="24"/>
                <w:highlight w:val="none"/>
                <w:u w:val="none" w:color="auto"/>
              </w:rPr>
              <w:t>m</w:t>
            </w:r>
            <w:r>
              <w:rPr>
                <w:rFonts w:hint="default" w:ascii="Times New Roman" w:hAnsi="Times New Roman" w:eastAsia="宋体" w:cs="Times New Roman"/>
                <w:bCs/>
                <w:color w:val="000000"/>
                <w:szCs w:val="24"/>
                <w:highlight w:val="none"/>
                <w:u w:val="none" w:color="auto"/>
                <w:vertAlign w:val="superscript"/>
              </w:rPr>
              <w:t>3</w:t>
            </w:r>
            <w:r>
              <w:rPr>
                <w:rFonts w:hint="default" w:ascii="Times New Roman" w:hAnsi="Times New Roman" w:eastAsia="宋体" w:cs="Times New Roman"/>
                <w:bCs/>
                <w:color w:val="000000"/>
                <w:szCs w:val="24"/>
                <w:highlight w:val="none"/>
                <w:u w:val="none" w:color="auto"/>
              </w:rPr>
              <w:t>/a。车辆带走量按用水量的20%计，则需补充水量为</w:t>
            </w:r>
            <w:r>
              <w:rPr>
                <w:rFonts w:hint="eastAsia" w:cs="Times New Roman"/>
                <w:bCs/>
                <w:color w:val="000000"/>
                <w:szCs w:val="24"/>
                <w:highlight w:val="none"/>
                <w:u w:val="none" w:color="auto"/>
                <w:lang w:val="en-US" w:eastAsia="zh-CN"/>
              </w:rPr>
              <w:t>6.72</w:t>
            </w:r>
            <w:r>
              <w:rPr>
                <w:rFonts w:hint="default" w:ascii="Times New Roman" w:hAnsi="Times New Roman" w:eastAsia="宋体" w:cs="Times New Roman"/>
                <w:bCs/>
                <w:color w:val="000000"/>
                <w:szCs w:val="24"/>
                <w:highlight w:val="none"/>
                <w:u w:val="none" w:color="auto"/>
              </w:rPr>
              <w:t>m</w:t>
            </w:r>
            <w:r>
              <w:rPr>
                <w:rFonts w:hint="default" w:ascii="Times New Roman" w:hAnsi="Times New Roman" w:eastAsia="宋体" w:cs="Times New Roman"/>
                <w:bCs/>
                <w:color w:val="000000"/>
                <w:szCs w:val="24"/>
                <w:highlight w:val="none"/>
                <w:u w:val="none" w:color="auto"/>
                <w:vertAlign w:val="superscript"/>
              </w:rPr>
              <w:t>3</w:t>
            </w:r>
            <w:r>
              <w:rPr>
                <w:rFonts w:hint="default" w:ascii="Times New Roman" w:hAnsi="Times New Roman" w:eastAsia="宋体" w:cs="Times New Roman"/>
                <w:bCs/>
                <w:color w:val="000000"/>
                <w:szCs w:val="24"/>
                <w:highlight w:val="none"/>
                <w:u w:val="none" w:color="auto"/>
              </w:rPr>
              <w:t>/d，</w:t>
            </w:r>
            <w:r>
              <w:rPr>
                <w:rFonts w:hint="eastAsia" w:cs="Times New Roman"/>
                <w:bCs/>
                <w:color w:val="000000"/>
                <w:szCs w:val="24"/>
                <w:highlight w:val="none"/>
                <w:u w:val="none" w:color="auto"/>
                <w:lang w:val="en-US" w:eastAsia="zh-CN"/>
              </w:rPr>
              <w:t>2016</w:t>
            </w:r>
            <w:r>
              <w:rPr>
                <w:rFonts w:hint="default" w:ascii="Times New Roman" w:hAnsi="Times New Roman" w:eastAsia="宋体" w:cs="Times New Roman"/>
                <w:bCs/>
                <w:color w:val="000000"/>
                <w:szCs w:val="24"/>
                <w:highlight w:val="none"/>
                <w:u w:val="none" w:color="auto"/>
              </w:rPr>
              <w:t>m</w:t>
            </w:r>
            <w:r>
              <w:rPr>
                <w:rFonts w:hint="default" w:ascii="Times New Roman" w:hAnsi="Times New Roman" w:eastAsia="宋体" w:cs="Times New Roman"/>
                <w:bCs/>
                <w:color w:val="000000"/>
                <w:szCs w:val="24"/>
                <w:highlight w:val="none"/>
                <w:u w:val="none" w:color="auto"/>
                <w:vertAlign w:val="superscript"/>
              </w:rPr>
              <w:t>3</w:t>
            </w:r>
            <w:r>
              <w:rPr>
                <w:rFonts w:hint="default" w:ascii="Times New Roman" w:hAnsi="Times New Roman" w:eastAsia="宋体" w:cs="Times New Roman"/>
                <w:bCs/>
                <w:color w:val="000000"/>
                <w:szCs w:val="24"/>
                <w:highlight w:val="none"/>
                <w:u w:val="none" w:color="auto"/>
              </w:rPr>
              <w:t>/a。车辆冲洗废水主要污染因子为SS和少量石油类，</w:t>
            </w:r>
            <w:r>
              <w:rPr>
                <w:rFonts w:hint="default" w:ascii="Times New Roman" w:hAnsi="Times New Roman" w:eastAsia="宋体" w:cs="Times New Roman"/>
                <w:bCs/>
                <w:color w:val="000000"/>
                <w:szCs w:val="24"/>
                <w:highlight w:val="none"/>
                <w:u w:val="none" w:color="auto"/>
                <w:lang w:val="en-US" w:eastAsia="zh-CN"/>
              </w:rPr>
              <w:t>经</w:t>
            </w:r>
            <w:r>
              <w:rPr>
                <w:rFonts w:hint="eastAsia" w:cs="Times New Roman"/>
                <w:bCs/>
                <w:color w:val="000000"/>
                <w:szCs w:val="24"/>
                <w:highlight w:val="none"/>
                <w:u w:val="none" w:color="auto"/>
                <w:lang w:val="en-US" w:eastAsia="zh-CN"/>
              </w:rPr>
              <w:t>沉淀</w:t>
            </w:r>
            <w:r>
              <w:rPr>
                <w:rFonts w:hint="default" w:ascii="Times New Roman" w:hAnsi="Times New Roman" w:eastAsia="宋体" w:cs="Times New Roman"/>
                <w:bCs/>
                <w:color w:val="000000"/>
                <w:szCs w:val="24"/>
                <w:highlight w:val="none"/>
                <w:u w:val="none" w:color="auto"/>
                <w:lang w:val="en-US" w:eastAsia="zh-CN"/>
              </w:rPr>
              <w:t>池（</w:t>
            </w:r>
            <w:r>
              <w:rPr>
                <w:rFonts w:hint="eastAsia" w:cs="Times New Roman"/>
                <w:bCs/>
                <w:color w:val="000000"/>
                <w:szCs w:val="24"/>
                <w:highlight w:val="none"/>
                <w:u w:val="none" w:color="auto"/>
                <w:lang w:val="en-US" w:eastAsia="zh-CN"/>
              </w:rPr>
              <w:t>27</w:t>
            </w:r>
            <w:r>
              <w:rPr>
                <w:rFonts w:hint="default" w:ascii="Times New Roman" w:hAnsi="Times New Roman" w:eastAsia="宋体" w:cs="Times New Roman"/>
                <w:bCs/>
                <w:color w:val="000000"/>
                <w:szCs w:val="24"/>
                <w:highlight w:val="none"/>
                <w:u w:val="none" w:color="auto"/>
                <w:lang w:val="en-US" w:eastAsia="zh-CN"/>
              </w:rPr>
              <w:t>m</w:t>
            </w:r>
            <w:r>
              <w:rPr>
                <w:rFonts w:hint="default" w:ascii="Times New Roman" w:hAnsi="Times New Roman" w:eastAsia="宋体" w:cs="Times New Roman"/>
                <w:bCs/>
                <w:color w:val="000000"/>
                <w:szCs w:val="24"/>
                <w:highlight w:val="none"/>
                <w:u w:val="none" w:color="auto"/>
                <w:vertAlign w:val="superscript"/>
                <w:lang w:val="en-US" w:eastAsia="zh-CN"/>
              </w:rPr>
              <w:t>3</w:t>
            </w:r>
            <w:r>
              <w:rPr>
                <w:rFonts w:hint="default" w:ascii="Times New Roman" w:hAnsi="Times New Roman" w:eastAsia="宋体" w:cs="Times New Roman"/>
                <w:bCs/>
                <w:color w:val="000000"/>
                <w:szCs w:val="24"/>
                <w:highlight w:val="none"/>
                <w:u w:val="none" w:color="auto"/>
                <w:lang w:val="en-US" w:eastAsia="zh-CN"/>
              </w:rPr>
              <w:t>）沉淀处理后</w:t>
            </w:r>
            <w:r>
              <w:rPr>
                <w:rFonts w:hint="default" w:ascii="Times New Roman" w:hAnsi="Times New Roman" w:eastAsia="宋体" w:cs="Times New Roman"/>
                <w:bCs/>
                <w:color w:val="000000"/>
                <w:szCs w:val="24"/>
                <w:highlight w:val="none"/>
                <w:u w:val="none" w:color="auto"/>
              </w:rPr>
              <w:t>循环</w:t>
            </w:r>
            <w:r>
              <w:rPr>
                <w:rFonts w:hint="default" w:ascii="Times New Roman" w:hAnsi="Times New Roman" w:eastAsia="宋体" w:cs="Times New Roman"/>
                <w:bCs/>
                <w:color w:val="000000"/>
                <w:szCs w:val="24"/>
                <w:highlight w:val="none"/>
                <w:u w:val="none" w:color="auto"/>
                <w:lang w:val="en-US" w:eastAsia="zh-CN"/>
              </w:rPr>
              <w:t>作为车辆冲洗用水，</w:t>
            </w:r>
            <w:r>
              <w:rPr>
                <w:rFonts w:hint="default" w:ascii="Times New Roman" w:hAnsi="Times New Roman" w:eastAsia="宋体" w:cs="Times New Roman"/>
                <w:bCs/>
                <w:color w:val="000000"/>
                <w:szCs w:val="24"/>
                <w:highlight w:val="none"/>
                <w:u w:val="none" w:color="auto"/>
              </w:rPr>
              <w:t>不外排</w:t>
            </w:r>
            <w:r>
              <w:t>。</w:t>
            </w:r>
          </w:p>
          <w:p>
            <w:pPr>
              <w:ind w:firstLine="480" w:firstLineChars="200"/>
            </w:pPr>
            <w:r>
              <w:t>（</w:t>
            </w:r>
            <w:r>
              <w:rPr>
                <w:rFonts w:hint="eastAsia"/>
                <w:lang w:val="en-US" w:eastAsia="zh-CN"/>
              </w:rPr>
              <w:t>3</w:t>
            </w:r>
            <w:r>
              <w:t>）生活</w:t>
            </w:r>
            <w:r>
              <w:rPr>
                <w:rFonts w:hint="eastAsia"/>
              </w:rPr>
              <w:t>污水</w:t>
            </w:r>
          </w:p>
          <w:p>
            <w:pPr>
              <w:ind w:firstLine="480" w:firstLineChars="200"/>
            </w:pPr>
            <w:r>
              <w:rPr>
                <w:rFonts w:hint="eastAsia"/>
              </w:rPr>
              <w:t>本项目劳动定员为10人，仅办公和用餐，不在厂区内住宿，根据类比同类型项目，</w:t>
            </w:r>
            <w:r>
              <w:t>仅办公和用餐人员生活用水量根据经验系数，按</w:t>
            </w:r>
            <w:r>
              <w:rPr>
                <w:kern w:val="0"/>
              </w:rPr>
              <w:t>80L</w:t>
            </w:r>
            <w:r>
              <w:t>/人·d计，用水量为</w:t>
            </w:r>
            <w:r>
              <w:rPr>
                <w:rFonts w:hint="eastAsia"/>
              </w:rPr>
              <w:t>0.8</w:t>
            </w:r>
            <w:r>
              <w:t>m</w:t>
            </w:r>
            <w:r>
              <w:rPr>
                <w:vertAlign w:val="superscript"/>
              </w:rPr>
              <w:t>3</w:t>
            </w:r>
            <w:r>
              <w:t>/d（</w:t>
            </w:r>
            <w:r>
              <w:rPr>
                <w:rFonts w:hint="eastAsia"/>
              </w:rPr>
              <w:t>240</w:t>
            </w:r>
            <w:r>
              <w:t>m</w:t>
            </w:r>
            <w:r>
              <w:rPr>
                <w:vertAlign w:val="superscript"/>
              </w:rPr>
              <w:t>3</w:t>
            </w:r>
            <w:r>
              <w:t>/a），排放系数以0.8计，仅办公和用餐人员污水量为</w:t>
            </w:r>
            <w:r>
              <w:rPr>
                <w:rFonts w:hint="eastAsia"/>
              </w:rPr>
              <w:t>0.64</w:t>
            </w:r>
            <w:r>
              <w:rPr>
                <w:kern w:val="0"/>
              </w:rPr>
              <w:t>m</w:t>
            </w:r>
            <w:r>
              <w:rPr>
                <w:kern w:val="0"/>
                <w:vertAlign w:val="superscript"/>
              </w:rPr>
              <w:t>3</w:t>
            </w:r>
            <w:r>
              <w:rPr>
                <w:kern w:val="0"/>
              </w:rPr>
              <w:t>/d(</w:t>
            </w:r>
            <w:r>
              <w:rPr>
                <w:rFonts w:hint="eastAsia"/>
                <w:kern w:val="0"/>
              </w:rPr>
              <w:t>192</w:t>
            </w:r>
            <w:r>
              <w:rPr>
                <w:kern w:val="0"/>
              </w:rPr>
              <w:t>m</w:t>
            </w:r>
            <w:r>
              <w:rPr>
                <w:kern w:val="0"/>
                <w:vertAlign w:val="superscript"/>
              </w:rPr>
              <w:t>3</w:t>
            </w:r>
            <w:r>
              <w:rPr>
                <w:kern w:val="0"/>
              </w:rPr>
              <w:t>/a)。</w:t>
            </w:r>
            <w:r>
              <w:t>员工生活污水经</w:t>
            </w:r>
            <w:r>
              <w:rPr>
                <w:rFonts w:hint="eastAsia"/>
              </w:rPr>
              <w:t>隔油</w:t>
            </w:r>
            <w:r>
              <w:t>化粪池处理用于周边林地、</w:t>
            </w:r>
            <w:r>
              <w:rPr>
                <w:rFonts w:hint="eastAsia"/>
              </w:rPr>
              <w:t>菜地</w:t>
            </w:r>
            <w:r>
              <w:t>浇灌，不外排，对环境产生影响较小。</w:t>
            </w:r>
          </w:p>
          <w:p>
            <w:pPr>
              <w:ind w:firstLine="480" w:firstLineChars="200"/>
            </w:pPr>
            <w:bookmarkStart w:id="88" w:name="_Toc11323"/>
            <w:r>
              <w:t>（</w:t>
            </w:r>
            <w:r>
              <w:rPr>
                <w:rFonts w:hint="eastAsia"/>
                <w:lang w:val="en-US" w:eastAsia="zh-CN"/>
              </w:rPr>
              <w:t>4</w:t>
            </w:r>
            <w:r>
              <w:t>）初期雨水</w:t>
            </w:r>
          </w:p>
          <w:p>
            <w:pPr>
              <w:pStyle w:val="35"/>
              <w:rPr>
                <w:rFonts w:ascii="Times New Roman" w:hAnsi="Times New Roman"/>
                <w:szCs w:val="32"/>
              </w:rPr>
            </w:pPr>
            <w:r>
              <w:rPr>
                <w:rFonts w:ascii="Times New Roman" w:hAnsi="Times New Roman" w:cs="Times New Roman"/>
              </w:rPr>
              <w:t>项目建成后，暴雨会产生较大的地表径流，对厂区进行冲刷从而产生含有大量污泥的污水，</w:t>
            </w:r>
            <w:r>
              <w:rPr>
                <w:rFonts w:ascii="Times New Roman" w:hAnsi="Times New Roman"/>
                <w:szCs w:val="32"/>
              </w:rPr>
              <w:t>本环评根据怀化市最新暴雨强度公式计算初期雨水量。</w:t>
            </w:r>
          </w:p>
          <w:p>
            <w:pPr>
              <w:pStyle w:val="35"/>
              <w:ind w:firstLine="0"/>
              <w:jc w:val="center"/>
              <w:rPr>
                <w:rFonts w:ascii="Times New Roman" w:hAnsi="Times New Roman" w:cs="Times New Roman"/>
                <w:snapToGrid/>
                <w:kern w:val="2"/>
                <w:vertAlign w:val="superscript"/>
              </w:rPr>
            </w:pPr>
            <w:r>
              <w:rPr>
                <w:rFonts w:ascii="Times New Roman" w:hAnsi="Times New Roman" w:cs="Times New Roman"/>
                <w:snapToGrid/>
                <w:kern w:val="2"/>
              </w:rPr>
              <w:t>q=3290（1+0.68lgP）/（t+17）</w:t>
            </w:r>
            <w:r>
              <w:rPr>
                <w:rFonts w:ascii="Times New Roman" w:hAnsi="Times New Roman" w:cs="Times New Roman"/>
                <w:snapToGrid/>
                <w:kern w:val="2"/>
                <w:vertAlign w:val="superscript"/>
              </w:rPr>
              <w:t>0.86</w:t>
            </w:r>
          </w:p>
          <w:p>
            <w:pPr>
              <w:pStyle w:val="35"/>
              <w:ind w:firstLine="0"/>
              <w:jc w:val="center"/>
              <w:rPr>
                <w:rFonts w:ascii="Times New Roman" w:hAnsi="Times New Roman" w:cs="Times New Roman"/>
                <w:snapToGrid/>
                <w:kern w:val="2"/>
              </w:rPr>
            </w:pPr>
            <w:r>
              <w:rPr>
                <w:rFonts w:ascii="Times New Roman" w:hAnsi="Times New Roman" w:cs="Times New Roman"/>
                <w:snapToGrid/>
                <w:kern w:val="2"/>
              </w:rPr>
              <w:t>Q=q×ψ×F</w:t>
            </w:r>
          </w:p>
          <w:p>
            <w:pPr>
              <w:pStyle w:val="35"/>
              <w:ind w:firstLine="0"/>
              <w:rPr>
                <w:rFonts w:ascii="Times New Roman" w:hAnsi="Times New Roman" w:cs="Times New Roman"/>
                <w:snapToGrid/>
                <w:kern w:val="2"/>
              </w:rPr>
            </w:pPr>
            <w:r>
              <w:rPr>
                <w:rFonts w:ascii="Times New Roman" w:hAnsi="Times New Roman" w:cs="Times New Roman"/>
                <w:snapToGrid/>
                <w:kern w:val="2"/>
              </w:rPr>
              <w:t>式中：q——暴雨强度（L/s•万m</w:t>
            </w:r>
            <w:r>
              <w:rPr>
                <w:rFonts w:ascii="Times New Roman" w:hAnsi="Times New Roman" w:cs="Times New Roman"/>
                <w:snapToGrid/>
                <w:kern w:val="2"/>
                <w:vertAlign w:val="superscript"/>
              </w:rPr>
              <w:t>2</w:t>
            </w:r>
            <w:r>
              <w:rPr>
                <w:rFonts w:ascii="Times New Roman" w:hAnsi="Times New Roman" w:cs="Times New Roman"/>
                <w:snapToGrid/>
                <w:kern w:val="2"/>
              </w:rPr>
              <w:t>）；</w:t>
            </w:r>
          </w:p>
          <w:p>
            <w:pPr>
              <w:pStyle w:val="35"/>
              <w:ind w:firstLine="741" w:firstLineChars="309"/>
              <w:rPr>
                <w:rFonts w:ascii="Times New Roman" w:hAnsi="Times New Roman" w:cs="Times New Roman"/>
                <w:snapToGrid/>
                <w:kern w:val="2"/>
              </w:rPr>
            </w:pPr>
            <w:r>
              <w:rPr>
                <w:rFonts w:ascii="Times New Roman" w:hAnsi="Times New Roman" w:cs="Times New Roman"/>
                <w:snapToGrid/>
                <w:kern w:val="2"/>
              </w:rPr>
              <w:t>P——重现期，本项目取1年；</w:t>
            </w:r>
          </w:p>
          <w:p>
            <w:pPr>
              <w:pStyle w:val="35"/>
              <w:ind w:firstLine="741" w:firstLineChars="309"/>
              <w:rPr>
                <w:rFonts w:ascii="Times New Roman" w:hAnsi="Times New Roman" w:cs="Times New Roman"/>
                <w:snapToGrid/>
                <w:kern w:val="2"/>
              </w:rPr>
            </w:pPr>
            <w:r>
              <w:rPr>
                <w:rFonts w:ascii="Times New Roman" w:hAnsi="Times New Roman" w:cs="Times New Roman"/>
                <w:snapToGrid/>
                <w:kern w:val="2"/>
              </w:rPr>
              <w:t>t——降雨历时（min），本项目按</w:t>
            </w:r>
            <w:r>
              <w:rPr>
                <w:rFonts w:hint="eastAsia" w:ascii="Times New Roman" w:hAnsi="Times New Roman" w:cs="Times New Roman"/>
                <w:snapToGrid/>
                <w:kern w:val="2"/>
                <w:lang w:val="en-US" w:eastAsia="zh-CN"/>
              </w:rPr>
              <w:t>1</w:t>
            </w:r>
            <w:r>
              <w:rPr>
                <w:rFonts w:hint="eastAsia" w:ascii="Times New Roman" w:hAnsi="Times New Roman" w:cs="Times New Roman"/>
                <w:snapToGrid/>
                <w:kern w:val="2"/>
              </w:rPr>
              <w:t>5</w:t>
            </w:r>
            <w:r>
              <w:rPr>
                <w:rFonts w:ascii="Times New Roman" w:hAnsi="Times New Roman" w:cs="Times New Roman"/>
                <w:snapToGrid/>
                <w:kern w:val="2"/>
              </w:rPr>
              <w:t>min计算。</w:t>
            </w:r>
          </w:p>
          <w:p>
            <w:pPr>
              <w:pStyle w:val="35"/>
              <w:ind w:firstLine="720" w:firstLineChars="300"/>
              <w:rPr>
                <w:rFonts w:ascii="Times New Roman" w:hAnsi="Times New Roman" w:cs="Times New Roman"/>
                <w:snapToGrid/>
                <w:kern w:val="2"/>
              </w:rPr>
            </w:pPr>
            <w:r>
              <w:rPr>
                <w:rFonts w:ascii="Times New Roman" w:hAnsi="Times New Roman" w:cs="Times New Roman"/>
                <w:snapToGrid/>
                <w:kern w:val="2"/>
              </w:rPr>
              <w:t>Q——雨量（L/s）；</w:t>
            </w:r>
          </w:p>
          <w:p>
            <w:pPr>
              <w:pStyle w:val="35"/>
              <w:ind w:firstLine="720" w:firstLineChars="300"/>
              <w:rPr>
                <w:rFonts w:ascii="Times New Roman" w:hAnsi="Times New Roman" w:cs="Times New Roman"/>
                <w:snapToGrid/>
                <w:kern w:val="2"/>
              </w:rPr>
            </w:pPr>
            <w:r>
              <w:rPr>
                <w:rFonts w:ascii="Times New Roman" w:hAnsi="Times New Roman" w:cs="Times New Roman"/>
                <w:snapToGrid/>
                <w:kern w:val="2"/>
              </w:rPr>
              <w:t>ψ——综合径流系数，本环评取0.</w:t>
            </w:r>
            <w:r>
              <w:rPr>
                <w:rFonts w:hint="eastAsia" w:ascii="Times New Roman" w:hAnsi="Times New Roman" w:cs="Times New Roman"/>
                <w:snapToGrid/>
                <w:kern w:val="2"/>
              </w:rPr>
              <w:t>45</w:t>
            </w:r>
            <w:r>
              <w:rPr>
                <w:rFonts w:ascii="Times New Roman" w:hAnsi="Times New Roman" w:cs="Times New Roman"/>
                <w:snapToGrid/>
                <w:kern w:val="2"/>
              </w:rPr>
              <w:t>；</w:t>
            </w:r>
          </w:p>
          <w:p>
            <w:pPr>
              <w:widowControl/>
              <w:ind w:firstLine="720" w:firstLineChars="300"/>
              <w:rPr>
                <w:b/>
                <w:bCs/>
                <w:szCs w:val="21"/>
              </w:rPr>
            </w:pPr>
            <w:r>
              <w:t>F——汇水面积，约</w:t>
            </w:r>
            <w:r>
              <w:rPr>
                <w:rFonts w:hint="eastAsia"/>
              </w:rPr>
              <w:t>17032</w:t>
            </w:r>
            <w:r>
              <w:t>m</w:t>
            </w:r>
            <w:r>
              <w:rPr>
                <w:vertAlign w:val="superscript"/>
              </w:rPr>
              <w:t>2</w:t>
            </w:r>
            <w:r>
              <w:t>。</w:t>
            </w:r>
          </w:p>
          <w:p>
            <w:pPr>
              <w:ind w:firstLine="480" w:firstLineChars="200"/>
            </w:pPr>
            <w:r>
              <w:t>根据计算，本项目初期雨水量为</w:t>
            </w:r>
            <w:r>
              <w:rPr>
                <w:rFonts w:hint="eastAsia"/>
                <w:lang w:val="en-US" w:eastAsia="zh-CN"/>
              </w:rPr>
              <w:t>115.209</w:t>
            </w:r>
            <w:r>
              <w:t>m</w:t>
            </w:r>
            <w:r>
              <w:rPr>
                <w:vertAlign w:val="superscript"/>
              </w:rPr>
              <w:t>3</w:t>
            </w:r>
            <w:r>
              <w:t>/次</w:t>
            </w:r>
            <w:r>
              <w:rPr>
                <w:rFonts w:hint="eastAsia"/>
              </w:rPr>
              <w:t>，则初期雨水产生量为</w:t>
            </w:r>
            <w:r>
              <w:rPr>
                <w:rFonts w:hint="eastAsia"/>
                <w:lang w:val="en-US" w:eastAsia="zh-CN"/>
              </w:rPr>
              <w:t>3.788</w:t>
            </w:r>
            <w:r>
              <w:t>m</w:t>
            </w:r>
            <w:r>
              <w:rPr>
                <w:vertAlign w:val="superscript"/>
              </w:rPr>
              <w:t>3</w:t>
            </w:r>
            <w:r>
              <w:t>/d</w:t>
            </w:r>
            <w:r>
              <w:rPr>
                <w:rFonts w:hint="eastAsia"/>
              </w:rPr>
              <w:t>（</w:t>
            </w:r>
            <w:r>
              <w:rPr>
                <w:rFonts w:hint="eastAsia"/>
                <w:lang w:val="en-US" w:eastAsia="zh-CN"/>
              </w:rPr>
              <w:t>1382.512</w:t>
            </w:r>
            <w:r>
              <w:t>m</w:t>
            </w:r>
            <w:r>
              <w:rPr>
                <w:vertAlign w:val="superscript"/>
              </w:rPr>
              <w:t>3</w:t>
            </w:r>
            <w:r>
              <w:t>/a</w:t>
            </w:r>
            <w:r>
              <w:rPr>
                <w:rFonts w:hint="eastAsia"/>
              </w:rPr>
              <w:t>）</w:t>
            </w:r>
            <w:r>
              <w:t>。初期雨水是在降雨形成地面径流后</w:t>
            </w:r>
            <w:r>
              <w:rPr>
                <w:rFonts w:hint="eastAsia"/>
                <w:lang w:val="en-US" w:eastAsia="zh-CN"/>
              </w:rPr>
              <w:t>1</w:t>
            </w:r>
            <w:r>
              <w:t>5min收集的厂区受污染区域的地面雨水。降雨初期地面水与气象条件密切相关，具有间歇性、时间间隔的变化大等特点。</w:t>
            </w:r>
          </w:p>
          <w:p>
            <w:pPr>
              <w:ind w:firstLine="480" w:firstLineChars="200"/>
              <w:rPr>
                <w:u w:val="single"/>
              </w:rPr>
            </w:pPr>
            <w:r>
              <w:rPr>
                <w:rFonts w:hint="eastAsia"/>
                <w:u w:val="single"/>
              </w:rPr>
              <w:t>根据现场踏勘，目前厂区</w:t>
            </w:r>
            <w:r>
              <w:rPr>
                <w:rFonts w:hint="eastAsia"/>
                <w:u w:val="single"/>
                <w:lang w:eastAsia="zh-CN"/>
              </w:rPr>
              <w:t>已</w:t>
            </w:r>
            <w:r>
              <w:rPr>
                <w:u w:val="single"/>
              </w:rPr>
              <w:t>修建</w:t>
            </w:r>
            <w:r>
              <w:rPr>
                <w:rFonts w:hint="eastAsia"/>
                <w:u w:val="single"/>
                <w:lang w:eastAsia="zh-CN"/>
              </w:rPr>
              <w:t>截</w:t>
            </w:r>
            <w:r>
              <w:rPr>
                <w:u w:val="single"/>
              </w:rPr>
              <w:t>排水沟用于雨水引流</w:t>
            </w:r>
            <w:r>
              <w:rPr>
                <w:rFonts w:hint="eastAsia"/>
                <w:u w:val="single"/>
              </w:rPr>
              <w:t>，</w:t>
            </w:r>
            <w:r>
              <w:rPr>
                <w:u w:val="single"/>
              </w:rPr>
              <w:t>未设置初期雨水沉淀池收集处理。</w:t>
            </w:r>
            <w:r>
              <w:rPr>
                <w:rFonts w:hint="eastAsia"/>
                <w:u w:val="single"/>
              </w:rPr>
              <w:t>本次评价要求完善雨污分流措施，</w:t>
            </w:r>
            <w:r>
              <w:rPr>
                <w:u w:val="single"/>
              </w:rPr>
              <w:t>大气降水依地势自流入排水沟，排水沟末端连接初期雨水收集池（</w:t>
            </w:r>
            <w:r>
              <w:rPr>
                <w:rFonts w:hint="eastAsia"/>
                <w:u w:val="single"/>
                <w:lang w:val="en-US" w:eastAsia="zh-CN"/>
              </w:rPr>
              <w:t>116</w:t>
            </w:r>
            <w:r>
              <w:rPr>
                <w:u w:val="single"/>
              </w:rPr>
              <w:t>m</w:t>
            </w:r>
            <w:r>
              <w:rPr>
                <w:u w:val="single"/>
                <w:vertAlign w:val="superscript"/>
              </w:rPr>
              <w:t>3</w:t>
            </w:r>
            <w:r>
              <w:rPr>
                <w:u w:val="single"/>
              </w:rPr>
              <w:t>），</w:t>
            </w:r>
            <w:r>
              <w:rPr>
                <w:rFonts w:hint="eastAsia"/>
                <w:u w:val="single"/>
              </w:rPr>
              <w:t>初期</w:t>
            </w:r>
            <w:r>
              <w:rPr>
                <w:u w:val="single"/>
              </w:rPr>
              <w:t>雨水经沉淀后回用于厂区降尘洒水，不外排。</w:t>
            </w:r>
          </w:p>
          <w:p>
            <w:pPr>
              <w:wordWrap/>
              <w:topLinePunct w:val="0"/>
              <w:adjustRightInd w:val="0"/>
              <w:snapToGrid w:val="0"/>
              <w:spacing w:line="360" w:lineRule="auto"/>
              <w:ind w:firstLine="480" w:firstLineChars="200"/>
              <w:jc w:val="both"/>
              <w:rPr>
                <w:rFonts w:hint="default" w:ascii="Times New Roman" w:hAnsi="Times New Roman" w:eastAsia="宋体" w:cs="Times New Roman"/>
                <w:sz w:val="24"/>
                <w:u w:val="none"/>
                <w:lang w:eastAsia="zh-CN"/>
              </w:rPr>
            </w:pPr>
            <w:r>
              <w:rPr>
                <w:rFonts w:hint="default" w:eastAsia="宋体" w:cs="Times New Roman"/>
                <w:sz w:val="24"/>
                <w:u w:val="none"/>
                <w:lang w:eastAsia="zh-CN"/>
              </w:rPr>
              <w:t>（</w:t>
            </w:r>
            <w:r>
              <w:rPr>
                <w:rFonts w:hint="default" w:eastAsia="宋体" w:cs="Times New Roman"/>
                <w:sz w:val="24"/>
                <w:u w:val="none"/>
                <w:lang w:val="en-US" w:eastAsia="zh-CN"/>
              </w:rPr>
              <w:t>5</w:t>
            </w:r>
            <w:r>
              <w:rPr>
                <w:rFonts w:hint="default" w:eastAsia="宋体" w:cs="Times New Roman"/>
                <w:sz w:val="24"/>
                <w:u w:val="none"/>
                <w:lang w:eastAsia="zh-CN"/>
              </w:rPr>
              <w:t>）洒水降尘用水</w:t>
            </w:r>
          </w:p>
          <w:p>
            <w:pPr>
              <w:wordWrap/>
              <w:topLinePunct w:val="0"/>
              <w:adjustRightInd w:val="0"/>
              <w:snapToGrid w:val="0"/>
              <w:spacing w:line="360" w:lineRule="auto"/>
              <w:ind w:firstLine="480" w:firstLineChars="200"/>
              <w:jc w:val="both"/>
              <w:rPr>
                <w:rFonts w:eastAsia="宋体"/>
                <w:b w:val="0"/>
                <w:bCs w:val="0"/>
                <w:spacing w:val="0"/>
                <w:sz w:val="24"/>
                <w:szCs w:val="24"/>
              </w:rPr>
            </w:pPr>
            <w:r>
              <w:rPr>
                <w:rFonts w:hint="default" w:ascii="Times New Roman" w:hAnsi="Times New Roman" w:eastAsia="宋体" w:cs="Times New Roman"/>
                <w:sz w:val="24"/>
                <w:u w:val="none"/>
              </w:rPr>
              <w:t>项目堆场、道路等生产区面积约</w:t>
            </w:r>
            <w:r>
              <w:rPr>
                <w:rFonts w:hint="default" w:ascii="Times New Roman" w:hAnsi="Times New Roman" w:eastAsia="宋体" w:cs="Times New Roman"/>
                <w:sz w:val="24"/>
                <w:u w:val="none"/>
                <w:lang w:val="en-US" w:eastAsia="zh-CN"/>
              </w:rPr>
              <w:t>1</w:t>
            </w:r>
            <w:r>
              <w:rPr>
                <w:rFonts w:hint="eastAsia" w:eastAsia="宋体" w:cs="Times New Roman"/>
                <w:sz w:val="24"/>
                <w:u w:val="none"/>
                <w:lang w:val="en-US" w:eastAsia="zh-CN"/>
              </w:rPr>
              <w:t>0000</w:t>
            </w:r>
            <w:r>
              <w:rPr>
                <w:rFonts w:hint="default" w:ascii="Times New Roman" w:hAnsi="Times New Roman" w:eastAsia="宋体" w:cs="Times New Roman"/>
                <w:sz w:val="24"/>
                <w:u w:val="none"/>
              </w:rPr>
              <w:t>m</w:t>
            </w:r>
            <w:r>
              <w:rPr>
                <w:rFonts w:hint="default" w:ascii="Times New Roman" w:hAnsi="Times New Roman" w:eastAsia="宋体" w:cs="Times New Roman"/>
                <w:sz w:val="24"/>
                <w:u w:val="none"/>
                <w:vertAlign w:val="superscript"/>
              </w:rPr>
              <w:t>2</w:t>
            </w:r>
            <w:r>
              <w:rPr>
                <w:rFonts w:hint="default" w:ascii="Times New Roman" w:hAnsi="Times New Roman" w:eastAsia="宋体" w:cs="Times New Roman"/>
                <w:sz w:val="24"/>
                <w:u w:val="none"/>
              </w:rPr>
              <w:t>，堆场、道路等生产区降尘（生产线除外）用水量按平均2L/m</w:t>
            </w:r>
            <w:r>
              <w:rPr>
                <w:rFonts w:hint="default" w:ascii="Times New Roman" w:hAnsi="Times New Roman" w:eastAsia="宋体" w:cs="Times New Roman"/>
                <w:sz w:val="24"/>
                <w:u w:val="none"/>
                <w:vertAlign w:val="superscript"/>
              </w:rPr>
              <w:t>2</w:t>
            </w:r>
            <w:r>
              <w:rPr>
                <w:rFonts w:hint="default" w:ascii="Times New Roman" w:hAnsi="Times New Roman" w:eastAsia="宋体" w:cs="Times New Roman"/>
                <w:sz w:val="24"/>
                <w:u w:val="none"/>
              </w:rPr>
              <w:t>·d计。本项目每年工作日为300天，则堆场、道路等生产区洒水抑尘（生产线除外）用水量为</w:t>
            </w:r>
            <w:r>
              <w:rPr>
                <w:rFonts w:hint="default" w:ascii="Times New Roman" w:hAnsi="Times New Roman" w:eastAsia="宋体" w:cs="Times New Roman"/>
                <w:sz w:val="24"/>
                <w:u w:val="none"/>
                <w:lang w:val="en-US" w:eastAsia="zh-CN"/>
              </w:rPr>
              <w:t>2</w:t>
            </w:r>
            <w:r>
              <w:rPr>
                <w:rFonts w:hint="eastAsia" w:eastAsia="宋体" w:cs="Times New Roman"/>
                <w:sz w:val="24"/>
                <w:u w:val="none"/>
                <w:lang w:val="en-US" w:eastAsia="zh-CN"/>
              </w:rPr>
              <w:t>0</w:t>
            </w:r>
            <w:r>
              <w:rPr>
                <w:rFonts w:hint="default" w:ascii="Times New Roman" w:hAnsi="Times New Roman" w:eastAsia="宋体" w:cs="Times New Roman"/>
                <w:sz w:val="24"/>
                <w:u w:val="none"/>
              </w:rPr>
              <w:t>m</w:t>
            </w:r>
            <w:r>
              <w:rPr>
                <w:rFonts w:hint="default" w:ascii="Times New Roman" w:hAnsi="Times New Roman" w:eastAsia="宋体" w:cs="Times New Roman"/>
                <w:sz w:val="24"/>
                <w:u w:val="none"/>
                <w:vertAlign w:val="superscript"/>
              </w:rPr>
              <w:t>3</w:t>
            </w:r>
            <w:r>
              <w:rPr>
                <w:rFonts w:hint="default" w:ascii="Times New Roman" w:hAnsi="Times New Roman" w:eastAsia="宋体" w:cs="Times New Roman"/>
                <w:sz w:val="24"/>
                <w:u w:val="none"/>
              </w:rPr>
              <w:t>/d，根据建设单位提供的生产经验数据，生产线洒水抑尘用水量为10m</w:t>
            </w:r>
            <w:r>
              <w:rPr>
                <w:rFonts w:hint="default" w:ascii="Times New Roman" w:hAnsi="Times New Roman" w:eastAsia="宋体" w:cs="Times New Roman"/>
                <w:sz w:val="24"/>
                <w:u w:val="none"/>
                <w:vertAlign w:val="superscript"/>
              </w:rPr>
              <w:t>3</w:t>
            </w:r>
            <w:r>
              <w:rPr>
                <w:rFonts w:hint="default" w:ascii="Times New Roman" w:hAnsi="Times New Roman" w:eastAsia="宋体" w:cs="Times New Roman"/>
                <w:sz w:val="24"/>
                <w:u w:val="none"/>
              </w:rPr>
              <w:t>/d（通过喷淋、喷雾装置对进出料口洒水降尘），则厂区生产区抑尘用水量为</w:t>
            </w:r>
            <w:r>
              <w:rPr>
                <w:rFonts w:hint="eastAsia" w:eastAsia="宋体" w:cs="Times New Roman"/>
                <w:sz w:val="24"/>
                <w:u w:val="none"/>
                <w:lang w:val="en-US" w:eastAsia="zh-CN"/>
              </w:rPr>
              <w:t>30</w:t>
            </w:r>
            <w:r>
              <w:rPr>
                <w:rFonts w:hint="default" w:ascii="Times New Roman" w:hAnsi="Times New Roman" w:eastAsia="宋体" w:cs="Times New Roman"/>
                <w:sz w:val="24"/>
                <w:u w:val="none"/>
              </w:rPr>
              <w:t>m</w:t>
            </w:r>
            <w:r>
              <w:rPr>
                <w:rFonts w:hint="default" w:ascii="Times New Roman" w:hAnsi="Times New Roman" w:eastAsia="宋体" w:cs="Times New Roman"/>
                <w:sz w:val="24"/>
                <w:u w:val="none"/>
                <w:vertAlign w:val="superscript"/>
              </w:rPr>
              <w:t>3</w:t>
            </w:r>
            <w:r>
              <w:rPr>
                <w:rFonts w:hint="default" w:ascii="Times New Roman" w:hAnsi="Times New Roman" w:eastAsia="宋体" w:cs="Times New Roman"/>
                <w:sz w:val="24"/>
                <w:u w:val="none"/>
              </w:rPr>
              <w:t>/d（</w:t>
            </w:r>
            <w:r>
              <w:rPr>
                <w:rFonts w:hint="eastAsia" w:eastAsia="宋体" w:cs="Times New Roman"/>
                <w:sz w:val="24"/>
                <w:u w:val="none"/>
                <w:lang w:val="en-US" w:eastAsia="zh-CN"/>
              </w:rPr>
              <w:t>6000</w:t>
            </w:r>
            <w:r>
              <w:rPr>
                <w:rFonts w:hint="default" w:ascii="Times New Roman" w:hAnsi="Times New Roman" w:eastAsia="宋体" w:cs="Times New Roman"/>
                <w:sz w:val="24"/>
                <w:u w:val="none"/>
              </w:rPr>
              <w:t>m</w:t>
            </w:r>
            <w:r>
              <w:rPr>
                <w:rFonts w:hint="default" w:ascii="Times New Roman" w:hAnsi="Times New Roman" w:eastAsia="宋体" w:cs="Times New Roman"/>
                <w:sz w:val="24"/>
                <w:u w:val="none"/>
                <w:vertAlign w:val="superscript"/>
              </w:rPr>
              <w:t>3</w:t>
            </w:r>
            <w:r>
              <w:rPr>
                <w:rFonts w:hint="default" w:ascii="Times New Roman" w:hAnsi="Times New Roman" w:eastAsia="宋体" w:cs="Times New Roman"/>
                <w:sz w:val="24"/>
                <w:u w:val="none"/>
              </w:rPr>
              <w:t>/a）。洒水降尘用水自然蒸发，不外排</w:t>
            </w:r>
            <w:r>
              <w:rPr>
                <w:rFonts w:hint="default" w:ascii="Times New Roman" w:hAnsi="Times New Roman" w:eastAsia="宋体" w:cs="Times New Roman"/>
                <w:sz w:val="24"/>
                <w:u w:val="none"/>
                <w:lang w:eastAsia="zh-CN"/>
              </w:rPr>
              <w:t>。</w:t>
            </w:r>
          </w:p>
          <w:p>
            <w:pPr>
              <w:wordWrap w:val="0"/>
              <w:topLinePunct/>
              <w:adjustRightInd w:val="0"/>
              <w:snapToGrid w:val="0"/>
              <w:spacing w:line="240" w:lineRule="auto"/>
              <w:jc w:val="center"/>
              <w:rPr>
                <w:sz w:val="21"/>
                <w:szCs w:val="21"/>
              </w:rPr>
            </w:pPr>
            <w:r>
              <w:rPr>
                <w:b/>
                <w:bCs/>
                <w:spacing w:val="-10"/>
                <w:sz w:val="21"/>
                <w:szCs w:val="21"/>
              </w:rPr>
              <w:t>表4-</w:t>
            </w:r>
            <w:r>
              <w:rPr>
                <w:rFonts w:hint="eastAsia"/>
                <w:b/>
                <w:bCs/>
                <w:spacing w:val="-10"/>
                <w:sz w:val="21"/>
                <w:szCs w:val="21"/>
                <w:lang w:val="en-US" w:eastAsia="zh-CN"/>
              </w:rPr>
              <w:t>8</w:t>
            </w:r>
            <w:r>
              <w:rPr>
                <w:b/>
                <w:bCs/>
                <w:spacing w:val="-10"/>
                <w:sz w:val="21"/>
                <w:szCs w:val="21"/>
              </w:rPr>
              <w:t xml:space="preserve">  废水污染物产生及排放情况</w:t>
            </w:r>
            <w:r>
              <w:rPr>
                <w:b/>
                <w:sz w:val="21"/>
                <w:szCs w:val="21"/>
              </w:rPr>
              <w:t>一览表  单位：浓度</w:t>
            </w:r>
            <w:r>
              <w:rPr>
                <w:b/>
                <w:kern w:val="0"/>
                <w:sz w:val="21"/>
                <w:szCs w:val="21"/>
              </w:rPr>
              <w:t>mg/L、量t/a</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18"/>
              <w:gridCol w:w="804"/>
              <w:gridCol w:w="554"/>
              <w:gridCol w:w="911"/>
              <w:gridCol w:w="804"/>
              <w:gridCol w:w="1579"/>
              <w:gridCol w:w="515"/>
              <w:gridCol w:w="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1101" w:type="pct"/>
                  <w:vMerge w:val="restart"/>
                  <w:noWrap/>
                  <w:vAlign w:val="center"/>
                </w:tcPr>
                <w:p>
                  <w:pPr>
                    <w:pStyle w:val="49"/>
                    <w:spacing w:line="240" w:lineRule="auto"/>
                    <w:jc w:val="center"/>
                    <w:rPr>
                      <w:rFonts w:cs="Times New Roman"/>
                      <w:b/>
                      <w:sz w:val="21"/>
                      <w:szCs w:val="21"/>
                    </w:rPr>
                  </w:pPr>
                  <w:r>
                    <w:rPr>
                      <w:rFonts w:cs="Times New Roman"/>
                      <w:b/>
                      <w:sz w:val="21"/>
                      <w:szCs w:val="21"/>
                    </w:rPr>
                    <w:t>产排污环节</w:t>
                  </w:r>
                </w:p>
              </w:tc>
              <w:tc>
                <w:tcPr>
                  <w:tcW w:w="515" w:type="pct"/>
                  <w:vMerge w:val="restart"/>
                  <w:noWrap/>
                  <w:vAlign w:val="center"/>
                </w:tcPr>
                <w:p>
                  <w:pPr>
                    <w:pStyle w:val="49"/>
                    <w:spacing w:line="240" w:lineRule="auto"/>
                    <w:jc w:val="center"/>
                    <w:rPr>
                      <w:rFonts w:cs="Times New Roman"/>
                      <w:b/>
                      <w:sz w:val="21"/>
                      <w:szCs w:val="21"/>
                    </w:rPr>
                  </w:pPr>
                  <w:r>
                    <w:rPr>
                      <w:rFonts w:cs="Times New Roman"/>
                      <w:b/>
                      <w:sz w:val="21"/>
                      <w:szCs w:val="21"/>
                    </w:rPr>
                    <w:t>污染物</w:t>
                  </w:r>
                </w:p>
                <w:p>
                  <w:pPr>
                    <w:pStyle w:val="49"/>
                    <w:spacing w:line="240" w:lineRule="auto"/>
                    <w:jc w:val="center"/>
                    <w:rPr>
                      <w:rFonts w:cs="Times New Roman"/>
                      <w:b/>
                      <w:sz w:val="21"/>
                      <w:szCs w:val="21"/>
                    </w:rPr>
                  </w:pPr>
                  <w:r>
                    <w:rPr>
                      <w:rFonts w:cs="Times New Roman"/>
                      <w:b/>
                      <w:sz w:val="21"/>
                      <w:szCs w:val="21"/>
                    </w:rPr>
                    <w:t>种类</w:t>
                  </w:r>
                </w:p>
              </w:tc>
              <w:tc>
                <w:tcPr>
                  <w:tcW w:w="939" w:type="pct"/>
                  <w:gridSpan w:val="2"/>
                  <w:noWrap/>
                  <w:vAlign w:val="center"/>
                </w:tcPr>
                <w:p>
                  <w:pPr>
                    <w:pStyle w:val="49"/>
                    <w:spacing w:line="240" w:lineRule="auto"/>
                    <w:jc w:val="center"/>
                    <w:rPr>
                      <w:rFonts w:cs="Times New Roman"/>
                      <w:b/>
                      <w:sz w:val="21"/>
                      <w:szCs w:val="21"/>
                    </w:rPr>
                  </w:pPr>
                  <w:r>
                    <w:rPr>
                      <w:rFonts w:cs="Times New Roman"/>
                      <w:b/>
                      <w:sz w:val="21"/>
                      <w:szCs w:val="21"/>
                    </w:rPr>
                    <w:t>产生情况</w:t>
                  </w:r>
                </w:p>
              </w:tc>
              <w:tc>
                <w:tcPr>
                  <w:tcW w:w="515" w:type="pct"/>
                  <w:vMerge w:val="restart"/>
                  <w:noWrap/>
                  <w:vAlign w:val="center"/>
                </w:tcPr>
                <w:p>
                  <w:pPr>
                    <w:pStyle w:val="49"/>
                    <w:spacing w:line="240" w:lineRule="auto"/>
                    <w:jc w:val="center"/>
                    <w:rPr>
                      <w:rFonts w:cs="Times New Roman"/>
                      <w:b/>
                      <w:sz w:val="21"/>
                      <w:szCs w:val="21"/>
                    </w:rPr>
                  </w:pPr>
                  <w:r>
                    <w:rPr>
                      <w:rFonts w:cs="Times New Roman"/>
                      <w:b/>
                      <w:sz w:val="21"/>
                      <w:szCs w:val="21"/>
                    </w:rPr>
                    <w:t>排放</w:t>
                  </w:r>
                </w:p>
                <w:p>
                  <w:pPr>
                    <w:pStyle w:val="49"/>
                    <w:spacing w:line="240" w:lineRule="auto"/>
                    <w:jc w:val="center"/>
                    <w:rPr>
                      <w:rFonts w:cs="Times New Roman"/>
                      <w:b/>
                      <w:sz w:val="21"/>
                      <w:szCs w:val="21"/>
                    </w:rPr>
                  </w:pPr>
                  <w:r>
                    <w:rPr>
                      <w:rFonts w:cs="Times New Roman"/>
                      <w:b/>
                      <w:sz w:val="21"/>
                      <w:szCs w:val="21"/>
                    </w:rPr>
                    <w:t>形式</w:t>
                  </w:r>
                </w:p>
              </w:tc>
              <w:tc>
                <w:tcPr>
                  <w:tcW w:w="1012" w:type="pct"/>
                  <w:vMerge w:val="restart"/>
                  <w:noWrap/>
                  <w:vAlign w:val="center"/>
                </w:tcPr>
                <w:p>
                  <w:pPr>
                    <w:pStyle w:val="49"/>
                    <w:spacing w:line="240" w:lineRule="auto"/>
                    <w:jc w:val="center"/>
                    <w:rPr>
                      <w:rFonts w:cs="Times New Roman"/>
                      <w:b/>
                      <w:sz w:val="21"/>
                      <w:szCs w:val="21"/>
                    </w:rPr>
                  </w:pPr>
                  <w:r>
                    <w:rPr>
                      <w:rFonts w:cs="Times New Roman"/>
                      <w:b/>
                      <w:sz w:val="21"/>
                      <w:szCs w:val="21"/>
                    </w:rPr>
                    <w:t>治理设施</w:t>
                  </w:r>
                </w:p>
                <w:p>
                  <w:pPr>
                    <w:pStyle w:val="49"/>
                    <w:spacing w:line="240" w:lineRule="auto"/>
                    <w:jc w:val="center"/>
                    <w:rPr>
                      <w:rFonts w:cs="Times New Roman"/>
                      <w:b/>
                      <w:sz w:val="21"/>
                      <w:szCs w:val="21"/>
                    </w:rPr>
                  </w:pPr>
                  <w:r>
                    <w:rPr>
                      <w:rFonts w:cs="Times New Roman"/>
                      <w:b/>
                      <w:sz w:val="21"/>
                      <w:szCs w:val="21"/>
                    </w:rPr>
                    <w:t>情况</w:t>
                  </w:r>
                </w:p>
              </w:tc>
              <w:tc>
                <w:tcPr>
                  <w:tcW w:w="916" w:type="pct"/>
                  <w:gridSpan w:val="2"/>
                  <w:noWrap/>
                  <w:vAlign w:val="center"/>
                </w:tcPr>
                <w:p>
                  <w:pPr>
                    <w:pStyle w:val="49"/>
                    <w:spacing w:line="240" w:lineRule="auto"/>
                    <w:jc w:val="center"/>
                    <w:rPr>
                      <w:rFonts w:cs="Times New Roman"/>
                      <w:b/>
                      <w:sz w:val="21"/>
                      <w:szCs w:val="21"/>
                    </w:rPr>
                  </w:pPr>
                  <w:r>
                    <w:rPr>
                      <w:rFonts w:cs="Times New Roman"/>
                      <w:b/>
                      <w:sz w:val="21"/>
                      <w:szCs w:val="21"/>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1101" w:type="pct"/>
                  <w:vMerge w:val="continue"/>
                  <w:noWrap/>
                  <w:vAlign w:val="center"/>
                </w:tcPr>
                <w:p>
                  <w:pPr>
                    <w:pStyle w:val="49"/>
                    <w:spacing w:line="240" w:lineRule="auto"/>
                    <w:jc w:val="center"/>
                    <w:rPr>
                      <w:rFonts w:cs="Times New Roman"/>
                      <w:b/>
                      <w:sz w:val="21"/>
                      <w:szCs w:val="21"/>
                    </w:rPr>
                  </w:pPr>
                </w:p>
              </w:tc>
              <w:tc>
                <w:tcPr>
                  <w:tcW w:w="515" w:type="pct"/>
                  <w:vMerge w:val="continue"/>
                  <w:noWrap/>
                  <w:vAlign w:val="center"/>
                </w:tcPr>
                <w:p>
                  <w:pPr>
                    <w:pStyle w:val="49"/>
                    <w:spacing w:line="240" w:lineRule="auto"/>
                    <w:jc w:val="center"/>
                    <w:rPr>
                      <w:rFonts w:cs="Times New Roman"/>
                      <w:b/>
                      <w:sz w:val="21"/>
                      <w:szCs w:val="21"/>
                    </w:rPr>
                  </w:pPr>
                </w:p>
              </w:tc>
              <w:tc>
                <w:tcPr>
                  <w:tcW w:w="355" w:type="pct"/>
                  <w:noWrap/>
                  <w:vAlign w:val="center"/>
                </w:tcPr>
                <w:p>
                  <w:pPr>
                    <w:pStyle w:val="49"/>
                    <w:spacing w:line="240" w:lineRule="auto"/>
                    <w:jc w:val="center"/>
                    <w:rPr>
                      <w:rFonts w:cs="Times New Roman"/>
                      <w:b/>
                      <w:sz w:val="21"/>
                      <w:szCs w:val="21"/>
                    </w:rPr>
                  </w:pPr>
                  <w:r>
                    <w:rPr>
                      <w:rFonts w:cs="Times New Roman"/>
                      <w:b/>
                      <w:sz w:val="21"/>
                      <w:szCs w:val="21"/>
                    </w:rPr>
                    <w:t>量t/a</w:t>
                  </w:r>
                </w:p>
              </w:tc>
              <w:tc>
                <w:tcPr>
                  <w:tcW w:w="584" w:type="pct"/>
                  <w:noWrap/>
                  <w:vAlign w:val="center"/>
                </w:tcPr>
                <w:p>
                  <w:pPr>
                    <w:pStyle w:val="49"/>
                    <w:spacing w:line="240" w:lineRule="auto"/>
                    <w:jc w:val="center"/>
                    <w:rPr>
                      <w:rFonts w:cs="Times New Roman"/>
                      <w:b/>
                      <w:sz w:val="21"/>
                      <w:szCs w:val="21"/>
                    </w:rPr>
                  </w:pPr>
                  <w:r>
                    <w:rPr>
                      <w:rFonts w:cs="Times New Roman"/>
                      <w:b/>
                      <w:sz w:val="21"/>
                      <w:szCs w:val="21"/>
                    </w:rPr>
                    <w:t>浓度mg/L</w:t>
                  </w:r>
                </w:p>
              </w:tc>
              <w:tc>
                <w:tcPr>
                  <w:tcW w:w="515" w:type="pct"/>
                  <w:vMerge w:val="continue"/>
                  <w:vAlign w:val="center"/>
                </w:tcPr>
                <w:p>
                  <w:pPr>
                    <w:pStyle w:val="49"/>
                    <w:spacing w:line="240" w:lineRule="auto"/>
                    <w:jc w:val="center"/>
                    <w:rPr>
                      <w:rFonts w:cs="Times New Roman"/>
                      <w:b/>
                      <w:sz w:val="21"/>
                      <w:szCs w:val="21"/>
                    </w:rPr>
                  </w:pPr>
                </w:p>
              </w:tc>
              <w:tc>
                <w:tcPr>
                  <w:tcW w:w="1012" w:type="pct"/>
                  <w:vMerge w:val="continue"/>
                  <w:noWrap/>
                  <w:vAlign w:val="center"/>
                </w:tcPr>
                <w:p>
                  <w:pPr>
                    <w:pStyle w:val="49"/>
                    <w:spacing w:line="240" w:lineRule="auto"/>
                    <w:jc w:val="center"/>
                    <w:rPr>
                      <w:rFonts w:cs="Times New Roman"/>
                      <w:b/>
                      <w:sz w:val="21"/>
                      <w:szCs w:val="21"/>
                    </w:rPr>
                  </w:pPr>
                </w:p>
              </w:tc>
              <w:tc>
                <w:tcPr>
                  <w:tcW w:w="330" w:type="pct"/>
                  <w:noWrap/>
                  <w:vAlign w:val="center"/>
                </w:tcPr>
                <w:p>
                  <w:pPr>
                    <w:pStyle w:val="49"/>
                    <w:spacing w:line="240" w:lineRule="auto"/>
                    <w:jc w:val="center"/>
                    <w:rPr>
                      <w:rFonts w:cs="Times New Roman"/>
                      <w:b/>
                      <w:sz w:val="21"/>
                      <w:szCs w:val="21"/>
                    </w:rPr>
                  </w:pPr>
                  <w:r>
                    <w:rPr>
                      <w:rFonts w:cs="Times New Roman"/>
                      <w:b/>
                      <w:sz w:val="21"/>
                      <w:szCs w:val="21"/>
                    </w:rPr>
                    <w:t>量t/a</w:t>
                  </w:r>
                </w:p>
              </w:tc>
              <w:tc>
                <w:tcPr>
                  <w:tcW w:w="585" w:type="pct"/>
                  <w:noWrap/>
                  <w:vAlign w:val="center"/>
                </w:tcPr>
                <w:p>
                  <w:pPr>
                    <w:pStyle w:val="49"/>
                    <w:spacing w:line="240" w:lineRule="auto"/>
                    <w:jc w:val="center"/>
                    <w:rPr>
                      <w:rFonts w:cs="Times New Roman"/>
                      <w:b/>
                      <w:sz w:val="21"/>
                      <w:szCs w:val="21"/>
                    </w:rPr>
                  </w:pPr>
                  <w:r>
                    <w:rPr>
                      <w:rFonts w:cs="Times New Roman"/>
                      <w:b/>
                      <w:sz w:val="21"/>
                      <w:szCs w:val="21"/>
                    </w:rPr>
                    <w:t>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1101" w:type="pct"/>
                  <w:vMerge w:val="restart"/>
                  <w:noWrap/>
                  <w:vAlign w:val="center"/>
                </w:tcPr>
                <w:p>
                  <w:pPr>
                    <w:pStyle w:val="49"/>
                    <w:spacing w:line="240" w:lineRule="auto"/>
                    <w:jc w:val="center"/>
                    <w:rPr>
                      <w:rFonts w:cs="Times New Roman"/>
                      <w:sz w:val="21"/>
                      <w:szCs w:val="21"/>
                    </w:rPr>
                  </w:pPr>
                  <w:r>
                    <w:rPr>
                      <w:rFonts w:hint="eastAsia" w:cs="Times New Roman"/>
                      <w:sz w:val="21"/>
                      <w:szCs w:val="21"/>
                    </w:rPr>
                    <w:t>生活污水192</w:t>
                  </w:r>
                  <w:r>
                    <w:rPr>
                      <w:rFonts w:cs="Times New Roman"/>
                      <w:sz w:val="21"/>
                      <w:szCs w:val="21"/>
                    </w:rPr>
                    <w:t>m³/a</w:t>
                  </w:r>
                </w:p>
              </w:tc>
              <w:tc>
                <w:tcPr>
                  <w:tcW w:w="515" w:type="pct"/>
                  <w:noWrap/>
                  <w:vAlign w:val="center"/>
                </w:tcPr>
                <w:p>
                  <w:pPr>
                    <w:pStyle w:val="49"/>
                    <w:spacing w:line="240" w:lineRule="auto"/>
                    <w:jc w:val="center"/>
                    <w:rPr>
                      <w:rFonts w:cs="Times New Roman"/>
                      <w:sz w:val="21"/>
                      <w:szCs w:val="21"/>
                    </w:rPr>
                  </w:pPr>
                  <w:r>
                    <w:rPr>
                      <w:rFonts w:cs="Times New Roman"/>
                      <w:sz w:val="21"/>
                      <w:szCs w:val="21"/>
                    </w:rPr>
                    <w:t>COD</w:t>
                  </w:r>
                </w:p>
              </w:tc>
              <w:tc>
                <w:tcPr>
                  <w:tcW w:w="355" w:type="pct"/>
                  <w:vAlign w:val="center"/>
                </w:tcPr>
                <w:p>
                  <w:pPr>
                    <w:widowControl/>
                    <w:spacing w:line="240" w:lineRule="auto"/>
                    <w:jc w:val="center"/>
                    <w:textAlignment w:val="center"/>
                    <w:rPr>
                      <w:kern w:val="0"/>
                      <w:sz w:val="21"/>
                      <w:szCs w:val="21"/>
                      <w:lang w:bidi="ar"/>
                    </w:rPr>
                  </w:pPr>
                  <w:r>
                    <w:rPr>
                      <w:rFonts w:hint="eastAsia"/>
                      <w:kern w:val="0"/>
                      <w:sz w:val="21"/>
                      <w:szCs w:val="21"/>
                      <w:lang w:bidi="ar"/>
                    </w:rPr>
                    <w:t>0.058</w:t>
                  </w:r>
                </w:p>
              </w:tc>
              <w:tc>
                <w:tcPr>
                  <w:tcW w:w="584" w:type="pct"/>
                  <w:vAlign w:val="center"/>
                </w:tcPr>
                <w:p>
                  <w:pPr>
                    <w:widowControl/>
                    <w:spacing w:line="240" w:lineRule="auto"/>
                    <w:jc w:val="center"/>
                    <w:textAlignment w:val="center"/>
                    <w:rPr>
                      <w:sz w:val="21"/>
                      <w:szCs w:val="21"/>
                    </w:rPr>
                  </w:pPr>
                  <w:r>
                    <w:rPr>
                      <w:kern w:val="0"/>
                      <w:sz w:val="21"/>
                      <w:szCs w:val="21"/>
                      <w:lang w:bidi="ar"/>
                    </w:rPr>
                    <w:t>300</w:t>
                  </w:r>
                </w:p>
              </w:tc>
              <w:tc>
                <w:tcPr>
                  <w:tcW w:w="515" w:type="pct"/>
                  <w:vMerge w:val="restart"/>
                  <w:noWrap/>
                  <w:vAlign w:val="center"/>
                </w:tcPr>
                <w:p>
                  <w:pPr>
                    <w:pStyle w:val="49"/>
                    <w:spacing w:line="240" w:lineRule="auto"/>
                    <w:jc w:val="center"/>
                    <w:rPr>
                      <w:rFonts w:hint="eastAsia" w:eastAsia="宋体" w:cs="Times New Roman"/>
                      <w:sz w:val="21"/>
                      <w:szCs w:val="21"/>
                      <w:lang w:eastAsia="zh-CN"/>
                    </w:rPr>
                  </w:pPr>
                  <w:r>
                    <w:rPr>
                      <w:rFonts w:hint="eastAsia" w:cs="Times New Roman"/>
                      <w:sz w:val="21"/>
                      <w:szCs w:val="21"/>
                      <w:lang w:val="en-US" w:eastAsia="zh-CN"/>
                    </w:rPr>
                    <w:t>不外排</w:t>
                  </w:r>
                </w:p>
              </w:tc>
              <w:tc>
                <w:tcPr>
                  <w:tcW w:w="1012" w:type="pct"/>
                  <w:vMerge w:val="restart"/>
                  <w:noWrap/>
                  <w:vAlign w:val="center"/>
                </w:tcPr>
                <w:p>
                  <w:pPr>
                    <w:pStyle w:val="49"/>
                    <w:spacing w:line="240" w:lineRule="auto"/>
                    <w:jc w:val="center"/>
                    <w:rPr>
                      <w:rFonts w:hint="eastAsia" w:eastAsia="宋体" w:cs="Times New Roman"/>
                      <w:sz w:val="21"/>
                      <w:szCs w:val="21"/>
                      <w:lang w:eastAsia="zh-CN"/>
                    </w:rPr>
                  </w:pPr>
                  <w:r>
                    <w:rPr>
                      <w:rFonts w:cs="Times New Roman"/>
                      <w:sz w:val="21"/>
                      <w:szCs w:val="21"/>
                    </w:rPr>
                    <w:t>隔油、化粪池</w:t>
                  </w:r>
                  <w:r>
                    <w:rPr>
                      <w:kern w:val="0"/>
                      <w:sz w:val="21"/>
                      <w:szCs w:val="21"/>
                    </w:rPr>
                    <w:t>处理</w:t>
                  </w:r>
                  <w:r>
                    <w:rPr>
                      <w:rFonts w:hint="eastAsia"/>
                      <w:kern w:val="0"/>
                      <w:sz w:val="21"/>
                      <w:szCs w:val="21"/>
                      <w:lang w:eastAsia="zh-CN"/>
                    </w:rPr>
                    <w:t>后</w:t>
                  </w:r>
                  <w:r>
                    <w:rPr>
                      <w:kern w:val="0"/>
                      <w:sz w:val="21"/>
                      <w:szCs w:val="21"/>
                    </w:rPr>
                    <w:t>用于周边林地、</w:t>
                  </w:r>
                  <w:r>
                    <w:rPr>
                      <w:rFonts w:hint="eastAsia"/>
                      <w:kern w:val="0"/>
                      <w:sz w:val="21"/>
                      <w:szCs w:val="21"/>
                    </w:rPr>
                    <w:t>菜地</w:t>
                  </w:r>
                  <w:r>
                    <w:rPr>
                      <w:kern w:val="0"/>
                      <w:sz w:val="21"/>
                      <w:szCs w:val="21"/>
                    </w:rPr>
                    <w:t>浇灌</w:t>
                  </w:r>
                  <w:r>
                    <w:rPr>
                      <w:rFonts w:hint="eastAsia"/>
                      <w:kern w:val="0"/>
                      <w:sz w:val="21"/>
                      <w:szCs w:val="21"/>
                      <w:lang w:eastAsia="zh-CN"/>
                    </w:rPr>
                    <w:t>，不外排</w:t>
                  </w:r>
                </w:p>
                <w:p>
                  <w:pPr>
                    <w:pStyle w:val="49"/>
                    <w:spacing w:line="240" w:lineRule="auto"/>
                    <w:jc w:val="center"/>
                    <w:rPr>
                      <w:rFonts w:cs="Times New Roman"/>
                      <w:sz w:val="21"/>
                      <w:szCs w:val="21"/>
                    </w:rPr>
                  </w:pPr>
                  <w:r>
                    <w:rPr>
                      <w:rFonts w:hint="eastAsia" w:cs="Times New Roman"/>
                      <w:sz w:val="21"/>
                      <w:szCs w:val="21"/>
                    </w:rPr>
                    <w:t>（60%）</w:t>
                  </w:r>
                </w:p>
              </w:tc>
              <w:tc>
                <w:tcPr>
                  <w:tcW w:w="330" w:type="pct"/>
                  <w:noWrap/>
                  <w:vAlign w:val="center"/>
                </w:tcPr>
                <w:p>
                  <w:pPr>
                    <w:widowControl/>
                    <w:spacing w:line="240" w:lineRule="auto"/>
                    <w:jc w:val="center"/>
                    <w:textAlignment w:val="center"/>
                    <w:rPr>
                      <w:kern w:val="0"/>
                      <w:sz w:val="21"/>
                      <w:szCs w:val="21"/>
                      <w:lang w:bidi="ar"/>
                    </w:rPr>
                  </w:pPr>
                  <w:r>
                    <w:rPr>
                      <w:rFonts w:hint="eastAsia"/>
                      <w:kern w:val="0"/>
                      <w:sz w:val="21"/>
                      <w:szCs w:val="21"/>
                      <w:lang w:bidi="ar"/>
                    </w:rPr>
                    <w:t>0.023</w:t>
                  </w:r>
                </w:p>
              </w:tc>
              <w:tc>
                <w:tcPr>
                  <w:tcW w:w="585" w:type="pct"/>
                  <w:noWrap/>
                  <w:vAlign w:val="center"/>
                </w:tcPr>
                <w:p>
                  <w:pPr>
                    <w:widowControl/>
                    <w:spacing w:line="240" w:lineRule="auto"/>
                    <w:jc w:val="center"/>
                    <w:textAlignment w:val="center"/>
                    <w:rPr>
                      <w:sz w:val="21"/>
                      <w:szCs w:val="21"/>
                    </w:rPr>
                  </w:pPr>
                  <w:r>
                    <w:rPr>
                      <w:rFonts w:hint="eastAsia"/>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1101" w:type="pct"/>
                  <w:vMerge w:val="continue"/>
                  <w:noWrap/>
                  <w:vAlign w:val="center"/>
                </w:tcPr>
                <w:p>
                  <w:pPr>
                    <w:pStyle w:val="49"/>
                    <w:spacing w:line="240" w:lineRule="auto"/>
                    <w:jc w:val="center"/>
                    <w:rPr>
                      <w:rFonts w:cs="Times New Roman"/>
                      <w:sz w:val="21"/>
                      <w:szCs w:val="21"/>
                    </w:rPr>
                  </w:pPr>
                </w:p>
              </w:tc>
              <w:tc>
                <w:tcPr>
                  <w:tcW w:w="515" w:type="pct"/>
                  <w:noWrap/>
                  <w:vAlign w:val="center"/>
                </w:tcPr>
                <w:p>
                  <w:pPr>
                    <w:pStyle w:val="49"/>
                    <w:spacing w:line="240" w:lineRule="auto"/>
                    <w:jc w:val="center"/>
                    <w:rPr>
                      <w:rFonts w:cs="Times New Roman"/>
                      <w:sz w:val="21"/>
                      <w:szCs w:val="21"/>
                    </w:rPr>
                  </w:pPr>
                  <w:r>
                    <w:rPr>
                      <w:rFonts w:cs="Times New Roman"/>
                      <w:sz w:val="21"/>
                      <w:szCs w:val="21"/>
                    </w:rPr>
                    <w:t>BOD</w:t>
                  </w:r>
                  <w:r>
                    <w:rPr>
                      <w:rFonts w:cs="Times New Roman"/>
                      <w:sz w:val="21"/>
                      <w:szCs w:val="21"/>
                      <w:vertAlign w:val="subscript"/>
                    </w:rPr>
                    <w:t>5</w:t>
                  </w:r>
                </w:p>
              </w:tc>
              <w:tc>
                <w:tcPr>
                  <w:tcW w:w="355" w:type="pct"/>
                  <w:noWrap/>
                  <w:vAlign w:val="center"/>
                </w:tcPr>
                <w:p>
                  <w:pPr>
                    <w:widowControl/>
                    <w:spacing w:line="240" w:lineRule="auto"/>
                    <w:jc w:val="center"/>
                    <w:textAlignment w:val="center"/>
                    <w:rPr>
                      <w:kern w:val="0"/>
                      <w:sz w:val="21"/>
                      <w:szCs w:val="21"/>
                      <w:lang w:bidi="ar"/>
                    </w:rPr>
                  </w:pPr>
                  <w:r>
                    <w:rPr>
                      <w:rFonts w:hint="eastAsia"/>
                      <w:kern w:val="0"/>
                      <w:sz w:val="21"/>
                      <w:szCs w:val="21"/>
                      <w:lang w:bidi="ar"/>
                    </w:rPr>
                    <w:t>0.048</w:t>
                  </w:r>
                </w:p>
              </w:tc>
              <w:tc>
                <w:tcPr>
                  <w:tcW w:w="584" w:type="pct"/>
                  <w:noWrap/>
                  <w:vAlign w:val="center"/>
                </w:tcPr>
                <w:p>
                  <w:pPr>
                    <w:widowControl/>
                    <w:spacing w:line="240" w:lineRule="auto"/>
                    <w:jc w:val="center"/>
                    <w:textAlignment w:val="center"/>
                    <w:rPr>
                      <w:sz w:val="21"/>
                      <w:szCs w:val="21"/>
                    </w:rPr>
                  </w:pPr>
                  <w:r>
                    <w:rPr>
                      <w:kern w:val="0"/>
                      <w:sz w:val="21"/>
                      <w:szCs w:val="21"/>
                      <w:lang w:bidi="ar"/>
                    </w:rPr>
                    <w:t>250</w:t>
                  </w:r>
                </w:p>
              </w:tc>
              <w:tc>
                <w:tcPr>
                  <w:tcW w:w="515" w:type="pct"/>
                  <w:vMerge w:val="continue"/>
                  <w:noWrap/>
                  <w:vAlign w:val="center"/>
                </w:tcPr>
                <w:p>
                  <w:pPr>
                    <w:pStyle w:val="49"/>
                    <w:spacing w:line="240" w:lineRule="auto"/>
                    <w:rPr>
                      <w:rFonts w:cs="Times New Roman"/>
                      <w:sz w:val="21"/>
                      <w:szCs w:val="21"/>
                    </w:rPr>
                  </w:pPr>
                </w:p>
              </w:tc>
              <w:tc>
                <w:tcPr>
                  <w:tcW w:w="1012" w:type="pct"/>
                  <w:vMerge w:val="continue"/>
                  <w:noWrap/>
                  <w:vAlign w:val="center"/>
                </w:tcPr>
                <w:p>
                  <w:pPr>
                    <w:pStyle w:val="49"/>
                    <w:spacing w:line="240" w:lineRule="auto"/>
                    <w:jc w:val="center"/>
                    <w:rPr>
                      <w:rFonts w:cs="Times New Roman"/>
                      <w:sz w:val="21"/>
                      <w:szCs w:val="21"/>
                    </w:rPr>
                  </w:pPr>
                </w:p>
              </w:tc>
              <w:tc>
                <w:tcPr>
                  <w:tcW w:w="330" w:type="pct"/>
                  <w:noWrap/>
                  <w:vAlign w:val="center"/>
                </w:tcPr>
                <w:p>
                  <w:pPr>
                    <w:widowControl/>
                    <w:spacing w:line="240" w:lineRule="auto"/>
                    <w:jc w:val="center"/>
                    <w:textAlignment w:val="center"/>
                    <w:rPr>
                      <w:kern w:val="0"/>
                      <w:sz w:val="21"/>
                      <w:szCs w:val="21"/>
                      <w:lang w:bidi="ar"/>
                    </w:rPr>
                  </w:pPr>
                  <w:r>
                    <w:rPr>
                      <w:rFonts w:hint="eastAsia"/>
                      <w:kern w:val="0"/>
                      <w:sz w:val="21"/>
                      <w:szCs w:val="21"/>
                      <w:lang w:bidi="ar"/>
                    </w:rPr>
                    <w:t>0.019</w:t>
                  </w:r>
                </w:p>
              </w:tc>
              <w:tc>
                <w:tcPr>
                  <w:tcW w:w="585" w:type="pct"/>
                  <w:noWrap/>
                  <w:vAlign w:val="center"/>
                </w:tcPr>
                <w:p>
                  <w:pPr>
                    <w:widowControl/>
                    <w:spacing w:line="240" w:lineRule="auto"/>
                    <w:jc w:val="center"/>
                    <w:textAlignment w:val="center"/>
                    <w:rPr>
                      <w:sz w:val="21"/>
                      <w:szCs w:val="21"/>
                    </w:rPr>
                  </w:pPr>
                  <w:r>
                    <w:rPr>
                      <w:rFonts w:hint="eastAsia"/>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1101" w:type="pct"/>
                  <w:vMerge w:val="continue"/>
                  <w:noWrap/>
                  <w:vAlign w:val="center"/>
                </w:tcPr>
                <w:p>
                  <w:pPr>
                    <w:pStyle w:val="49"/>
                    <w:spacing w:line="240" w:lineRule="auto"/>
                    <w:jc w:val="center"/>
                    <w:rPr>
                      <w:rFonts w:cs="Times New Roman"/>
                      <w:sz w:val="21"/>
                      <w:szCs w:val="21"/>
                    </w:rPr>
                  </w:pPr>
                </w:p>
              </w:tc>
              <w:tc>
                <w:tcPr>
                  <w:tcW w:w="515" w:type="pct"/>
                  <w:noWrap/>
                  <w:vAlign w:val="center"/>
                </w:tcPr>
                <w:p>
                  <w:pPr>
                    <w:pStyle w:val="49"/>
                    <w:spacing w:line="240" w:lineRule="auto"/>
                    <w:jc w:val="center"/>
                    <w:rPr>
                      <w:rFonts w:cs="Times New Roman"/>
                      <w:sz w:val="21"/>
                      <w:szCs w:val="21"/>
                    </w:rPr>
                  </w:pPr>
                  <w:r>
                    <w:rPr>
                      <w:rFonts w:cs="Times New Roman"/>
                      <w:sz w:val="21"/>
                      <w:szCs w:val="21"/>
                    </w:rPr>
                    <w:t>SS</w:t>
                  </w:r>
                </w:p>
              </w:tc>
              <w:tc>
                <w:tcPr>
                  <w:tcW w:w="355" w:type="pct"/>
                  <w:noWrap/>
                  <w:vAlign w:val="center"/>
                </w:tcPr>
                <w:p>
                  <w:pPr>
                    <w:widowControl/>
                    <w:spacing w:line="240" w:lineRule="auto"/>
                    <w:jc w:val="center"/>
                    <w:textAlignment w:val="center"/>
                    <w:rPr>
                      <w:kern w:val="0"/>
                      <w:sz w:val="21"/>
                      <w:szCs w:val="21"/>
                      <w:lang w:bidi="ar"/>
                    </w:rPr>
                  </w:pPr>
                  <w:r>
                    <w:rPr>
                      <w:rFonts w:hint="eastAsia"/>
                      <w:kern w:val="0"/>
                      <w:sz w:val="21"/>
                      <w:szCs w:val="21"/>
                      <w:lang w:bidi="ar"/>
                    </w:rPr>
                    <w:t>0.038</w:t>
                  </w:r>
                </w:p>
              </w:tc>
              <w:tc>
                <w:tcPr>
                  <w:tcW w:w="584" w:type="pct"/>
                  <w:noWrap/>
                  <w:vAlign w:val="center"/>
                </w:tcPr>
                <w:p>
                  <w:pPr>
                    <w:widowControl/>
                    <w:spacing w:line="240" w:lineRule="auto"/>
                    <w:jc w:val="center"/>
                    <w:textAlignment w:val="center"/>
                    <w:rPr>
                      <w:sz w:val="21"/>
                      <w:szCs w:val="21"/>
                    </w:rPr>
                  </w:pPr>
                  <w:r>
                    <w:rPr>
                      <w:kern w:val="0"/>
                      <w:sz w:val="21"/>
                      <w:szCs w:val="21"/>
                      <w:lang w:bidi="ar"/>
                    </w:rPr>
                    <w:t>200</w:t>
                  </w:r>
                </w:p>
              </w:tc>
              <w:tc>
                <w:tcPr>
                  <w:tcW w:w="515" w:type="pct"/>
                  <w:vMerge w:val="continue"/>
                  <w:noWrap/>
                  <w:vAlign w:val="center"/>
                </w:tcPr>
                <w:p>
                  <w:pPr>
                    <w:pStyle w:val="49"/>
                    <w:spacing w:line="240" w:lineRule="auto"/>
                    <w:rPr>
                      <w:rFonts w:cs="Times New Roman"/>
                      <w:sz w:val="21"/>
                      <w:szCs w:val="21"/>
                    </w:rPr>
                  </w:pPr>
                </w:p>
              </w:tc>
              <w:tc>
                <w:tcPr>
                  <w:tcW w:w="1012" w:type="pct"/>
                  <w:vMerge w:val="continue"/>
                  <w:noWrap/>
                  <w:vAlign w:val="center"/>
                </w:tcPr>
                <w:p>
                  <w:pPr>
                    <w:pStyle w:val="49"/>
                    <w:spacing w:line="240" w:lineRule="auto"/>
                    <w:jc w:val="center"/>
                    <w:rPr>
                      <w:rFonts w:cs="Times New Roman"/>
                      <w:sz w:val="21"/>
                      <w:szCs w:val="21"/>
                    </w:rPr>
                  </w:pPr>
                </w:p>
              </w:tc>
              <w:tc>
                <w:tcPr>
                  <w:tcW w:w="330" w:type="pct"/>
                  <w:noWrap/>
                  <w:vAlign w:val="center"/>
                </w:tcPr>
                <w:p>
                  <w:pPr>
                    <w:widowControl/>
                    <w:spacing w:line="240" w:lineRule="auto"/>
                    <w:jc w:val="center"/>
                    <w:textAlignment w:val="center"/>
                    <w:rPr>
                      <w:kern w:val="0"/>
                      <w:sz w:val="21"/>
                      <w:szCs w:val="21"/>
                      <w:lang w:bidi="ar"/>
                    </w:rPr>
                  </w:pPr>
                  <w:r>
                    <w:rPr>
                      <w:rFonts w:hint="eastAsia"/>
                      <w:kern w:val="0"/>
                      <w:sz w:val="21"/>
                      <w:szCs w:val="21"/>
                      <w:lang w:bidi="ar"/>
                    </w:rPr>
                    <w:t>0.015</w:t>
                  </w:r>
                </w:p>
              </w:tc>
              <w:tc>
                <w:tcPr>
                  <w:tcW w:w="585" w:type="pct"/>
                  <w:noWrap/>
                  <w:vAlign w:val="center"/>
                </w:tcPr>
                <w:p>
                  <w:pPr>
                    <w:widowControl/>
                    <w:spacing w:line="240" w:lineRule="auto"/>
                    <w:jc w:val="center"/>
                    <w:textAlignment w:val="center"/>
                    <w:rPr>
                      <w:sz w:val="21"/>
                      <w:szCs w:val="21"/>
                    </w:rPr>
                  </w:pPr>
                  <w:r>
                    <w:rPr>
                      <w:rFonts w:hint="eastAsia"/>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1101" w:type="pct"/>
                  <w:vMerge w:val="continue"/>
                  <w:noWrap/>
                  <w:vAlign w:val="center"/>
                </w:tcPr>
                <w:p>
                  <w:pPr>
                    <w:pStyle w:val="49"/>
                    <w:spacing w:line="240" w:lineRule="auto"/>
                    <w:jc w:val="center"/>
                    <w:rPr>
                      <w:rFonts w:cs="Times New Roman"/>
                      <w:sz w:val="21"/>
                      <w:szCs w:val="21"/>
                    </w:rPr>
                  </w:pPr>
                </w:p>
              </w:tc>
              <w:tc>
                <w:tcPr>
                  <w:tcW w:w="515" w:type="pct"/>
                  <w:noWrap/>
                  <w:vAlign w:val="center"/>
                </w:tcPr>
                <w:p>
                  <w:pPr>
                    <w:pStyle w:val="49"/>
                    <w:spacing w:line="240" w:lineRule="auto"/>
                    <w:jc w:val="center"/>
                    <w:rPr>
                      <w:rFonts w:cs="Times New Roman"/>
                      <w:sz w:val="21"/>
                      <w:szCs w:val="21"/>
                    </w:rPr>
                  </w:pPr>
                  <w:r>
                    <w:rPr>
                      <w:rFonts w:cs="Times New Roman"/>
                      <w:sz w:val="21"/>
                      <w:szCs w:val="21"/>
                    </w:rPr>
                    <w:t>氨氮</w:t>
                  </w:r>
                </w:p>
              </w:tc>
              <w:tc>
                <w:tcPr>
                  <w:tcW w:w="355" w:type="pct"/>
                  <w:vAlign w:val="center"/>
                </w:tcPr>
                <w:p>
                  <w:pPr>
                    <w:widowControl/>
                    <w:spacing w:line="240" w:lineRule="auto"/>
                    <w:jc w:val="center"/>
                    <w:textAlignment w:val="center"/>
                    <w:rPr>
                      <w:kern w:val="0"/>
                      <w:sz w:val="21"/>
                      <w:szCs w:val="21"/>
                      <w:lang w:bidi="ar"/>
                    </w:rPr>
                  </w:pPr>
                  <w:r>
                    <w:rPr>
                      <w:rFonts w:hint="eastAsia"/>
                      <w:kern w:val="0"/>
                      <w:sz w:val="21"/>
                      <w:szCs w:val="21"/>
                      <w:lang w:bidi="ar"/>
                    </w:rPr>
                    <w:t>0.005</w:t>
                  </w:r>
                </w:p>
              </w:tc>
              <w:tc>
                <w:tcPr>
                  <w:tcW w:w="584" w:type="pct"/>
                  <w:noWrap/>
                  <w:vAlign w:val="center"/>
                </w:tcPr>
                <w:p>
                  <w:pPr>
                    <w:widowControl/>
                    <w:spacing w:line="240" w:lineRule="auto"/>
                    <w:jc w:val="center"/>
                    <w:textAlignment w:val="center"/>
                    <w:rPr>
                      <w:sz w:val="21"/>
                      <w:szCs w:val="21"/>
                    </w:rPr>
                  </w:pPr>
                  <w:r>
                    <w:rPr>
                      <w:rFonts w:hint="eastAsia"/>
                      <w:kern w:val="0"/>
                      <w:sz w:val="21"/>
                      <w:szCs w:val="21"/>
                      <w:lang w:bidi="ar"/>
                    </w:rPr>
                    <w:t>25</w:t>
                  </w:r>
                </w:p>
              </w:tc>
              <w:tc>
                <w:tcPr>
                  <w:tcW w:w="515" w:type="pct"/>
                  <w:vMerge w:val="continue"/>
                  <w:noWrap/>
                  <w:vAlign w:val="center"/>
                </w:tcPr>
                <w:p>
                  <w:pPr>
                    <w:pStyle w:val="49"/>
                    <w:spacing w:line="240" w:lineRule="auto"/>
                    <w:rPr>
                      <w:rFonts w:cs="Times New Roman"/>
                      <w:sz w:val="21"/>
                      <w:szCs w:val="21"/>
                    </w:rPr>
                  </w:pPr>
                </w:p>
              </w:tc>
              <w:tc>
                <w:tcPr>
                  <w:tcW w:w="1012" w:type="pct"/>
                  <w:vMerge w:val="continue"/>
                  <w:noWrap/>
                  <w:vAlign w:val="center"/>
                </w:tcPr>
                <w:p>
                  <w:pPr>
                    <w:pStyle w:val="49"/>
                    <w:spacing w:line="240" w:lineRule="auto"/>
                    <w:jc w:val="center"/>
                    <w:rPr>
                      <w:rFonts w:cs="Times New Roman"/>
                      <w:sz w:val="21"/>
                      <w:szCs w:val="21"/>
                    </w:rPr>
                  </w:pPr>
                </w:p>
              </w:tc>
              <w:tc>
                <w:tcPr>
                  <w:tcW w:w="330" w:type="pct"/>
                  <w:noWrap/>
                  <w:vAlign w:val="center"/>
                </w:tcPr>
                <w:p>
                  <w:pPr>
                    <w:widowControl/>
                    <w:spacing w:line="240" w:lineRule="auto"/>
                    <w:jc w:val="center"/>
                    <w:textAlignment w:val="center"/>
                    <w:rPr>
                      <w:kern w:val="0"/>
                      <w:sz w:val="21"/>
                      <w:szCs w:val="21"/>
                      <w:lang w:bidi="ar"/>
                    </w:rPr>
                  </w:pPr>
                  <w:r>
                    <w:rPr>
                      <w:rFonts w:hint="eastAsia"/>
                      <w:kern w:val="0"/>
                      <w:sz w:val="21"/>
                      <w:szCs w:val="21"/>
                      <w:lang w:bidi="ar"/>
                    </w:rPr>
                    <w:t>0.005</w:t>
                  </w:r>
                </w:p>
              </w:tc>
              <w:tc>
                <w:tcPr>
                  <w:tcW w:w="585" w:type="pct"/>
                  <w:noWrap/>
                  <w:vAlign w:val="center"/>
                </w:tcPr>
                <w:p>
                  <w:pPr>
                    <w:widowControl/>
                    <w:spacing w:line="240" w:lineRule="auto"/>
                    <w:jc w:val="center"/>
                    <w:textAlignment w:val="center"/>
                    <w:rPr>
                      <w:sz w:val="21"/>
                      <w:szCs w:val="21"/>
                    </w:rPr>
                  </w:pPr>
                  <w:r>
                    <w:rPr>
                      <w:rFonts w:hint="eastAsia"/>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1101" w:type="pct"/>
                  <w:vMerge w:val="continue"/>
                  <w:noWrap/>
                  <w:vAlign w:val="center"/>
                </w:tcPr>
                <w:p>
                  <w:pPr>
                    <w:pStyle w:val="49"/>
                    <w:spacing w:line="240" w:lineRule="auto"/>
                    <w:jc w:val="center"/>
                    <w:rPr>
                      <w:rFonts w:cs="Times New Roman"/>
                      <w:sz w:val="21"/>
                      <w:szCs w:val="21"/>
                    </w:rPr>
                  </w:pPr>
                </w:p>
              </w:tc>
              <w:tc>
                <w:tcPr>
                  <w:tcW w:w="515" w:type="pct"/>
                  <w:noWrap/>
                  <w:vAlign w:val="center"/>
                </w:tcPr>
                <w:p>
                  <w:pPr>
                    <w:pStyle w:val="49"/>
                    <w:spacing w:line="240" w:lineRule="auto"/>
                    <w:jc w:val="center"/>
                    <w:rPr>
                      <w:rFonts w:cs="Times New Roman"/>
                      <w:sz w:val="21"/>
                      <w:szCs w:val="21"/>
                    </w:rPr>
                  </w:pPr>
                  <w:r>
                    <w:rPr>
                      <w:rFonts w:cs="Times New Roman"/>
                      <w:sz w:val="21"/>
                      <w:szCs w:val="21"/>
                    </w:rPr>
                    <w:t>动植物油</w:t>
                  </w:r>
                </w:p>
              </w:tc>
              <w:tc>
                <w:tcPr>
                  <w:tcW w:w="355" w:type="pct"/>
                  <w:vAlign w:val="center"/>
                </w:tcPr>
                <w:p>
                  <w:pPr>
                    <w:widowControl/>
                    <w:spacing w:line="240" w:lineRule="auto"/>
                    <w:jc w:val="center"/>
                    <w:textAlignment w:val="center"/>
                    <w:rPr>
                      <w:kern w:val="0"/>
                      <w:sz w:val="21"/>
                      <w:szCs w:val="21"/>
                      <w:lang w:bidi="ar"/>
                    </w:rPr>
                  </w:pPr>
                  <w:r>
                    <w:rPr>
                      <w:rFonts w:hint="eastAsia"/>
                      <w:kern w:val="0"/>
                      <w:sz w:val="21"/>
                      <w:szCs w:val="21"/>
                      <w:lang w:bidi="ar"/>
                    </w:rPr>
                    <w:t>0.012</w:t>
                  </w:r>
                </w:p>
              </w:tc>
              <w:tc>
                <w:tcPr>
                  <w:tcW w:w="584" w:type="pct"/>
                  <w:noWrap/>
                  <w:vAlign w:val="center"/>
                </w:tcPr>
                <w:p>
                  <w:pPr>
                    <w:widowControl/>
                    <w:spacing w:line="240" w:lineRule="auto"/>
                    <w:jc w:val="center"/>
                    <w:textAlignment w:val="center"/>
                    <w:rPr>
                      <w:sz w:val="21"/>
                      <w:szCs w:val="21"/>
                    </w:rPr>
                  </w:pPr>
                  <w:r>
                    <w:rPr>
                      <w:kern w:val="0"/>
                      <w:sz w:val="21"/>
                      <w:szCs w:val="21"/>
                      <w:lang w:bidi="ar"/>
                    </w:rPr>
                    <w:t>60</w:t>
                  </w:r>
                </w:p>
              </w:tc>
              <w:tc>
                <w:tcPr>
                  <w:tcW w:w="515" w:type="pct"/>
                  <w:vMerge w:val="continue"/>
                  <w:noWrap/>
                  <w:vAlign w:val="center"/>
                </w:tcPr>
                <w:p>
                  <w:pPr>
                    <w:pStyle w:val="49"/>
                    <w:spacing w:line="240" w:lineRule="auto"/>
                    <w:rPr>
                      <w:rFonts w:cs="Times New Roman"/>
                      <w:sz w:val="21"/>
                      <w:szCs w:val="21"/>
                    </w:rPr>
                  </w:pPr>
                </w:p>
              </w:tc>
              <w:tc>
                <w:tcPr>
                  <w:tcW w:w="1012" w:type="pct"/>
                  <w:vMerge w:val="continue"/>
                  <w:noWrap/>
                  <w:vAlign w:val="center"/>
                </w:tcPr>
                <w:p>
                  <w:pPr>
                    <w:pStyle w:val="49"/>
                    <w:spacing w:line="240" w:lineRule="auto"/>
                    <w:jc w:val="center"/>
                    <w:rPr>
                      <w:rFonts w:cs="Times New Roman"/>
                      <w:sz w:val="21"/>
                      <w:szCs w:val="21"/>
                    </w:rPr>
                  </w:pPr>
                </w:p>
              </w:tc>
              <w:tc>
                <w:tcPr>
                  <w:tcW w:w="330" w:type="pct"/>
                  <w:noWrap/>
                  <w:vAlign w:val="center"/>
                </w:tcPr>
                <w:p>
                  <w:pPr>
                    <w:widowControl/>
                    <w:spacing w:line="240" w:lineRule="auto"/>
                    <w:jc w:val="center"/>
                    <w:textAlignment w:val="center"/>
                    <w:rPr>
                      <w:kern w:val="0"/>
                      <w:sz w:val="21"/>
                      <w:szCs w:val="21"/>
                      <w:lang w:bidi="ar"/>
                    </w:rPr>
                  </w:pPr>
                  <w:r>
                    <w:rPr>
                      <w:rFonts w:hint="eastAsia"/>
                      <w:kern w:val="0"/>
                      <w:sz w:val="21"/>
                      <w:szCs w:val="21"/>
                      <w:lang w:bidi="ar"/>
                    </w:rPr>
                    <w:t>0.005</w:t>
                  </w:r>
                </w:p>
              </w:tc>
              <w:tc>
                <w:tcPr>
                  <w:tcW w:w="585" w:type="pct"/>
                  <w:noWrap/>
                  <w:vAlign w:val="center"/>
                </w:tcPr>
                <w:p>
                  <w:pPr>
                    <w:widowControl/>
                    <w:spacing w:line="240" w:lineRule="auto"/>
                    <w:jc w:val="center"/>
                    <w:textAlignment w:val="center"/>
                    <w:rPr>
                      <w:sz w:val="21"/>
                      <w:szCs w:val="21"/>
                    </w:rPr>
                  </w:pPr>
                  <w:r>
                    <w:rPr>
                      <w:rFonts w:hint="eastAsia"/>
                      <w:kern w:val="0"/>
                      <w:sz w:val="21"/>
                      <w:szCs w:val="21"/>
                      <w:lang w:val="en-US" w:eastAsia="zh-CN" w:bidi="ar"/>
                    </w:rPr>
                    <w:t>/</w:t>
                  </w:r>
                </w:p>
              </w:tc>
            </w:tr>
          </w:tbl>
          <w:p>
            <w:pPr>
              <w:pStyle w:val="40"/>
              <w:numPr>
                <w:ilvl w:val="3"/>
                <w:numId w:val="0"/>
              </w:numPr>
              <w:ind w:left="454"/>
            </w:pPr>
            <w:r>
              <w:rPr>
                <w:rFonts w:hint="eastAsia"/>
              </w:rPr>
              <w:t>3、项目水平衡图</w:t>
            </w:r>
          </w:p>
          <w:p>
            <w:pPr>
              <w:pStyle w:val="40"/>
              <w:numPr>
                <w:ilvl w:val="3"/>
                <w:numId w:val="0"/>
              </w:numPr>
              <w:ind w:left="454"/>
              <w:rPr>
                <w:b w:val="0"/>
                <w:bCs/>
              </w:rPr>
            </w:pPr>
            <w:r>
              <w:rPr>
                <w:b w:val="0"/>
                <w:bCs/>
              </w:rPr>
              <w:t>项目水平衡图见下图：</w:t>
            </w:r>
          </w:p>
          <w:p>
            <w:pPr>
              <w:pStyle w:val="40"/>
              <w:numPr>
                <w:ilvl w:val="3"/>
                <w:numId w:val="0"/>
              </w:numPr>
              <w:jc w:val="center"/>
              <w:rPr>
                <w:color w:val="0000FF"/>
                <w:u w:val="single"/>
              </w:rPr>
            </w:pPr>
            <w:r>
              <w:drawing>
                <wp:inline distT="0" distB="0" distL="114300" distR="114300">
                  <wp:extent cx="4956175" cy="2406015"/>
                  <wp:effectExtent l="0" t="0" r="15875" b="1333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9"/>
                          <a:stretch>
                            <a:fillRect/>
                          </a:stretch>
                        </pic:blipFill>
                        <pic:spPr>
                          <a:xfrm>
                            <a:off x="0" y="0"/>
                            <a:ext cx="4956175" cy="2406015"/>
                          </a:xfrm>
                          <a:prstGeom prst="rect">
                            <a:avLst/>
                          </a:prstGeom>
                          <a:noFill/>
                          <a:ln>
                            <a:noFill/>
                          </a:ln>
                        </pic:spPr>
                      </pic:pic>
                    </a:graphicData>
                  </a:graphic>
                </wp:inline>
              </w:drawing>
            </w:r>
          </w:p>
          <w:p>
            <w:pPr>
              <w:pStyle w:val="3"/>
              <w:spacing w:line="240" w:lineRule="auto"/>
              <w:ind w:firstLine="0" w:firstLineChars="0"/>
              <w:jc w:val="center"/>
            </w:pPr>
            <w:r>
              <w:rPr>
                <w:b/>
                <w:bCs/>
                <w:sz w:val="21"/>
                <w:u w:val="single"/>
              </w:rPr>
              <w:t xml:space="preserve">图4-1 </w:t>
            </w:r>
            <w:r>
              <w:rPr>
                <w:rFonts w:hint="eastAsia"/>
                <w:b/>
                <w:bCs/>
                <w:sz w:val="21"/>
                <w:u w:val="single"/>
              </w:rPr>
              <w:t>项目</w:t>
            </w:r>
            <w:r>
              <w:rPr>
                <w:b/>
                <w:bCs/>
                <w:sz w:val="21"/>
                <w:u w:val="single"/>
              </w:rPr>
              <w:t>水平衡图（m³/</w:t>
            </w:r>
            <w:r>
              <w:rPr>
                <w:rFonts w:hint="eastAsia"/>
                <w:b/>
                <w:bCs/>
                <w:sz w:val="21"/>
                <w:u w:val="single"/>
              </w:rPr>
              <w:t>a</w:t>
            </w:r>
            <w:r>
              <w:rPr>
                <w:b/>
                <w:bCs/>
                <w:sz w:val="21"/>
                <w:u w:val="single"/>
              </w:rPr>
              <w:t>）</w:t>
            </w:r>
          </w:p>
          <w:p>
            <w:pPr>
              <w:pStyle w:val="40"/>
              <w:numPr>
                <w:ilvl w:val="3"/>
                <w:numId w:val="0"/>
              </w:numPr>
              <w:ind w:left="454"/>
            </w:pPr>
            <w:r>
              <w:rPr>
                <w:rFonts w:hint="eastAsia"/>
              </w:rPr>
              <w:t>4</w:t>
            </w:r>
            <w:r>
              <w:t>、废水处理可行性分析</w:t>
            </w:r>
            <w:bookmarkEnd w:id="88"/>
          </w:p>
          <w:p>
            <w:pPr>
              <w:ind w:firstLine="480" w:firstLineChars="200"/>
              <w:rPr>
                <w:u w:val="single" w:color="auto"/>
              </w:rPr>
            </w:pPr>
            <w:r>
              <w:rPr>
                <w:u w:val="single" w:color="auto"/>
              </w:rPr>
              <w:t>项目生产废水主要污染物是SS，无其他污染物，泥浆的特性取决于它的成分，和矿石的地质条件有关，一般特性是泥浆外观为灰色，均匀有粘性，长时间静止不分层，比重在1.20~1.46之间，PH值为6~7。废水的处理主要为泥水分离，同时把分离后的清水回用于洗砂工序。</w:t>
            </w:r>
            <w:r>
              <w:rPr>
                <w:rFonts w:hint="default" w:ascii="Times New Roman" w:hAnsi="Times New Roman" w:eastAsia="宋体" w:cs="Times New Roman"/>
                <w:snapToGrid w:val="0"/>
                <w:color w:val="000000"/>
                <w:kern w:val="0"/>
                <w:sz w:val="24"/>
                <w:szCs w:val="24"/>
                <w:highlight w:val="none"/>
                <w:u w:val="single" w:color="auto"/>
              </w:rPr>
              <w:t>本项目在洗砂废水</w:t>
            </w:r>
            <w:r>
              <w:rPr>
                <w:rFonts w:hint="default" w:ascii="Times New Roman" w:hAnsi="Times New Roman" w:eastAsia="宋体" w:cs="Times New Roman"/>
                <w:snapToGrid w:val="0"/>
                <w:color w:val="000000"/>
                <w:kern w:val="0"/>
                <w:sz w:val="24"/>
                <w:szCs w:val="24"/>
                <w:highlight w:val="none"/>
                <w:u w:val="single" w:color="auto"/>
                <w:lang w:val="en-US" w:eastAsia="zh-CN"/>
              </w:rPr>
              <w:t>处理</w:t>
            </w:r>
            <w:r>
              <w:rPr>
                <w:rFonts w:hint="default" w:ascii="Times New Roman" w:hAnsi="Times New Roman" w:eastAsia="宋体" w:cs="Times New Roman"/>
                <w:snapToGrid w:val="0"/>
                <w:color w:val="000000"/>
                <w:kern w:val="0"/>
                <w:sz w:val="24"/>
                <w:szCs w:val="24"/>
                <w:highlight w:val="none"/>
                <w:u w:val="single" w:color="auto"/>
              </w:rPr>
              <w:t>过程</w:t>
            </w:r>
            <w:r>
              <w:rPr>
                <w:rFonts w:hint="default" w:ascii="Times New Roman" w:hAnsi="Times New Roman" w:eastAsia="宋体" w:cs="Times New Roman"/>
                <w:snapToGrid w:val="0"/>
                <w:color w:val="000000"/>
                <w:kern w:val="0"/>
                <w:sz w:val="24"/>
                <w:szCs w:val="24"/>
                <w:highlight w:val="none"/>
                <w:u w:val="single" w:color="auto"/>
                <w:lang w:val="en-US" w:eastAsia="zh-CN"/>
              </w:rPr>
              <w:t>主要污染物为悬浮物，悬浮物浓度约在6000~8000mg/L，需添加絮凝剂PAM对污水池废水进行絮凝沉淀。</w:t>
            </w:r>
            <w:r>
              <w:rPr>
                <w:u w:val="single" w:color="auto"/>
              </w:rPr>
              <w:t>废水首先进入深锥浓缩罐，通过沉淀泥浆废水沉降于下层，上清液直接进入清水池，下沉泥浆通过污泥泵送至板框压滤机，经重力楔形脱水、预压、压榨脱水成为泥饼，清水进入清水池回用于洗砂生产线。通过以上工序可去除大部分的泥砂，</w:t>
            </w:r>
            <w:r>
              <w:rPr>
                <w:rFonts w:hint="eastAsia"/>
                <w:u w:val="single" w:color="auto"/>
              </w:rPr>
              <w:t>由于本项目回用水用于洗砂，回用水质要求不高，</w:t>
            </w:r>
            <w:r>
              <w:rPr>
                <w:u w:val="single" w:color="auto"/>
              </w:rPr>
              <w:t>清水池中的水可直接回到洗砂系统中，不外排，进水水质中的SS浓度在30000mg/L左右，出水浓度30mg/L，去除率达到99.9%，出水废水处理的主要目的就是为达标回用，不外排，降低成本费用。</w:t>
            </w:r>
          </w:p>
          <w:p>
            <w:pPr>
              <w:wordWrap w:val="0"/>
              <w:topLinePunct/>
              <w:adjustRightInd w:val="0"/>
              <w:snapToGrid w:val="0"/>
              <w:ind w:firstLine="440" w:firstLineChars="200"/>
              <w:rPr>
                <w:bCs/>
                <w:kern w:val="0"/>
                <w:u w:val="single"/>
              </w:rPr>
            </w:pPr>
            <w:r>
              <w:rPr>
                <w:rFonts w:hint="eastAsia"/>
                <w:bCs/>
                <w:spacing w:val="-10"/>
                <w:u w:val="single"/>
              </w:rPr>
              <w:t>项目厂区实行雨污分流，</w:t>
            </w:r>
            <w:r>
              <w:rPr>
                <w:bCs/>
                <w:spacing w:val="-10"/>
                <w:u w:val="single"/>
              </w:rPr>
              <w:t>本</w:t>
            </w:r>
            <w:r>
              <w:rPr>
                <w:bCs/>
                <w:kern w:val="0"/>
                <w:u w:val="single"/>
              </w:rPr>
              <w:t>项目建设完成后生活污水量为</w:t>
            </w:r>
            <w:r>
              <w:rPr>
                <w:rFonts w:hint="eastAsia"/>
                <w:u w:val="single"/>
              </w:rPr>
              <w:t>0.64</w:t>
            </w:r>
            <w:r>
              <w:rPr>
                <w:kern w:val="0"/>
                <w:u w:val="single"/>
              </w:rPr>
              <w:t>m</w:t>
            </w:r>
            <w:r>
              <w:rPr>
                <w:kern w:val="0"/>
                <w:u w:val="single"/>
                <w:vertAlign w:val="superscript"/>
              </w:rPr>
              <w:t>3</w:t>
            </w:r>
            <w:r>
              <w:rPr>
                <w:kern w:val="0"/>
                <w:u w:val="single"/>
              </w:rPr>
              <w:t>/d(</w:t>
            </w:r>
            <w:r>
              <w:rPr>
                <w:rFonts w:hint="eastAsia"/>
                <w:kern w:val="0"/>
                <w:u w:val="single"/>
              </w:rPr>
              <w:t>192</w:t>
            </w:r>
            <w:r>
              <w:rPr>
                <w:kern w:val="0"/>
                <w:u w:val="single"/>
              </w:rPr>
              <w:t>m</w:t>
            </w:r>
            <w:r>
              <w:rPr>
                <w:kern w:val="0"/>
                <w:u w:val="single"/>
                <w:vertAlign w:val="superscript"/>
              </w:rPr>
              <w:t>3</w:t>
            </w:r>
            <w:r>
              <w:rPr>
                <w:kern w:val="0"/>
                <w:u w:val="single"/>
              </w:rPr>
              <w:t>/a)</w:t>
            </w:r>
            <w:r>
              <w:rPr>
                <w:bCs/>
                <w:kern w:val="0"/>
                <w:u w:val="single"/>
              </w:rPr>
              <w:t>，</w:t>
            </w:r>
            <w:r>
              <w:rPr>
                <w:rFonts w:hint="eastAsia"/>
                <w:bCs/>
                <w:kern w:val="0"/>
                <w:u w:val="single"/>
              </w:rPr>
              <w:t>初期雨水产生量为</w:t>
            </w:r>
            <w:r>
              <w:rPr>
                <w:rFonts w:hint="eastAsia"/>
                <w:u w:val="single"/>
                <w:lang w:val="en-US" w:eastAsia="zh-CN"/>
              </w:rPr>
              <w:t>115.209</w:t>
            </w:r>
            <w:r>
              <w:rPr>
                <w:u w:val="single"/>
              </w:rPr>
              <w:t>m</w:t>
            </w:r>
            <w:r>
              <w:rPr>
                <w:u w:val="single"/>
                <w:vertAlign w:val="superscript"/>
              </w:rPr>
              <w:t>3</w:t>
            </w:r>
            <w:r>
              <w:rPr>
                <w:u w:val="single"/>
              </w:rPr>
              <w:t>/次</w:t>
            </w:r>
            <w:r>
              <w:rPr>
                <w:rFonts w:hint="eastAsia"/>
                <w:u w:val="single"/>
              </w:rPr>
              <w:t>，</w:t>
            </w:r>
            <w:r>
              <w:rPr>
                <w:bCs/>
                <w:kern w:val="0"/>
                <w:u w:val="single"/>
              </w:rPr>
              <w:t>生产</w:t>
            </w:r>
            <w:r>
              <w:rPr>
                <w:rFonts w:hint="eastAsia"/>
                <w:bCs/>
                <w:kern w:val="0"/>
                <w:u w:val="single"/>
                <w:lang w:eastAsia="zh-CN"/>
              </w:rPr>
              <w:t>工艺</w:t>
            </w:r>
            <w:r>
              <w:rPr>
                <w:bCs/>
                <w:kern w:val="0"/>
                <w:u w:val="single"/>
              </w:rPr>
              <w:t>废水量为</w:t>
            </w:r>
            <w:r>
              <w:rPr>
                <w:rFonts w:hint="eastAsia"/>
                <w:u w:val="single"/>
              </w:rPr>
              <w:t>492.75</w:t>
            </w:r>
            <w:r>
              <w:rPr>
                <w:u w:val="single"/>
              </w:rPr>
              <w:t>m</w:t>
            </w:r>
            <w:r>
              <w:rPr>
                <w:u w:val="single"/>
                <w:vertAlign w:val="superscript"/>
              </w:rPr>
              <w:t>3</w:t>
            </w:r>
            <w:r>
              <w:rPr>
                <w:u w:val="single"/>
              </w:rPr>
              <w:t>/d (</w:t>
            </w:r>
            <w:r>
              <w:rPr>
                <w:rFonts w:hint="eastAsia"/>
                <w:u w:val="single"/>
              </w:rPr>
              <w:t>147824.55</w:t>
            </w:r>
            <w:r>
              <w:rPr>
                <w:u w:val="single"/>
              </w:rPr>
              <w:t>m</w:t>
            </w:r>
            <w:r>
              <w:rPr>
                <w:u w:val="single"/>
                <w:vertAlign w:val="superscript"/>
              </w:rPr>
              <w:t>3</w:t>
            </w:r>
            <w:r>
              <w:rPr>
                <w:u w:val="single"/>
              </w:rPr>
              <w:t>/a)</w:t>
            </w:r>
            <w:r>
              <w:rPr>
                <w:rFonts w:hint="eastAsia"/>
                <w:u w:val="single"/>
                <w:lang w:eastAsia="zh-CN"/>
              </w:rPr>
              <w:t>，洗车废水量为</w:t>
            </w:r>
            <w:r>
              <w:rPr>
                <w:rFonts w:hint="eastAsia"/>
                <w:u w:val="single"/>
                <w:lang w:val="en-US" w:eastAsia="zh-CN"/>
              </w:rPr>
              <w:t>26.88</w:t>
            </w:r>
            <w:r>
              <w:rPr>
                <w:rFonts w:hint="eastAsia"/>
                <w:u w:val="single"/>
              </w:rPr>
              <w:t>m</w:t>
            </w:r>
            <w:r>
              <w:rPr>
                <w:rFonts w:hint="eastAsia"/>
                <w:u w:val="single"/>
                <w:vertAlign w:val="superscript"/>
              </w:rPr>
              <w:t>3</w:t>
            </w:r>
            <w:r>
              <w:rPr>
                <w:rFonts w:hint="eastAsia"/>
                <w:u w:val="single"/>
              </w:rPr>
              <w:t>/d（</w:t>
            </w:r>
            <w:r>
              <w:rPr>
                <w:rFonts w:hint="eastAsia"/>
                <w:u w:val="single"/>
                <w:lang w:val="en-US" w:eastAsia="zh-CN"/>
              </w:rPr>
              <w:t>8064</w:t>
            </w:r>
            <w:r>
              <w:rPr>
                <w:rFonts w:hint="eastAsia"/>
                <w:u w:val="single"/>
              </w:rPr>
              <w:t>m</w:t>
            </w:r>
            <w:r>
              <w:rPr>
                <w:rFonts w:hint="eastAsia"/>
                <w:u w:val="single"/>
                <w:vertAlign w:val="superscript"/>
              </w:rPr>
              <w:t>3</w:t>
            </w:r>
            <w:r>
              <w:rPr>
                <w:rFonts w:hint="eastAsia"/>
                <w:u w:val="single"/>
              </w:rPr>
              <w:t>/a）</w:t>
            </w:r>
            <w:r>
              <w:rPr>
                <w:rFonts w:hint="eastAsia"/>
                <w:bCs/>
                <w:kern w:val="0"/>
                <w:u w:val="single"/>
              </w:rPr>
              <w:t>。</w:t>
            </w:r>
          </w:p>
          <w:p>
            <w:pPr>
              <w:ind w:firstLine="480" w:firstLineChars="200"/>
              <w:rPr>
                <w:rFonts w:cs="宋体"/>
                <w:lang w:bidi="ar"/>
              </w:rPr>
            </w:pPr>
            <w:r>
              <w:rPr>
                <w:rFonts w:hint="eastAsia" w:cs="宋体"/>
                <w:u w:val="single"/>
                <w:lang w:bidi="ar"/>
              </w:rPr>
              <w:t>根据工程分析，项目</w:t>
            </w:r>
            <w:r>
              <w:rPr>
                <w:rFonts w:hint="eastAsia" w:cs="宋体"/>
                <w:u w:val="single"/>
                <w:lang w:eastAsia="zh-CN" w:bidi="ar"/>
              </w:rPr>
              <w:t>生产工艺废水</w:t>
            </w:r>
            <w:r>
              <w:rPr>
                <w:rFonts w:hint="eastAsia" w:cs="宋体"/>
                <w:u w:val="single"/>
                <w:lang w:bidi="ar"/>
              </w:rPr>
              <w:t>量为</w:t>
            </w:r>
            <w:r>
              <w:rPr>
                <w:rFonts w:hint="eastAsia"/>
                <w:u w:val="single"/>
              </w:rPr>
              <w:t>492.75</w:t>
            </w:r>
            <w:r>
              <w:rPr>
                <w:u w:val="single"/>
              </w:rPr>
              <w:t>m</w:t>
            </w:r>
            <w:r>
              <w:rPr>
                <w:u w:val="single"/>
                <w:vertAlign w:val="superscript"/>
              </w:rPr>
              <w:t>3</w:t>
            </w:r>
            <w:r>
              <w:rPr>
                <w:u w:val="single"/>
              </w:rPr>
              <w:t>/d (</w:t>
            </w:r>
            <w:r>
              <w:rPr>
                <w:rFonts w:hint="eastAsia"/>
                <w:u w:val="single"/>
              </w:rPr>
              <w:t>147824.55</w:t>
            </w:r>
            <w:r>
              <w:rPr>
                <w:u w:val="single"/>
              </w:rPr>
              <w:t>m</w:t>
            </w:r>
            <w:r>
              <w:rPr>
                <w:u w:val="single"/>
                <w:vertAlign w:val="superscript"/>
              </w:rPr>
              <w:t>3</w:t>
            </w:r>
            <w:r>
              <w:rPr>
                <w:u w:val="single"/>
              </w:rPr>
              <w:t>/a)</w:t>
            </w:r>
            <w:r>
              <w:rPr>
                <w:rFonts w:hint="eastAsia"/>
                <w:u w:val="single"/>
                <w:lang w:bidi="ar"/>
              </w:rPr>
              <w:t>，洗砂工序按300天/年计，每天1班8小时工作</w:t>
            </w:r>
            <w:r>
              <w:rPr>
                <w:rFonts w:hint="eastAsia" w:cs="宋体"/>
                <w:u w:val="single"/>
                <w:lang w:bidi="ar"/>
              </w:rPr>
              <w:t>）</w:t>
            </w:r>
            <w:r>
              <w:rPr>
                <w:rFonts w:hint="eastAsia" w:cs="宋体"/>
                <w:u w:val="single"/>
                <w:lang w:eastAsia="zh-CN" w:bidi="ar"/>
              </w:rPr>
              <w:t>生产工艺废水</w:t>
            </w:r>
            <w:r>
              <w:rPr>
                <w:rFonts w:hint="eastAsia" w:cs="宋体"/>
                <w:u w:val="single"/>
                <w:lang w:bidi="ar"/>
              </w:rPr>
              <w:t>经沉淀池絮凝沉淀处理，污水沉淀时间约为1小时钟左右，因此，沉淀池的容量设计应不小于</w:t>
            </w:r>
            <w:r>
              <w:rPr>
                <w:rFonts w:hint="eastAsia"/>
                <w:u w:val="single"/>
                <w:lang w:bidi="ar"/>
              </w:rPr>
              <w:t>62</w:t>
            </w:r>
            <w:r>
              <w:rPr>
                <w:u w:val="single"/>
                <w:lang w:bidi="ar"/>
              </w:rPr>
              <w:t>m</w:t>
            </w:r>
            <w:r>
              <w:rPr>
                <w:u w:val="single"/>
                <w:vertAlign w:val="superscript"/>
                <w:lang w:bidi="ar"/>
              </w:rPr>
              <w:t>3</w:t>
            </w:r>
            <w:r>
              <w:rPr>
                <w:rFonts w:hint="eastAsia" w:cs="宋体"/>
                <w:u w:val="single"/>
                <w:lang w:bidi="ar"/>
              </w:rPr>
              <w:t>。经现场核查，项目现已设置一个75m³沉淀池及一个27m³清水池合理。</w:t>
            </w:r>
            <w:r>
              <w:rPr>
                <w:rFonts w:hint="eastAsia"/>
                <w:bCs/>
                <w:kern w:val="0"/>
                <w:u w:val="single"/>
              </w:rPr>
              <w:t>厂区内已设置有一套</w:t>
            </w:r>
            <w:r>
              <w:rPr>
                <w:rFonts w:hint="eastAsia"/>
                <w:bCs/>
                <w:kern w:val="0"/>
                <w:u w:val="single"/>
                <w:lang w:val="en-US" w:eastAsia="zh-CN"/>
              </w:rPr>
              <w:t>5</w:t>
            </w:r>
            <w:r>
              <w:rPr>
                <w:rFonts w:hint="eastAsia"/>
                <w:bCs/>
                <w:kern w:val="0"/>
                <w:u w:val="single"/>
              </w:rPr>
              <w:t>m³的隔油化粪池，</w:t>
            </w:r>
            <w:r>
              <w:rPr>
                <w:rFonts w:hint="eastAsia"/>
                <w:szCs w:val="32"/>
                <w:u w:val="single"/>
                <w:lang w:eastAsia="zh-CN"/>
              </w:rPr>
              <w:t>在雨季</w:t>
            </w:r>
            <w:r>
              <w:rPr>
                <w:rFonts w:hint="eastAsia"/>
                <w:szCs w:val="32"/>
                <w:u w:val="single"/>
              </w:rPr>
              <w:t>可容纳生活污水，</w:t>
            </w:r>
            <w:r>
              <w:rPr>
                <w:rFonts w:hint="eastAsia"/>
                <w:szCs w:val="32"/>
                <w:u w:val="single"/>
                <w:lang w:eastAsia="zh-CN"/>
              </w:rPr>
              <w:t>且可保证生活污水雨季时约</w:t>
            </w:r>
            <w:r>
              <w:rPr>
                <w:rFonts w:hint="eastAsia"/>
                <w:szCs w:val="32"/>
                <w:u w:val="single"/>
                <w:lang w:val="en-US" w:eastAsia="zh-CN"/>
              </w:rPr>
              <w:t>7天</w:t>
            </w:r>
            <w:r>
              <w:rPr>
                <w:rFonts w:hint="eastAsia"/>
                <w:szCs w:val="32"/>
                <w:u w:val="single"/>
                <w:lang w:eastAsia="zh-CN"/>
              </w:rPr>
              <w:t>不外排</w:t>
            </w:r>
            <w:r>
              <w:rPr>
                <w:rFonts w:hint="eastAsia"/>
                <w:bCs/>
                <w:kern w:val="0"/>
                <w:u w:val="single"/>
              </w:rPr>
              <w:t>。因厂区地势西高东低，建议在厂区西面设置一个不小于</w:t>
            </w:r>
            <w:r>
              <w:rPr>
                <w:rFonts w:hint="eastAsia"/>
                <w:bCs/>
                <w:kern w:val="0"/>
                <w:u w:val="single"/>
                <w:lang w:val="en-US" w:eastAsia="zh-CN"/>
              </w:rPr>
              <w:t>116</w:t>
            </w:r>
            <w:r>
              <w:rPr>
                <w:rFonts w:hint="eastAsia"/>
                <w:bCs/>
                <w:kern w:val="0"/>
                <w:u w:val="single"/>
              </w:rPr>
              <w:t>m³的初期雨水池。</w:t>
            </w:r>
            <w:r>
              <w:rPr>
                <w:rFonts w:hint="eastAsia"/>
                <w:bCs/>
                <w:kern w:val="0"/>
                <w:u w:val="single"/>
                <w:lang w:eastAsia="zh-CN"/>
              </w:rPr>
              <w:t>且建议在入口厂区道路旁设置一个</w:t>
            </w:r>
            <w:r>
              <w:rPr>
                <w:rFonts w:hint="eastAsia"/>
                <w:bCs/>
                <w:kern w:val="0"/>
                <w:u w:val="single"/>
                <w:lang w:val="en-US" w:eastAsia="zh-CN"/>
              </w:rPr>
              <w:t>27m³的洗车平台沉淀池。</w:t>
            </w:r>
            <w:r>
              <w:rPr>
                <w:rFonts w:hint="eastAsia"/>
                <w:kern w:val="24"/>
                <w:u w:val="single"/>
              </w:rPr>
              <w:t>环评要求项目改造建成后，各类废水处理设施需附有环保标识。</w:t>
            </w:r>
          </w:p>
          <w:p>
            <w:pPr>
              <w:ind w:firstLine="480" w:firstLineChars="200"/>
              <w:rPr>
                <w:rFonts w:cs="宋体"/>
                <w:b w:val="0"/>
                <w:kern w:val="0"/>
                <w:lang w:bidi="ar"/>
              </w:rPr>
            </w:pPr>
            <w:r>
              <w:rPr>
                <w:rFonts w:hint="eastAsia" w:cs="宋体"/>
                <w:lang w:bidi="ar"/>
              </w:rPr>
              <w:t>另外，</w:t>
            </w:r>
            <w:r>
              <w:rPr>
                <w:rFonts w:hint="eastAsia" w:cs="宋体"/>
                <w:kern w:val="0"/>
                <w:lang w:bidi="ar"/>
              </w:rPr>
              <w:t>本评价要求建设单位定期、及时对沉淀池底泥浆清理，以免影响沉淀池容积。为防止废水下渗引起地下水的污染问题，或者废水溢出沉淀池，要求项目建设单位对沉淀池采取防渗漏、防溢出处理。本项目生产废水不外排，不会对区域地表水产生影响。</w:t>
            </w:r>
            <w:bookmarkStart w:id="89" w:name="_Toc68160395"/>
            <w:bookmarkStart w:id="90" w:name="_Toc22132"/>
          </w:p>
          <w:p>
            <w:pPr>
              <w:pStyle w:val="34"/>
              <w:numPr>
                <w:ilvl w:val="2"/>
                <w:numId w:val="0"/>
              </w:numPr>
              <w:ind w:firstLine="481" w:firstLineChars="200"/>
            </w:pPr>
            <w:r>
              <w:t>4.2.3、噪声</w:t>
            </w:r>
            <w:bookmarkEnd w:id="89"/>
            <w:bookmarkEnd w:id="90"/>
          </w:p>
          <w:p>
            <w:pPr>
              <w:pStyle w:val="40"/>
              <w:numPr>
                <w:ilvl w:val="3"/>
                <w:numId w:val="0"/>
              </w:numPr>
              <w:ind w:left="454"/>
            </w:pPr>
            <w:bookmarkStart w:id="91" w:name="_Toc68160396"/>
            <w:bookmarkStart w:id="92" w:name="_Toc3919"/>
            <w:r>
              <w:t>1、噪声源强分析</w:t>
            </w:r>
            <w:bookmarkEnd w:id="91"/>
            <w:bookmarkEnd w:id="92"/>
          </w:p>
          <w:p>
            <w:pPr>
              <w:autoSpaceDE w:val="0"/>
              <w:autoSpaceDN w:val="0"/>
              <w:adjustRightInd w:val="0"/>
              <w:snapToGrid w:val="0"/>
              <w:ind w:firstLine="480" w:firstLineChars="200"/>
              <w:rPr>
                <w:rFonts w:hint="eastAsia" w:eastAsia="宋体"/>
                <w:lang w:val="en-US" w:eastAsia="zh-CN"/>
              </w:rPr>
            </w:pPr>
            <w:r>
              <w:t>项目噪声主要来源于颚破机、振动筛、输送带、洗砂机、水泵、板框压滤机等高噪设备运行产生的噪声，</w:t>
            </w:r>
            <w:r>
              <w:rPr>
                <w:rFonts w:hint="eastAsia"/>
              </w:rPr>
              <w:t>经同类项目类比，</w:t>
            </w:r>
            <w:r>
              <w:t>其声压值在70~90</w:t>
            </w:r>
            <w:r>
              <w:rPr>
                <w:szCs w:val="22"/>
              </w:rPr>
              <w:t xml:space="preserve"> </w:t>
            </w:r>
            <w:r>
              <w:t>dB（A）之间</w:t>
            </w:r>
            <w:r>
              <w:rPr>
                <w:rFonts w:hint="eastAsia"/>
              </w:rPr>
              <w:t>，</w:t>
            </w:r>
            <w:r>
              <w:rPr>
                <w:rFonts w:hint="eastAsia"/>
                <w:lang w:eastAsia="zh-CN"/>
              </w:rPr>
              <w:t>按照《环境影响评价技术导则</w:t>
            </w:r>
            <w:r>
              <w:rPr>
                <w:rFonts w:hint="eastAsia"/>
                <w:lang w:val="en-US" w:eastAsia="zh-CN"/>
              </w:rPr>
              <w:t xml:space="preserve"> 声环境</w:t>
            </w:r>
            <w:r>
              <w:rPr>
                <w:rFonts w:hint="eastAsia"/>
                <w:lang w:eastAsia="zh-CN"/>
              </w:rPr>
              <w:t>》（</w:t>
            </w:r>
            <w:r>
              <w:rPr>
                <w:rFonts w:hint="eastAsia"/>
                <w:lang w:val="en-US" w:eastAsia="zh-CN"/>
              </w:rPr>
              <w:t>HJ2.4-2021</w:t>
            </w:r>
            <w:r>
              <w:rPr>
                <w:rFonts w:hint="eastAsia"/>
                <w:lang w:eastAsia="zh-CN"/>
              </w:rPr>
              <w:t>）附录</w:t>
            </w:r>
            <w:r>
              <w:rPr>
                <w:rFonts w:hint="eastAsia"/>
                <w:lang w:val="en-US" w:eastAsia="zh-CN"/>
              </w:rPr>
              <w:t>D中表D.1的要求，</w:t>
            </w:r>
            <w:r>
              <w:t>本项目噪声源分布、源强见下表。</w:t>
            </w:r>
          </w:p>
          <w:p>
            <w:pPr>
              <w:pStyle w:val="21"/>
              <w:spacing w:after="0"/>
              <w:ind w:firstLine="221"/>
              <w:jc w:val="center"/>
              <w:rPr>
                <w:rFonts w:ascii="Times New Roman" w:hAnsi="Times New Roman" w:eastAsia="宋体" w:cs="Times New Roman"/>
                <w:b/>
                <w:bCs/>
                <w:kern w:val="0"/>
                <w:sz w:val="22"/>
                <w:szCs w:val="22"/>
              </w:rPr>
            </w:pPr>
            <w:r>
              <w:rPr>
                <w:rFonts w:ascii="Times New Roman" w:hAnsi="Times New Roman" w:eastAsia="宋体" w:cs="Times New Roman"/>
                <w:b/>
                <w:bCs/>
                <w:kern w:val="0"/>
                <w:sz w:val="22"/>
                <w:szCs w:val="22"/>
              </w:rPr>
              <w:t>表4-</w:t>
            </w:r>
            <w:r>
              <w:rPr>
                <w:rFonts w:hint="eastAsia" w:ascii="Times New Roman" w:hAnsi="Times New Roman" w:eastAsia="宋体" w:cs="Times New Roman"/>
                <w:b/>
                <w:bCs/>
                <w:kern w:val="0"/>
                <w:sz w:val="22"/>
                <w:szCs w:val="22"/>
                <w:lang w:val="en-US" w:eastAsia="zh-CN"/>
              </w:rPr>
              <w:t>9</w:t>
            </w:r>
            <w:r>
              <w:rPr>
                <w:rFonts w:ascii="Times New Roman" w:hAnsi="Times New Roman" w:eastAsia="宋体" w:cs="Times New Roman"/>
                <w:b/>
                <w:bCs/>
                <w:kern w:val="0"/>
                <w:sz w:val="22"/>
                <w:szCs w:val="22"/>
              </w:rPr>
              <w:t xml:space="preserve"> 工业企业噪声源强调查清单（室外声源）</w:t>
            </w:r>
          </w:p>
          <w:tbl>
            <w:tblPr>
              <w:tblStyle w:val="22"/>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
              <w:gridCol w:w="1239"/>
              <w:gridCol w:w="742"/>
              <w:gridCol w:w="742"/>
              <w:gridCol w:w="743"/>
              <w:gridCol w:w="1213"/>
              <w:gridCol w:w="1643"/>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0" w:hRule="exact"/>
                <w:jc w:val="center"/>
              </w:trPr>
              <w:tc>
                <w:tcPr>
                  <w:tcW w:w="524" w:type="dxa"/>
                  <w:vMerge w:val="restart"/>
                  <w:vAlign w:val="center"/>
                </w:tcPr>
                <w:p>
                  <w:pPr>
                    <w:adjustRightInd w:val="0"/>
                    <w:snapToGrid w:val="0"/>
                    <w:spacing w:line="240" w:lineRule="auto"/>
                    <w:jc w:val="center"/>
                    <w:rPr>
                      <w:sz w:val="21"/>
                      <w:szCs w:val="21"/>
                    </w:rPr>
                  </w:pPr>
                  <w:r>
                    <w:rPr>
                      <w:b/>
                      <w:sz w:val="21"/>
                      <w:szCs w:val="21"/>
                    </w:rPr>
                    <w:t>序号</w:t>
                  </w:r>
                </w:p>
              </w:tc>
              <w:tc>
                <w:tcPr>
                  <w:tcW w:w="1363" w:type="dxa"/>
                  <w:vMerge w:val="restart"/>
                  <w:vAlign w:val="center"/>
                </w:tcPr>
                <w:p>
                  <w:pPr>
                    <w:adjustRightInd w:val="0"/>
                    <w:snapToGrid w:val="0"/>
                    <w:spacing w:line="240" w:lineRule="auto"/>
                    <w:jc w:val="center"/>
                    <w:rPr>
                      <w:sz w:val="21"/>
                      <w:szCs w:val="21"/>
                    </w:rPr>
                  </w:pPr>
                  <w:r>
                    <w:rPr>
                      <w:b/>
                      <w:sz w:val="21"/>
                      <w:szCs w:val="21"/>
                    </w:rPr>
                    <w:t>声源名称</w:t>
                  </w:r>
                </w:p>
              </w:tc>
              <w:tc>
                <w:tcPr>
                  <w:tcW w:w="2419" w:type="dxa"/>
                  <w:gridSpan w:val="3"/>
                  <w:vAlign w:val="center"/>
                </w:tcPr>
                <w:p>
                  <w:pPr>
                    <w:adjustRightInd w:val="0"/>
                    <w:snapToGrid w:val="0"/>
                    <w:spacing w:line="240" w:lineRule="auto"/>
                    <w:jc w:val="center"/>
                    <w:rPr>
                      <w:sz w:val="21"/>
                      <w:szCs w:val="21"/>
                    </w:rPr>
                  </w:pPr>
                  <w:r>
                    <w:rPr>
                      <w:b/>
                      <w:sz w:val="21"/>
                      <w:szCs w:val="21"/>
                    </w:rPr>
                    <w:t>空间相对位置/m</w:t>
                  </w:r>
                </w:p>
              </w:tc>
              <w:tc>
                <w:tcPr>
                  <w:tcW w:w="1334" w:type="dxa"/>
                  <w:vAlign w:val="center"/>
                </w:tcPr>
                <w:p>
                  <w:pPr>
                    <w:adjustRightInd w:val="0"/>
                    <w:snapToGrid w:val="0"/>
                    <w:spacing w:line="240" w:lineRule="auto"/>
                    <w:jc w:val="center"/>
                    <w:rPr>
                      <w:sz w:val="21"/>
                      <w:szCs w:val="21"/>
                    </w:rPr>
                  </w:pPr>
                  <w:r>
                    <w:rPr>
                      <w:b/>
                      <w:sz w:val="21"/>
                      <w:szCs w:val="21"/>
                    </w:rPr>
                    <w:t>声源源强</w:t>
                  </w:r>
                </w:p>
              </w:tc>
              <w:tc>
                <w:tcPr>
                  <w:tcW w:w="1817" w:type="dxa"/>
                  <w:vMerge w:val="restart"/>
                  <w:vAlign w:val="center"/>
                </w:tcPr>
                <w:p>
                  <w:pPr>
                    <w:adjustRightInd w:val="0"/>
                    <w:snapToGrid w:val="0"/>
                    <w:spacing w:line="240" w:lineRule="auto"/>
                    <w:jc w:val="center"/>
                    <w:rPr>
                      <w:b/>
                      <w:sz w:val="21"/>
                      <w:szCs w:val="21"/>
                    </w:rPr>
                  </w:pPr>
                  <w:r>
                    <w:rPr>
                      <w:b/>
                      <w:sz w:val="21"/>
                      <w:szCs w:val="21"/>
                    </w:rPr>
                    <w:t>声源</w:t>
                  </w:r>
                </w:p>
                <w:p>
                  <w:pPr>
                    <w:adjustRightInd w:val="0"/>
                    <w:snapToGrid w:val="0"/>
                    <w:spacing w:line="240" w:lineRule="auto"/>
                    <w:jc w:val="center"/>
                    <w:rPr>
                      <w:sz w:val="21"/>
                      <w:szCs w:val="21"/>
                    </w:rPr>
                  </w:pPr>
                  <w:r>
                    <w:rPr>
                      <w:b/>
                      <w:sz w:val="21"/>
                      <w:szCs w:val="21"/>
                    </w:rPr>
                    <w:t>控制措施</w:t>
                  </w:r>
                </w:p>
              </w:tc>
              <w:tc>
                <w:tcPr>
                  <w:tcW w:w="998" w:type="dxa"/>
                  <w:vMerge w:val="restart"/>
                  <w:vAlign w:val="center"/>
                </w:tcPr>
                <w:p>
                  <w:pPr>
                    <w:adjustRightInd w:val="0"/>
                    <w:snapToGrid w:val="0"/>
                    <w:spacing w:line="240" w:lineRule="auto"/>
                    <w:jc w:val="center"/>
                    <w:rPr>
                      <w:b/>
                      <w:sz w:val="21"/>
                      <w:szCs w:val="21"/>
                    </w:rPr>
                  </w:pPr>
                  <w:r>
                    <w:rPr>
                      <w:b/>
                      <w:sz w:val="21"/>
                      <w:szCs w:val="21"/>
                    </w:rPr>
                    <w:t>运行</w:t>
                  </w:r>
                </w:p>
                <w:p>
                  <w:pPr>
                    <w:adjustRightInd w:val="0"/>
                    <w:snapToGrid w:val="0"/>
                    <w:spacing w:line="240" w:lineRule="auto"/>
                    <w:jc w:val="center"/>
                    <w:rPr>
                      <w:sz w:val="21"/>
                      <w:szCs w:val="21"/>
                    </w:rPr>
                  </w:pPr>
                  <w:r>
                    <w:rPr>
                      <w:b/>
                      <w:sz w:val="21"/>
                      <w:szCs w:val="21"/>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2" w:hRule="atLeast"/>
                <w:jc w:val="center"/>
              </w:trPr>
              <w:tc>
                <w:tcPr>
                  <w:tcW w:w="524" w:type="dxa"/>
                  <w:vMerge w:val="continue"/>
                  <w:shd w:val="clear" w:color="auto" w:fill="FFFFFF"/>
                  <w:vAlign w:val="center"/>
                </w:tcPr>
                <w:p>
                  <w:pPr>
                    <w:adjustRightInd w:val="0"/>
                    <w:snapToGrid w:val="0"/>
                    <w:spacing w:line="240" w:lineRule="auto"/>
                    <w:jc w:val="center"/>
                    <w:rPr>
                      <w:sz w:val="21"/>
                      <w:szCs w:val="21"/>
                    </w:rPr>
                  </w:pPr>
                </w:p>
              </w:tc>
              <w:tc>
                <w:tcPr>
                  <w:tcW w:w="1363" w:type="dxa"/>
                  <w:vMerge w:val="continue"/>
                  <w:shd w:val="clear" w:color="auto" w:fill="FFFFFF"/>
                  <w:vAlign w:val="center"/>
                </w:tcPr>
                <w:p>
                  <w:pPr>
                    <w:adjustRightInd w:val="0"/>
                    <w:snapToGrid w:val="0"/>
                    <w:spacing w:line="240" w:lineRule="auto"/>
                    <w:jc w:val="center"/>
                    <w:rPr>
                      <w:sz w:val="21"/>
                      <w:szCs w:val="21"/>
                    </w:rPr>
                  </w:pPr>
                </w:p>
              </w:tc>
              <w:tc>
                <w:tcPr>
                  <w:tcW w:w="806" w:type="dxa"/>
                  <w:shd w:val="clear" w:color="auto" w:fill="FFFFFF"/>
                  <w:vAlign w:val="center"/>
                </w:tcPr>
                <w:p>
                  <w:pPr>
                    <w:adjustRightInd w:val="0"/>
                    <w:snapToGrid w:val="0"/>
                    <w:spacing w:line="240" w:lineRule="auto"/>
                    <w:jc w:val="center"/>
                    <w:rPr>
                      <w:sz w:val="21"/>
                      <w:szCs w:val="21"/>
                    </w:rPr>
                  </w:pPr>
                  <w:r>
                    <w:rPr>
                      <w:sz w:val="21"/>
                      <w:szCs w:val="21"/>
                    </w:rPr>
                    <w:t>X</w:t>
                  </w:r>
                </w:p>
              </w:tc>
              <w:tc>
                <w:tcPr>
                  <w:tcW w:w="806" w:type="dxa"/>
                  <w:shd w:val="clear" w:color="auto" w:fill="FFFFFF"/>
                  <w:vAlign w:val="center"/>
                </w:tcPr>
                <w:p>
                  <w:pPr>
                    <w:adjustRightInd w:val="0"/>
                    <w:snapToGrid w:val="0"/>
                    <w:spacing w:line="240" w:lineRule="auto"/>
                    <w:jc w:val="center"/>
                    <w:rPr>
                      <w:sz w:val="21"/>
                      <w:szCs w:val="21"/>
                    </w:rPr>
                  </w:pPr>
                  <w:r>
                    <w:rPr>
                      <w:sz w:val="21"/>
                      <w:szCs w:val="21"/>
                    </w:rPr>
                    <w:t>Y</w:t>
                  </w:r>
                </w:p>
              </w:tc>
              <w:tc>
                <w:tcPr>
                  <w:tcW w:w="807" w:type="dxa"/>
                  <w:shd w:val="clear" w:color="auto" w:fill="FFFFFF"/>
                  <w:vAlign w:val="center"/>
                </w:tcPr>
                <w:p>
                  <w:pPr>
                    <w:adjustRightInd w:val="0"/>
                    <w:snapToGrid w:val="0"/>
                    <w:spacing w:line="240" w:lineRule="auto"/>
                    <w:jc w:val="center"/>
                    <w:rPr>
                      <w:sz w:val="21"/>
                      <w:szCs w:val="21"/>
                    </w:rPr>
                  </w:pPr>
                  <w:r>
                    <w:rPr>
                      <w:sz w:val="21"/>
                      <w:szCs w:val="21"/>
                    </w:rPr>
                    <w:t>Z</w:t>
                  </w:r>
                </w:p>
              </w:tc>
              <w:tc>
                <w:tcPr>
                  <w:tcW w:w="1334" w:type="dxa"/>
                  <w:shd w:val="clear" w:color="auto" w:fill="FFFFFF"/>
                  <w:vAlign w:val="center"/>
                </w:tcPr>
                <w:p>
                  <w:pPr>
                    <w:adjustRightInd w:val="0"/>
                    <w:snapToGrid w:val="0"/>
                    <w:spacing w:line="240" w:lineRule="auto"/>
                    <w:jc w:val="center"/>
                    <w:rPr>
                      <w:sz w:val="21"/>
                      <w:szCs w:val="21"/>
                    </w:rPr>
                  </w:pPr>
                  <w:r>
                    <w:rPr>
                      <w:sz w:val="21"/>
                      <w:szCs w:val="21"/>
                    </w:rPr>
                    <w:t>声功率级/dB(A)</w:t>
                  </w:r>
                </w:p>
              </w:tc>
              <w:tc>
                <w:tcPr>
                  <w:tcW w:w="1817" w:type="dxa"/>
                  <w:vMerge w:val="continue"/>
                  <w:shd w:val="clear" w:color="auto" w:fill="FFFFFF"/>
                  <w:vAlign w:val="center"/>
                </w:tcPr>
                <w:p>
                  <w:pPr>
                    <w:adjustRightInd w:val="0"/>
                    <w:snapToGrid w:val="0"/>
                    <w:spacing w:line="240" w:lineRule="auto"/>
                    <w:jc w:val="center"/>
                    <w:rPr>
                      <w:sz w:val="21"/>
                      <w:szCs w:val="21"/>
                    </w:rPr>
                  </w:pPr>
                </w:p>
              </w:tc>
              <w:tc>
                <w:tcPr>
                  <w:tcW w:w="998" w:type="dxa"/>
                  <w:vMerge w:val="continue"/>
                  <w:shd w:val="clear" w:color="auto" w:fill="FFFFFF"/>
                  <w:vAlign w:val="center"/>
                </w:tcPr>
                <w:p>
                  <w:pPr>
                    <w:adjustRightInd w:val="0"/>
                    <w:snapToGrid w:val="0"/>
                    <w:spacing w:line="240" w:lineRule="auto"/>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482" w:hRule="exact"/>
                <w:jc w:val="center"/>
              </w:trPr>
              <w:tc>
                <w:tcPr>
                  <w:tcW w:w="524" w:type="dxa"/>
                  <w:shd w:val="clear" w:color="auto" w:fill="FFFFFF"/>
                  <w:vAlign w:val="center"/>
                </w:tcPr>
                <w:p>
                  <w:pPr>
                    <w:adjustRightInd w:val="0"/>
                    <w:snapToGrid w:val="0"/>
                    <w:spacing w:line="240" w:lineRule="auto"/>
                    <w:jc w:val="center"/>
                    <w:rPr>
                      <w:sz w:val="21"/>
                      <w:szCs w:val="21"/>
                    </w:rPr>
                  </w:pPr>
                  <w:r>
                    <w:rPr>
                      <w:sz w:val="21"/>
                      <w:szCs w:val="21"/>
                    </w:rPr>
                    <w:t>1</w:t>
                  </w:r>
                </w:p>
              </w:tc>
              <w:tc>
                <w:tcPr>
                  <w:tcW w:w="1363" w:type="dxa"/>
                  <w:shd w:val="clear" w:color="auto" w:fill="FFFFFF"/>
                  <w:vAlign w:val="center"/>
                </w:tcPr>
                <w:p>
                  <w:pPr>
                    <w:adjustRightInd w:val="0"/>
                    <w:snapToGrid w:val="0"/>
                    <w:spacing w:line="240" w:lineRule="auto"/>
                    <w:jc w:val="center"/>
                    <w:rPr>
                      <w:sz w:val="21"/>
                      <w:szCs w:val="21"/>
                    </w:rPr>
                  </w:pPr>
                  <w:r>
                    <w:rPr>
                      <w:sz w:val="21"/>
                      <w:szCs w:val="21"/>
                    </w:rPr>
                    <w:t>水泵</w:t>
                  </w:r>
                </w:p>
              </w:tc>
              <w:tc>
                <w:tcPr>
                  <w:tcW w:w="806" w:type="dxa"/>
                  <w:shd w:val="clear" w:color="auto" w:fill="FFFFFF"/>
                  <w:vAlign w:val="center"/>
                </w:tcPr>
                <w:p>
                  <w:pPr>
                    <w:adjustRightInd w:val="0"/>
                    <w:snapToGrid w:val="0"/>
                    <w:spacing w:line="240" w:lineRule="auto"/>
                    <w:jc w:val="center"/>
                    <w:rPr>
                      <w:sz w:val="21"/>
                      <w:szCs w:val="21"/>
                    </w:rPr>
                  </w:pPr>
                  <w:r>
                    <w:rPr>
                      <w:sz w:val="21"/>
                      <w:szCs w:val="21"/>
                    </w:rPr>
                    <w:t>-2.6</w:t>
                  </w:r>
                </w:p>
              </w:tc>
              <w:tc>
                <w:tcPr>
                  <w:tcW w:w="806" w:type="dxa"/>
                  <w:shd w:val="clear" w:color="auto" w:fill="FFFFFF"/>
                  <w:vAlign w:val="center"/>
                </w:tcPr>
                <w:p>
                  <w:pPr>
                    <w:adjustRightInd w:val="0"/>
                    <w:snapToGrid w:val="0"/>
                    <w:spacing w:line="240" w:lineRule="auto"/>
                    <w:jc w:val="center"/>
                    <w:rPr>
                      <w:sz w:val="21"/>
                      <w:szCs w:val="21"/>
                    </w:rPr>
                  </w:pPr>
                  <w:r>
                    <w:rPr>
                      <w:sz w:val="21"/>
                      <w:szCs w:val="21"/>
                    </w:rPr>
                    <w:t>24.5</w:t>
                  </w:r>
                </w:p>
              </w:tc>
              <w:tc>
                <w:tcPr>
                  <w:tcW w:w="807" w:type="dxa"/>
                  <w:shd w:val="clear" w:color="auto" w:fill="FFFFFF"/>
                  <w:vAlign w:val="center"/>
                </w:tcPr>
                <w:p>
                  <w:pPr>
                    <w:adjustRightInd w:val="0"/>
                    <w:snapToGrid w:val="0"/>
                    <w:spacing w:line="240" w:lineRule="auto"/>
                    <w:jc w:val="center"/>
                    <w:rPr>
                      <w:sz w:val="21"/>
                      <w:szCs w:val="21"/>
                    </w:rPr>
                  </w:pPr>
                  <w:r>
                    <w:rPr>
                      <w:sz w:val="21"/>
                      <w:szCs w:val="21"/>
                    </w:rPr>
                    <w:t>1.2</w:t>
                  </w:r>
                </w:p>
              </w:tc>
              <w:tc>
                <w:tcPr>
                  <w:tcW w:w="1334" w:type="dxa"/>
                  <w:shd w:val="clear" w:color="auto" w:fill="FFFFFF"/>
                  <w:vAlign w:val="center"/>
                </w:tcPr>
                <w:p>
                  <w:pPr>
                    <w:adjustRightInd w:val="0"/>
                    <w:snapToGrid w:val="0"/>
                    <w:spacing w:line="240" w:lineRule="auto"/>
                    <w:jc w:val="center"/>
                    <w:rPr>
                      <w:sz w:val="21"/>
                      <w:szCs w:val="21"/>
                    </w:rPr>
                  </w:pPr>
                  <w:r>
                    <w:rPr>
                      <w:sz w:val="21"/>
                      <w:szCs w:val="21"/>
                    </w:rPr>
                    <w:t>80</w:t>
                  </w:r>
                </w:p>
              </w:tc>
              <w:tc>
                <w:tcPr>
                  <w:tcW w:w="1817" w:type="dxa"/>
                  <w:shd w:val="clear" w:color="auto" w:fill="FFFFFF"/>
                  <w:vAlign w:val="center"/>
                </w:tcPr>
                <w:p>
                  <w:pPr>
                    <w:adjustRightInd w:val="0"/>
                    <w:snapToGrid w:val="0"/>
                    <w:spacing w:line="240" w:lineRule="auto"/>
                    <w:jc w:val="center"/>
                    <w:rPr>
                      <w:sz w:val="21"/>
                      <w:szCs w:val="21"/>
                    </w:rPr>
                  </w:pPr>
                  <w:r>
                    <w:rPr>
                      <w:sz w:val="21"/>
                      <w:szCs w:val="21"/>
                    </w:rPr>
                    <w:t>隔声、减振、消声</w:t>
                  </w:r>
                </w:p>
              </w:tc>
              <w:tc>
                <w:tcPr>
                  <w:tcW w:w="998" w:type="dxa"/>
                  <w:shd w:val="clear" w:color="auto" w:fill="FFFFFF"/>
                  <w:vAlign w:val="center"/>
                </w:tcPr>
                <w:p>
                  <w:pPr>
                    <w:adjustRightInd w:val="0"/>
                    <w:snapToGrid w:val="0"/>
                    <w:spacing w:line="240" w:lineRule="auto"/>
                    <w:jc w:val="center"/>
                    <w:rPr>
                      <w:sz w:val="21"/>
                      <w:szCs w:val="21"/>
                    </w:rPr>
                  </w:pPr>
                  <w:r>
                    <w:rPr>
                      <w:rFonts w:hint="eastAsia"/>
                      <w:sz w:val="21"/>
                      <w:szCs w:val="21"/>
                    </w:rPr>
                    <w:t>8h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482" w:hRule="exact"/>
                <w:jc w:val="center"/>
              </w:trPr>
              <w:tc>
                <w:tcPr>
                  <w:tcW w:w="524" w:type="dxa"/>
                  <w:shd w:val="clear" w:color="auto" w:fill="FFFFFF"/>
                  <w:vAlign w:val="center"/>
                </w:tcPr>
                <w:p>
                  <w:pPr>
                    <w:adjustRightInd w:val="0"/>
                    <w:snapToGrid w:val="0"/>
                    <w:spacing w:line="240" w:lineRule="auto"/>
                    <w:jc w:val="center"/>
                    <w:rPr>
                      <w:sz w:val="21"/>
                      <w:szCs w:val="21"/>
                    </w:rPr>
                  </w:pPr>
                  <w:r>
                    <w:rPr>
                      <w:sz w:val="21"/>
                      <w:szCs w:val="21"/>
                    </w:rPr>
                    <w:t>2</w:t>
                  </w:r>
                </w:p>
              </w:tc>
              <w:tc>
                <w:tcPr>
                  <w:tcW w:w="1363" w:type="dxa"/>
                  <w:shd w:val="clear" w:color="auto" w:fill="FFFFFF"/>
                  <w:vAlign w:val="center"/>
                </w:tcPr>
                <w:p>
                  <w:pPr>
                    <w:adjustRightInd w:val="0"/>
                    <w:snapToGrid w:val="0"/>
                    <w:spacing w:line="240" w:lineRule="auto"/>
                    <w:jc w:val="center"/>
                    <w:rPr>
                      <w:sz w:val="21"/>
                      <w:szCs w:val="21"/>
                    </w:rPr>
                  </w:pPr>
                  <w:r>
                    <w:rPr>
                      <w:sz w:val="21"/>
                      <w:szCs w:val="21"/>
                    </w:rPr>
                    <w:t>喂料机</w:t>
                  </w:r>
                </w:p>
              </w:tc>
              <w:tc>
                <w:tcPr>
                  <w:tcW w:w="806" w:type="dxa"/>
                  <w:shd w:val="clear" w:color="auto" w:fill="FFFFFF"/>
                  <w:vAlign w:val="center"/>
                </w:tcPr>
                <w:p>
                  <w:pPr>
                    <w:adjustRightInd w:val="0"/>
                    <w:snapToGrid w:val="0"/>
                    <w:spacing w:line="240" w:lineRule="auto"/>
                    <w:jc w:val="center"/>
                    <w:rPr>
                      <w:sz w:val="21"/>
                      <w:szCs w:val="21"/>
                    </w:rPr>
                  </w:pPr>
                  <w:r>
                    <w:rPr>
                      <w:sz w:val="21"/>
                      <w:szCs w:val="21"/>
                    </w:rPr>
                    <w:t>-73.3</w:t>
                  </w:r>
                </w:p>
              </w:tc>
              <w:tc>
                <w:tcPr>
                  <w:tcW w:w="806" w:type="dxa"/>
                  <w:shd w:val="clear" w:color="auto" w:fill="FFFFFF"/>
                  <w:vAlign w:val="center"/>
                </w:tcPr>
                <w:p>
                  <w:pPr>
                    <w:adjustRightInd w:val="0"/>
                    <w:snapToGrid w:val="0"/>
                    <w:spacing w:line="240" w:lineRule="auto"/>
                    <w:jc w:val="center"/>
                    <w:rPr>
                      <w:sz w:val="21"/>
                      <w:szCs w:val="21"/>
                    </w:rPr>
                  </w:pPr>
                  <w:r>
                    <w:rPr>
                      <w:sz w:val="21"/>
                      <w:szCs w:val="21"/>
                    </w:rPr>
                    <w:t>-19.3</w:t>
                  </w:r>
                </w:p>
              </w:tc>
              <w:tc>
                <w:tcPr>
                  <w:tcW w:w="807" w:type="dxa"/>
                  <w:shd w:val="clear" w:color="auto" w:fill="FFFFFF"/>
                  <w:vAlign w:val="center"/>
                </w:tcPr>
                <w:p>
                  <w:pPr>
                    <w:adjustRightInd w:val="0"/>
                    <w:snapToGrid w:val="0"/>
                    <w:spacing w:line="240" w:lineRule="auto"/>
                    <w:jc w:val="center"/>
                    <w:rPr>
                      <w:sz w:val="21"/>
                      <w:szCs w:val="21"/>
                    </w:rPr>
                  </w:pPr>
                  <w:r>
                    <w:rPr>
                      <w:sz w:val="21"/>
                      <w:szCs w:val="21"/>
                    </w:rPr>
                    <w:t>1.2</w:t>
                  </w:r>
                </w:p>
              </w:tc>
              <w:tc>
                <w:tcPr>
                  <w:tcW w:w="1334" w:type="dxa"/>
                  <w:shd w:val="clear" w:color="auto" w:fill="FFFFFF"/>
                  <w:vAlign w:val="center"/>
                </w:tcPr>
                <w:p>
                  <w:pPr>
                    <w:adjustRightInd w:val="0"/>
                    <w:snapToGrid w:val="0"/>
                    <w:spacing w:line="240" w:lineRule="auto"/>
                    <w:jc w:val="center"/>
                    <w:rPr>
                      <w:sz w:val="21"/>
                      <w:szCs w:val="21"/>
                    </w:rPr>
                  </w:pPr>
                  <w:r>
                    <w:rPr>
                      <w:sz w:val="21"/>
                      <w:szCs w:val="21"/>
                    </w:rPr>
                    <w:t>80</w:t>
                  </w:r>
                </w:p>
              </w:tc>
              <w:tc>
                <w:tcPr>
                  <w:tcW w:w="1817" w:type="dxa"/>
                  <w:shd w:val="clear" w:color="auto" w:fill="FFFFFF"/>
                  <w:vAlign w:val="center"/>
                </w:tcPr>
                <w:p>
                  <w:pPr>
                    <w:adjustRightInd w:val="0"/>
                    <w:snapToGrid w:val="0"/>
                    <w:spacing w:line="240" w:lineRule="auto"/>
                    <w:jc w:val="center"/>
                    <w:rPr>
                      <w:sz w:val="21"/>
                      <w:szCs w:val="21"/>
                    </w:rPr>
                  </w:pPr>
                  <w:r>
                    <w:rPr>
                      <w:sz w:val="21"/>
                      <w:szCs w:val="21"/>
                    </w:rPr>
                    <w:t>隔声、减振、消声</w:t>
                  </w:r>
                </w:p>
              </w:tc>
              <w:tc>
                <w:tcPr>
                  <w:tcW w:w="998" w:type="dxa"/>
                  <w:shd w:val="clear" w:color="auto" w:fill="FFFFFF"/>
                  <w:vAlign w:val="center"/>
                </w:tcPr>
                <w:p>
                  <w:pPr>
                    <w:adjustRightInd w:val="0"/>
                    <w:snapToGrid w:val="0"/>
                    <w:spacing w:line="240" w:lineRule="auto"/>
                    <w:jc w:val="center"/>
                    <w:rPr>
                      <w:sz w:val="21"/>
                      <w:szCs w:val="21"/>
                    </w:rPr>
                  </w:pPr>
                  <w:r>
                    <w:rPr>
                      <w:rFonts w:hint="eastAsia"/>
                      <w:sz w:val="21"/>
                      <w:szCs w:val="21"/>
                    </w:rPr>
                    <w:t>8h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482" w:hRule="exact"/>
                <w:jc w:val="center"/>
              </w:trPr>
              <w:tc>
                <w:tcPr>
                  <w:tcW w:w="524" w:type="dxa"/>
                  <w:shd w:val="clear" w:color="auto" w:fill="FFFFFF"/>
                  <w:vAlign w:val="center"/>
                </w:tcPr>
                <w:p>
                  <w:pPr>
                    <w:adjustRightInd w:val="0"/>
                    <w:snapToGrid w:val="0"/>
                    <w:spacing w:line="240" w:lineRule="auto"/>
                    <w:jc w:val="center"/>
                    <w:rPr>
                      <w:sz w:val="21"/>
                      <w:szCs w:val="21"/>
                    </w:rPr>
                  </w:pPr>
                  <w:r>
                    <w:rPr>
                      <w:sz w:val="21"/>
                      <w:szCs w:val="21"/>
                    </w:rPr>
                    <w:t>3</w:t>
                  </w:r>
                </w:p>
              </w:tc>
              <w:tc>
                <w:tcPr>
                  <w:tcW w:w="1363" w:type="dxa"/>
                  <w:shd w:val="clear" w:color="auto" w:fill="FFFFFF"/>
                  <w:vAlign w:val="center"/>
                </w:tcPr>
                <w:p>
                  <w:pPr>
                    <w:adjustRightInd w:val="0"/>
                    <w:snapToGrid w:val="0"/>
                    <w:spacing w:line="240" w:lineRule="auto"/>
                    <w:jc w:val="center"/>
                    <w:rPr>
                      <w:sz w:val="21"/>
                      <w:szCs w:val="21"/>
                    </w:rPr>
                  </w:pPr>
                  <w:r>
                    <w:rPr>
                      <w:sz w:val="21"/>
                      <w:szCs w:val="21"/>
                    </w:rPr>
                    <w:t>鄂破机</w:t>
                  </w:r>
                </w:p>
              </w:tc>
              <w:tc>
                <w:tcPr>
                  <w:tcW w:w="806" w:type="dxa"/>
                  <w:shd w:val="clear" w:color="auto" w:fill="FFFFFF"/>
                  <w:vAlign w:val="center"/>
                </w:tcPr>
                <w:p>
                  <w:pPr>
                    <w:adjustRightInd w:val="0"/>
                    <w:snapToGrid w:val="0"/>
                    <w:spacing w:line="240" w:lineRule="auto"/>
                    <w:jc w:val="center"/>
                    <w:rPr>
                      <w:sz w:val="21"/>
                      <w:szCs w:val="21"/>
                    </w:rPr>
                  </w:pPr>
                  <w:r>
                    <w:rPr>
                      <w:sz w:val="21"/>
                      <w:szCs w:val="21"/>
                    </w:rPr>
                    <w:t>-54.4</w:t>
                  </w:r>
                </w:p>
              </w:tc>
              <w:tc>
                <w:tcPr>
                  <w:tcW w:w="806" w:type="dxa"/>
                  <w:shd w:val="clear" w:color="auto" w:fill="FFFFFF"/>
                  <w:vAlign w:val="center"/>
                </w:tcPr>
                <w:p>
                  <w:pPr>
                    <w:adjustRightInd w:val="0"/>
                    <w:snapToGrid w:val="0"/>
                    <w:spacing w:line="240" w:lineRule="auto"/>
                    <w:jc w:val="center"/>
                    <w:rPr>
                      <w:sz w:val="21"/>
                      <w:szCs w:val="21"/>
                    </w:rPr>
                  </w:pPr>
                  <w:r>
                    <w:rPr>
                      <w:sz w:val="21"/>
                      <w:szCs w:val="21"/>
                    </w:rPr>
                    <w:t>-10.3</w:t>
                  </w:r>
                </w:p>
              </w:tc>
              <w:tc>
                <w:tcPr>
                  <w:tcW w:w="807" w:type="dxa"/>
                  <w:shd w:val="clear" w:color="auto" w:fill="FFFFFF"/>
                  <w:vAlign w:val="center"/>
                </w:tcPr>
                <w:p>
                  <w:pPr>
                    <w:adjustRightInd w:val="0"/>
                    <w:snapToGrid w:val="0"/>
                    <w:spacing w:line="240" w:lineRule="auto"/>
                    <w:jc w:val="center"/>
                    <w:rPr>
                      <w:sz w:val="21"/>
                      <w:szCs w:val="21"/>
                    </w:rPr>
                  </w:pPr>
                  <w:r>
                    <w:rPr>
                      <w:sz w:val="21"/>
                      <w:szCs w:val="21"/>
                    </w:rPr>
                    <w:t>1.2</w:t>
                  </w:r>
                </w:p>
              </w:tc>
              <w:tc>
                <w:tcPr>
                  <w:tcW w:w="1334" w:type="dxa"/>
                  <w:shd w:val="clear" w:color="auto" w:fill="FFFFFF"/>
                  <w:vAlign w:val="center"/>
                </w:tcPr>
                <w:p>
                  <w:pPr>
                    <w:adjustRightInd w:val="0"/>
                    <w:snapToGrid w:val="0"/>
                    <w:spacing w:line="240" w:lineRule="auto"/>
                    <w:jc w:val="center"/>
                    <w:rPr>
                      <w:sz w:val="21"/>
                      <w:szCs w:val="21"/>
                    </w:rPr>
                  </w:pPr>
                  <w:r>
                    <w:rPr>
                      <w:sz w:val="21"/>
                      <w:szCs w:val="21"/>
                    </w:rPr>
                    <w:t>90</w:t>
                  </w:r>
                </w:p>
              </w:tc>
              <w:tc>
                <w:tcPr>
                  <w:tcW w:w="1817" w:type="dxa"/>
                  <w:shd w:val="clear" w:color="auto" w:fill="FFFFFF"/>
                  <w:vAlign w:val="center"/>
                </w:tcPr>
                <w:p>
                  <w:pPr>
                    <w:adjustRightInd w:val="0"/>
                    <w:snapToGrid w:val="0"/>
                    <w:spacing w:line="240" w:lineRule="auto"/>
                    <w:jc w:val="center"/>
                    <w:rPr>
                      <w:sz w:val="21"/>
                      <w:szCs w:val="21"/>
                    </w:rPr>
                  </w:pPr>
                  <w:r>
                    <w:rPr>
                      <w:sz w:val="21"/>
                      <w:szCs w:val="21"/>
                    </w:rPr>
                    <w:t>隔声、减振、消声</w:t>
                  </w:r>
                </w:p>
              </w:tc>
              <w:tc>
                <w:tcPr>
                  <w:tcW w:w="998" w:type="dxa"/>
                  <w:shd w:val="clear" w:color="auto" w:fill="FFFFFF"/>
                  <w:vAlign w:val="center"/>
                </w:tcPr>
                <w:p>
                  <w:pPr>
                    <w:adjustRightInd w:val="0"/>
                    <w:snapToGrid w:val="0"/>
                    <w:spacing w:line="240" w:lineRule="auto"/>
                    <w:jc w:val="center"/>
                    <w:rPr>
                      <w:sz w:val="21"/>
                      <w:szCs w:val="21"/>
                    </w:rPr>
                  </w:pPr>
                  <w:r>
                    <w:rPr>
                      <w:rFonts w:hint="eastAsia"/>
                      <w:sz w:val="21"/>
                      <w:szCs w:val="21"/>
                    </w:rPr>
                    <w:t>8h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482" w:hRule="exact"/>
                <w:jc w:val="center"/>
              </w:trPr>
              <w:tc>
                <w:tcPr>
                  <w:tcW w:w="524" w:type="dxa"/>
                  <w:shd w:val="clear" w:color="auto" w:fill="FFFFFF"/>
                  <w:vAlign w:val="center"/>
                </w:tcPr>
                <w:p>
                  <w:pPr>
                    <w:adjustRightInd w:val="0"/>
                    <w:snapToGrid w:val="0"/>
                    <w:spacing w:line="240" w:lineRule="auto"/>
                    <w:jc w:val="center"/>
                    <w:rPr>
                      <w:sz w:val="21"/>
                      <w:szCs w:val="21"/>
                    </w:rPr>
                  </w:pPr>
                  <w:r>
                    <w:rPr>
                      <w:sz w:val="21"/>
                      <w:szCs w:val="21"/>
                    </w:rPr>
                    <w:t>4</w:t>
                  </w:r>
                </w:p>
              </w:tc>
              <w:tc>
                <w:tcPr>
                  <w:tcW w:w="1363" w:type="dxa"/>
                  <w:shd w:val="clear" w:color="auto" w:fill="FFFFFF"/>
                  <w:vAlign w:val="center"/>
                </w:tcPr>
                <w:p>
                  <w:pPr>
                    <w:adjustRightInd w:val="0"/>
                    <w:snapToGrid w:val="0"/>
                    <w:spacing w:line="240" w:lineRule="auto"/>
                    <w:jc w:val="center"/>
                    <w:rPr>
                      <w:sz w:val="21"/>
                      <w:szCs w:val="21"/>
                    </w:rPr>
                  </w:pPr>
                  <w:r>
                    <w:rPr>
                      <w:sz w:val="21"/>
                      <w:szCs w:val="21"/>
                    </w:rPr>
                    <w:t>圆锥机</w:t>
                  </w:r>
                </w:p>
              </w:tc>
              <w:tc>
                <w:tcPr>
                  <w:tcW w:w="806" w:type="dxa"/>
                  <w:shd w:val="clear" w:color="auto" w:fill="FFFFFF"/>
                  <w:vAlign w:val="center"/>
                </w:tcPr>
                <w:p>
                  <w:pPr>
                    <w:adjustRightInd w:val="0"/>
                    <w:snapToGrid w:val="0"/>
                    <w:spacing w:line="240" w:lineRule="auto"/>
                    <w:jc w:val="center"/>
                    <w:rPr>
                      <w:sz w:val="21"/>
                      <w:szCs w:val="21"/>
                    </w:rPr>
                  </w:pPr>
                  <w:r>
                    <w:rPr>
                      <w:sz w:val="21"/>
                      <w:szCs w:val="21"/>
                    </w:rPr>
                    <w:t>-18.5</w:t>
                  </w:r>
                </w:p>
              </w:tc>
              <w:tc>
                <w:tcPr>
                  <w:tcW w:w="806" w:type="dxa"/>
                  <w:shd w:val="clear" w:color="auto" w:fill="FFFFFF"/>
                  <w:vAlign w:val="center"/>
                </w:tcPr>
                <w:p>
                  <w:pPr>
                    <w:adjustRightInd w:val="0"/>
                    <w:snapToGrid w:val="0"/>
                    <w:spacing w:line="240" w:lineRule="auto"/>
                    <w:jc w:val="center"/>
                    <w:rPr>
                      <w:sz w:val="21"/>
                      <w:szCs w:val="21"/>
                    </w:rPr>
                  </w:pPr>
                  <w:r>
                    <w:rPr>
                      <w:sz w:val="21"/>
                      <w:szCs w:val="21"/>
                    </w:rPr>
                    <w:t>4</w:t>
                  </w:r>
                </w:p>
              </w:tc>
              <w:tc>
                <w:tcPr>
                  <w:tcW w:w="807" w:type="dxa"/>
                  <w:shd w:val="clear" w:color="auto" w:fill="FFFFFF"/>
                  <w:vAlign w:val="center"/>
                </w:tcPr>
                <w:p>
                  <w:pPr>
                    <w:adjustRightInd w:val="0"/>
                    <w:snapToGrid w:val="0"/>
                    <w:spacing w:line="240" w:lineRule="auto"/>
                    <w:jc w:val="center"/>
                    <w:rPr>
                      <w:sz w:val="21"/>
                      <w:szCs w:val="21"/>
                    </w:rPr>
                  </w:pPr>
                  <w:r>
                    <w:rPr>
                      <w:sz w:val="21"/>
                      <w:szCs w:val="21"/>
                    </w:rPr>
                    <w:t>1.2</w:t>
                  </w:r>
                </w:p>
              </w:tc>
              <w:tc>
                <w:tcPr>
                  <w:tcW w:w="1334" w:type="dxa"/>
                  <w:shd w:val="clear" w:color="auto" w:fill="FFFFFF"/>
                  <w:vAlign w:val="center"/>
                </w:tcPr>
                <w:p>
                  <w:pPr>
                    <w:adjustRightInd w:val="0"/>
                    <w:snapToGrid w:val="0"/>
                    <w:spacing w:line="240" w:lineRule="auto"/>
                    <w:jc w:val="center"/>
                    <w:rPr>
                      <w:sz w:val="21"/>
                      <w:szCs w:val="21"/>
                    </w:rPr>
                  </w:pPr>
                  <w:r>
                    <w:rPr>
                      <w:sz w:val="21"/>
                      <w:szCs w:val="21"/>
                    </w:rPr>
                    <w:t>90</w:t>
                  </w:r>
                </w:p>
              </w:tc>
              <w:tc>
                <w:tcPr>
                  <w:tcW w:w="1817" w:type="dxa"/>
                  <w:shd w:val="clear" w:color="auto" w:fill="FFFFFF"/>
                  <w:vAlign w:val="center"/>
                </w:tcPr>
                <w:p>
                  <w:pPr>
                    <w:adjustRightInd w:val="0"/>
                    <w:snapToGrid w:val="0"/>
                    <w:spacing w:line="240" w:lineRule="auto"/>
                    <w:jc w:val="center"/>
                    <w:rPr>
                      <w:sz w:val="21"/>
                      <w:szCs w:val="21"/>
                    </w:rPr>
                  </w:pPr>
                  <w:r>
                    <w:rPr>
                      <w:sz w:val="21"/>
                      <w:szCs w:val="21"/>
                    </w:rPr>
                    <w:t>隔声、减振、消声</w:t>
                  </w:r>
                </w:p>
              </w:tc>
              <w:tc>
                <w:tcPr>
                  <w:tcW w:w="998" w:type="dxa"/>
                  <w:shd w:val="clear" w:color="auto" w:fill="FFFFFF"/>
                  <w:vAlign w:val="center"/>
                </w:tcPr>
                <w:p>
                  <w:pPr>
                    <w:adjustRightInd w:val="0"/>
                    <w:snapToGrid w:val="0"/>
                    <w:spacing w:line="240" w:lineRule="auto"/>
                    <w:jc w:val="center"/>
                    <w:rPr>
                      <w:sz w:val="21"/>
                      <w:szCs w:val="21"/>
                    </w:rPr>
                  </w:pPr>
                  <w:r>
                    <w:rPr>
                      <w:rFonts w:hint="eastAsia"/>
                      <w:sz w:val="21"/>
                      <w:szCs w:val="21"/>
                    </w:rPr>
                    <w:t>8h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653" w:hRule="exact"/>
                <w:jc w:val="center"/>
              </w:trPr>
              <w:tc>
                <w:tcPr>
                  <w:tcW w:w="524" w:type="dxa"/>
                  <w:shd w:val="clear" w:color="auto" w:fill="FFFFFF"/>
                  <w:vAlign w:val="center"/>
                </w:tcPr>
                <w:p>
                  <w:pPr>
                    <w:adjustRightInd w:val="0"/>
                    <w:snapToGrid w:val="0"/>
                    <w:spacing w:line="240" w:lineRule="auto"/>
                    <w:jc w:val="center"/>
                    <w:rPr>
                      <w:sz w:val="21"/>
                      <w:szCs w:val="21"/>
                    </w:rPr>
                  </w:pPr>
                  <w:r>
                    <w:rPr>
                      <w:sz w:val="21"/>
                      <w:szCs w:val="21"/>
                    </w:rPr>
                    <w:t>5</w:t>
                  </w:r>
                </w:p>
              </w:tc>
              <w:tc>
                <w:tcPr>
                  <w:tcW w:w="1363" w:type="dxa"/>
                  <w:shd w:val="clear" w:color="auto" w:fill="FFFFFF"/>
                  <w:vAlign w:val="center"/>
                </w:tcPr>
                <w:p>
                  <w:pPr>
                    <w:adjustRightInd w:val="0"/>
                    <w:snapToGrid w:val="0"/>
                    <w:spacing w:line="240" w:lineRule="auto"/>
                    <w:jc w:val="center"/>
                    <w:rPr>
                      <w:sz w:val="21"/>
                      <w:szCs w:val="21"/>
                    </w:rPr>
                  </w:pPr>
                  <w:r>
                    <w:rPr>
                      <w:sz w:val="21"/>
                      <w:szCs w:val="21"/>
                    </w:rPr>
                    <w:t>对锟制砂机</w:t>
                  </w:r>
                </w:p>
              </w:tc>
              <w:tc>
                <w:tcPr>
                  <w:tcW w:w="806" w:type="dxa"/>
                  <w:shd w:val="clear" w:color="auto" w:fill="FFFFFF"/>
                  <w:vAlign w:val="center"/>
                </w:tcPr>
                <w:p>
                  <w:pPr>
                    <w:adjustRightInd w:val="0"/>
                    <w:snapToGrid w:val="0"/>
                    <w:spacing w:line="240" w:lineRule="auto"/>
                    <w:jc w:val="center"/>
                    <w:rPr>
                      <w:sz w:val="21"/>
                      <w:szCs w:val="21"/>
                    </w:rPr>
                  </w:pPr>
                  <w:r>
                    <w:rPr>
                      <w:sz w:val="21"/>
                      <w:szCs w:val="21"/>
                    </w:rPr>
                    <w:t>-47.5</w:t>
                  </w:r>
                </w:p>
              </w:tc>
              <w:tc>
                <w:tcPr>
                  <w:tcW w:w="806" w:type="dxa"/>
                  <w:shd w:val="clear" w:color="auto" w:fill="FFFFFF"/>
                  <w:vAlign w:val="center"/>
                </w:tcPr>
                <w:p>
                  <w:pPr>
                    <w:adjustRightInd w:val="0"/>
                    <w:snapToGrid w:val="0"/>
                    <w:spacing w:line="240" w:lineRule="auto"/>
                    <w:jc w:val="center"/>
                    <w:rPr>
                      <w:sz w:val="21"/>
                      <w:szCs w:val="21"/>
                    </w:rPr>
                  </w:pPr>
                  <w:r>
                    <w:rPr>
                      <w:sz w:val="21"/>
                      <w:szCs w:val="21"/>
                    </w:rPr>
                    <w:t>-26.1</w:t>
                  </w:r>
                </w:p>
              </w:tc>
              <w:tc>
                <w:tcPr>
                  <w:tcW w:w="807" w:type="dxa"/>
                  <w:shd w:val="clear" w:color="auto" w:fill="FFFFFF"/>
                  <w:vAlign w:val="center"/>
                </w:tcPr>
                <w:p>
                  <w:pPr>
                    <w:adjustRightInd w:val="0"/>
                    <w:snapToGrid w:val="0"/>
                    <w:spacing w:line="240" w:lineRule="auto"/>
                    <w:jc w:val="center"/>
                    <w:rPr>
                      <w:sz w:val="21"/>
                      <w:szCs w:val="21"/>
                    </w:rPr>
                  </w:pPr>
                  <w:r>
                    <w:rPr>
                      <w:sz w:val="21"/>
                      <w:szCs w:val="21"/>
                    </w:rPr>
                    <w:t>1.2</w:t>
                  </w:r>
                </w:p>
              </w:tc>
              <w:tc>
                <w:tcPr>
                  <w:tcW w:w="1334" w:type="dxa"/>
                  <w:shd w:val="clear" w:color="auto" w:fill="FFFFFF"/>
                  <w:vAlign w:val="center"/>
                </w:tcPr>
                <w:p>
                  <w:pPr>
                    <w:adjustRightInd w:val="0"/>
                    <w:snapToGrid w:val="0"/>
                    <w:spacing w:line="240" w:lineRule="auto"/>
                    <w:jc w:val="center"/>
                    <w:rPr>
                      <w:sz w:val="21"/>
                      <w:szCs w:val="21"/>
                    </w:rPr>
                  </w:pPr>
                  <w:r>
                    <w:rPr>
                      <w:sz w:val="21"/>
                      <w:szCs w:val="21"/>
                    </w:rPr>
                    <w:t>85</w:t>
                  </w:r>
                </w:p>
              </w:tc>
              <w:tc>
                <w:tcPr>
                  <w:tcW w:w="1817" w:type="dxa"/>
                  <w:shd w:val="clear" w:color="auto" w:fill="FFFFFF"/>
                  <w:vAlign w:val="center"/>
                </w:tcPr>
                <w:p>
                  <w:pPr>
                    <w:adjustRightInd w:val="0"/>
                    <w:snapToGrid w:val="0"/>
                    <w:spacing w:line="240" w:lineRule="auto"/>
                    <w:jc w:val="center"/>
                    <w:rPr>
                      <w:sz w:val="21"/>
                      <w:szCs w:val="21"/>
                    </w:rPr>
                  </w:pPr>
                  <w:r>
                    <w:rPr>
                      <w:sz w:val="21"/>
                      <w:szCs w:val="21"/>
                    </w:rPr>
                    <w:t>隔声、减振、消声</w:t>
                  </w:r>
                </w:p>
              </w:tc>
              <w:tc>
                <w:tcPr>
                  <w:tcW w:w="998" w:type="dxa"/>
                  <w:shd w:val="clear" w:color="auto" w:fill="FFFFFF"/>
                  <w:vAlign w:val="center"/>
                </w:tcPr>
                <w:p>
                  <w:pPr>
                    <w:adjustRightInd w:val="0"/>
                    <w:snapToGrid w:val="0"/>
                    <w:spacing w:line="240" w:lineRule="auto"/>
                    <w:jc w:val="center"/>
                    <w:rPr>
                      <w:sz w:val="21"/>
                      <w:szCs w:val="21"/>
                    </w:rPr>
                  </w:pPr>
                  <w:r>
                    <w:rPr>
                      <w:rFonts w:hint="eastAsia"/>
                      <w:sz w:val="21"/>
                      <w:szCs w:val="21"/>
                    </w:rPr>
                    <w:t>8h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482" w:hRule="exact"/>
                <w:jc w:val="center"/>
              </w:trPr>
              <w:tc>
                <w:tcPr>
                  <w:tcW w:w="524" w:type="dxa"/>
                  <w:shd w:val="clear" w:color="auto" w:fill="FFFFFF"/>
                  <w:vAlign w:val="center"/>
                </w:tcPr>
                <w:p>
                  <w:pPr>
                    <w:adjustRightInd w:val="0"/>
                    <w:snapToGrid w:val="0"/>
                    <w:spacing w:line="240" w:lineRule="auto"/>
                    <w:jc w:val="center"/>
                    <w:rPr>
                      <w:sz w:val="21"/>
                      <w:szCs w:val="21"/>
                    </w:rPr>
                  </w:pPr>
                  <w:r>
                    <w:rPr>
                      <w:sz w:val="21"/>
                      <w:szCs w:val="21"/>
                    </w:rPr>
                    <w:t>6</w:t>
                  </w:r>
                </w:p>
              </w:tc>
              <w:tc>
                <w:tcPr>
                  <w:tcW w:w="1363" w:type="dxa"/>
                  <w:shd w:val="clear" w:color="auto" w:fill="FFFFFF"/>
                  <w:vAlign w:val="center"/>
                </w:tcPr>
                <w:p>
                  <w:pPr>
                    <w:adjustRightInd w:val="0"/>
                    <w:snapToGrid w:val="0"/>
                    <w:spacing w:line="240" w:lineRule="auto"/>
                    <w:jc w:val="center"/>
                    <w:rPr>
                      <w:sz w:val="21"/>
                      <w:szCs w:val="21"/>
                    </w:rPr>
                  </w:pPr>
                  <w:r>
                    <w:rPr>
                      <w:sz w:val="21"/>
                      <w:szCs w:val="21"/>
                    </w:rPr>
                    <w:t>振动筛</w:t>
                  </w:r>
                </w:p>
              </w:tc>
              <w:tc>
                <w:tcPr>
                  <w:tcW w:w="806" w:type="dxa"/>
                  <w:shd w:val="clear" w:color="auto" w:fill="FFFFFF"/>
                  <w:vAlign w:val="center"/>
                </w:tcPr>
                <w:p>
                  <w:pPr>
                    <w:adjustRightInd w:val="0"/>
                    <w:snapToGrid w:val="0"/>
                    <w:spacing w:line="240" w:lineRule="auto"/>
                    <w:jc w:val="center"/>
                    <w:rPr>
                      <w:sz w:val="21"/>
                      <w:szCs w:val="21"/>
                    </w:rPr>
                  </w:pPr>
                  <w:r>
                    <w:rPr>
                      <w:sz w:val="21"/>
                      <w:szCs w:val="21"/>
                    </w:rPr>
                    <w:t>-47</w:t>
                  </w:r>
                </w:p>
              </w:tc>
              <w:tc>
                <w:tcPr>
                  <w:tcW w:w="806" w:type="dxa"/>
                  <w:shd w:val="clear" w:color="auto" w:fill="FFFFFF"/>
                  <w:vAlign w:val="center"/>
                </w:tcPr>
                <w:p>
                  <w:pPr>
                    <w:adjustRightInd w:val="0"/>
                    <w:snapToGrid w:val="0"/>
                    <w:spacing w:line="240" w:lineRule="auto"/>
                    <w:jc w:val="center"/>
                    <w:rPr>
                      <w:sz w:val="21"/>
                      <w:szCs w:val="21"/>
                    </w:rPr>
                  </w:pPr>
                  <w:r>
                    <w:rPr>
                      <w:sz w:val="21"/>
                      <w:szCs w:val="21"/>
                    </w:rPr>
                    <w:t>-15.6</w:t>
                  </w:r>
                </w:p>
              </w:tc>
              <w:tc>
                <w:tcPr>
                  <w:tcW w:w="807" w:type="dxa"/>
                  <w:shd w:val="clear" w:color="auto" w:fill="FFFFFF"/>
                  <w:vAlign w:val="center"/>
                </w:tcPr>
                <w:p>
                  <w:pPr>
                    <w:adjustRightInd w:val="0"/>
                    <w:snapToGrid w:val="0"/>
                    <w:spacing w:line="240" w:lineRule="auto"/>
                    <w:jc w:val="center"/>
                    <w:rPr>
                      <w:sz w:val="21"/>
                      <w:szCs w:val="21"/>
                    </w:rPr>
                  </w:pPr>
                  <w:r>
                    <w:rPr>
                      <w:sz w:val="21"/>
                      <w:szCs w:val="21"/>
                    </w:rPr>
                    <w:t>1.2</w:t>
                  </w:r>
                </w:p>
              </w:tc>
              <w:tc>
                <w:tcPr>
                  <w:tcW w:w="1334" w:type="dxa"/>
                  <w:shd w:val="clear" w:color="auto" w:fill="FFFFFF"/>
                  <w:vAlign w:val="center"/>
                </w:tcPr>
                <w:p>
                  <w:pPr>
                    <w:adjustRightInd w:val="0"/>
                    <w:snapToGrid w:val="0"/>
                    <w:spacing w:line="240" w:lineRule="auto"/>
                    <w:jc w:val="center"/>
                    <w:rPr>
                      <w:sz w:val="21"/>
                      <w:szCs w:val="21"/>
                    </w:rPr>
                  </w:pPr>
                  <w:r>
                    <w:rPr>
                      <w:sz w:val="21"/>
                      <w:szCs w:val="21"/>
                    </w:rPr>
                    <w:t>85</w:t>
                  </w:r>
                </w:p>
              </w:tc>
              <w:tc>
                <w:tcPr>
                  <w:tcW w:w="1817" w:type="dxa"/>
                  <w:shd w:val="clear" w:color="auto" w:fill="FFFFFF"/>
                  <w:vAlign w:val="center"/>
                </w:tcPr>
                <w:p>
                  <w:pPr>
                    <w:adjustRightInd w:val="0"/>
                    <w:snapToGrid w:val="0"/>
                    <w:spacing w:line="240" w:lineRule="auto"/>
                    <w:jc w:val="center"/>
                    <w:rPr>
                      <w:sz w:val="21"/>
                      <w:szCs w:val="21"/>
                    </w:rPr>
                  </w:pPr>
                  <w:r>
                    <w:rPr>
                      <w:sz w:val="21"/>
                      <w:szCs w:val="21"/>
                    </w:rPr>
                    <w:t>隔声、减振、消声</w:t>
                  </w:r>
                </w:p>
              </w:tc>
              <w:tc>
                <w:tcPr>
                  <w:tcW w:w="998" w:type="dxa"/>
                  <w:shd w:val="clear" w:color="auto" w:fill="FFFFFF"/>
                  <w:vAlign w:val="center"/>
                </w:tcPr>
                <w:p>
                  <w:pPr>
                    <w:adjustRightInd w:val="0"/>
                    <w:snapToGrid w:val="0"/>
                    <w:spacing w:line="240" w:lineRule="auto"/>
                    <w:jc w:val="center"/>
                    <w:rPr>
                      <w:sz w:val="21"/>
                      <w:szCs w:val="21"/>
                    </w:rPr>
                  </w:pPr>
                  <w:r>
                    <w:rPr>
                      <w:rFonts w:hint="eastAsia"/>
                      <w:sz w:val="21"/>
                      <w:szCs w:val="21"/>
                    </w:rPr>
                    <w:t>8h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680" w:hRule="exact"/>
                <w:jc w:val="center"/>
              </w:trPr>
              <w:tc>
                <w:tcPr>
                  <w:tcW w:w="524" w:type="dxa"/>
                  <w:shd w:val="clear" w:color="auto" w:fill="FFFFFF"/>
                  <w:vAlign w:val="center"/>
                </w:tcPr>
                <w:p>
                  <w:pPr>
                    <w:adjustRightInd w:val="0"/>
                    <w:snapToGrid w:val="0"/>
                    <w:spacing w:line="240" w:lineRule="auto"/>
                    <w:jc w:val="center"/>
                    <w:rPr>
                      <w:sz w:val="21"/>
                      <w:szCs w:val="21"/>
                    </w:rPr>
                  </w:pPr>
                  <w:r>
                    <w:rPr>
                      <w:sz w:val="21"/>
                      <w:szCs w:val="21"/>
                    </w:rPr>
                    <w:t>7</w:t>
                  </w:r>
                </w:p>
              </w:tc>
              <w:tc>
                <w:tcPr>
                  <w:tcW w:w="1363" w:type="dxa"/>
                  <w:shd w:val="clear" w:color="auto" w:fill="FFFFFF"/>
                  <w:vAlign w:val="center"/>
                </w:tcPr>
                <w:p>
                  <w:pPr>
                    <w:adjustRightInd w:val="0"/>
                    <w:snapToGrid w:val="0"/>
                    <w:spacing w:line="240" w:lineRule="auto"/>
                    <w:jc w:val="center"/>
                    <w:rPr>
                      <w:sz w:val="21"/>
                      <w:szCs w:val="21"/>
                    </w:rPr>
                  </w:pPr>
                  <w:r>
                    <w:rPr>
                      <w:sz w:val="21"/>
                      <w:szCs w:val="21"/>
                    </w:rPr>
                    <w:t>皮带运输机</w:t>
                  </w:r>
                </w:p>
              </w:tc>
              <w:tc>
                <w:tcPr>
                  <w:tcW w:w="806" w:type="dxa"/>
                  <w:shd w:val="clear" w:color="auto" w:fill="FFFFFF"/>
                  <w:vAlign w:val="center"/>
                </w:tcPr>
                <w:p>
                  <w:pPr>
                    <w:adjustRightInd w:val="0"/>
                    <w:snapToGrid w:val="0"/>
                    <w:spacing w:line="240" w:lineRule="auto"/>
                    <w:jc w:val="center"/>
                    <w:rPr>
                      <w:sz w:val="21"/>
                      <w:szCs w:val="21"/>
                    </w:rPr>
                  </w:pPr>
                  <w:r>
                    <w:rPr>
                      <w:sz w:val="21"/>
                      <w:szCs w:val="21"/>
                    </w:rPr>
                    <w:t>-2.1</w:t>
                  </w:r>
                </w:p>
              </w:tc>
              <w:tc>
                <w:tcPr>
                  <w:tcW w:w="806" w:type="dxa"/>
                  <w:shd w:val="clear" w:color="auto" w:fill="FFFFFF"/>
                  <w:vAlign w:val="center"/>
                </w:tcPr>
                <w:p>
                  <w:pPr>
                    <w:adjustRightInd w:val="0"/>
                    <w:snapToGrid w:val="0"/>
                    <w:spacing w:line="240" w:lineRule="auto"/>
                    <w:jc w:val="center"/>
                    <w:rPr>
                      <w:sz w:val="21"/>
                      <w:szCs w:val="21"/>
                    </w:rPr>
                  </w:pPr>
                  <w:r>
                    <w:rPr>
                      <w:sz w:val="21"/>
                      <w:szCs w:val="21"/>
                    </w:rPr>
                    <w:t>-2.9</w:t>
                  </w:r>
                </w:p>
              </w:tc>
              <w:tc>
                <w:tcPr>
                  <w:tcW w:w="807" w:type="dxa"/>
                  <w:shd w:val="clear" w:color="auto" w:fill="FFFFFF"/>
                  <w:vAlign w:val="center"/>
                </w:tcPr>
                <w:p>
                  <w:pPr>
                    <w:adjustRightInd w:val="0"/>
                    <w:snapToGrid w:val="0"/>
                    <w:spacing w:line="240" w:lineRule="auto"/>
                    <w:jc w:val="center"/>
                    <w:rPr>
                      <w:sz w:val="21"/>
                      <w:szCs w:val="21"/>
                    </w:rPr>
                  </w:pPr>
                  <w:r>
                    <w:rPr>
                      <w:sz w:val="21"/>
                      <w:szCs w:val="21"/>
                    </w:rPr>
                    <w:t>1.2</w:t>
                  </w:r>
                </w:p>
              </w:tc>
              <w:tc>
                <w:tcPr>
                  <w:tcW w:w="1334" w:type="dxa"/>
                  <w:shd w:val="clear" w:color="auto" w:fill="FFFFFF"/>
                  <w:vAlign w:val="center"/>
                </w:tcPr>
                <w:p>
                  <w:pPr>
                    <w:adjustRightInd w:val="0"/>
                    <w:snapToGrid w:val="0"/>
                    <w:spacing w:line="240" w:lineRule="auto"/>
                    <w:jc w:val="center"/>
                    <w:rPr>
                      <w:sz w:val="21"/>
                      <w:szCs w:val="21"/>
                    </w:rPr>
                  </w:pPr>
                  <w:r>
                    <w:rPr>
                      <w:sz w:val="21"/>
                      <w:szCs w:val="21"/>
                    </w:rPr>
                    <w:t>80</w:t>
                  </w:r>
                </w:p>
              </w:tc>
              <w:tc>
                <w:tcPr>
                  <w:tcW w:w="1817" w:type="dxa"/>
                  <w:shd w:val="clear" w:color="auto" w:fill="FFFFFF"/>
                  <w:vAlign w:val="center"/>
                </w:tcPr>
                <w:p>
                  <w:pPr>
                    <w:adjustRightInd w:val="0"/>
                    <w:snapToGrid w:val="0"/>
                    <w:spacing w:line="240" w:lineRule="auto"/>
                    <w:jc w:val="center"/>
                    <w:rPr>
                      <w:sz w:val="21"/>
                      <w:szCs w:val="21"/>
                    </w:rPr>
                  </w:pPr>
                  <w:r>
                    <w:rPr>
                      <w:sz w:val="21"/>
                      <w:szCs w:val="21"/>
                    </w:rPr>
                    <w:t>隔声、减振、消声</w:t>
                  </w:r>
                </w:p>
              </w:tc>
              <w:tc>
                <w:tcPr>
                  <w:tcW w:w="998" w:type="dxa"/>
                  <w:shd w:val="clear" w:color="auto" w:fill="FFFFFF"/>
                  <w:vAlign w:val="center"/>
                </w:tcPr>
                <w:p>
                  <w:pPr>
                    <w:adjustRightInd w:val="0"/>
                    <w:snapToGrid w:val="0"/>
                    <w:spacing w:line="240" w:lineRule="auto"/>
                    <w:jc w:val="center"/>
                    <w:rPr>
                      <w:sz w:val="21"/>
                      <w:szCs w:val="21"/>
                    </w:rPr>
                  </w:pPr>
                  <w:r>
                    <w:rPr>
                      <w:rFonts w:hint="eastAsia"/>
                      <w:sz w:val="21"/>
                      <w:szCs w:val="21"/>
                    </w:rPr>
                    <w:t>8h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482" w:hRule="exact"/>
                <w:jc w:val="center"/>
              </w:trPr>
              <w:tc>
                <w:tcPr>
                  <w:tcW w:w="524" w:type="dxa"/>
                  <w:shd w:val="clear" w:color="auto" w:fill="FFFFFF"/>
                  <w:vAlign w:val="center"/>
                </w:tcPr>
                <w:p>
                  <w:pPr>
                    <w:adjustRightInd w:val="0"/>
                    <w:snapToGrid w:val="0"/>
                    <w:spacing w:line="240" w:lineRule="auto"/>
                    <w:jc w:val="center"/>
                    <w:rPr>
                      <w:sz w:val="21"/>
                      <w:szCs w:val="21"/>
                    </w:rPr>
                  </w:pPr>
                  <w:r>
                    <w:rPr>
                      <w:sz w:val="21"/>
                      <w:szCs w:val="21"/>
                    </w:rPr>
                    <w:t>8</w:t>
                  </w:r>
                </w:p>
              </w:tc>
              <w:tc>
                <w:tcPr>
                  <w:tcW w:w="1363" w:type="dxa"/>
                  <w:shd w:val="clear" w:color="auto" w:fill="FFFFFF"/>
                  <w:vAlign w:val="center"/>
                </w:tcPr>
                <w:p>
                  <w:pPr>
                    <w:adjustRightInd w:val="0"/>
                    <w:snapToGrid w:val="0"/>
                    <w:spacing w:line="240" w:lineRule="auto"/>
                    <w:jc w:val="center"/>
                    <w:rPr>
                      <w:sz w:val="21"/>
                      <w:szCs w:val="21"/>
                    </w:rPr>
                  </w:pPr>
                  <w:r>
                    <w:rPr>
                      <w:sz w:val="21"/>
                      <w:szCs w:val="21"/>
                    </w:rPr>
                    <w:t>脱水筛</w:t>
                  </w:r>
                </w:p>
              </w:tc>
              <w:tc>
                <w:tcPr>
                  <w:tcW w:w="806" w:type="dxa"/>
                  <w:shd w:val="clear" w:color="auto" w:fill="FFFFFF"/>
                  <w:vAlign w:val="center"/>
                </w:tcPr>
                <w:p>
                  <w:pPr>
                    <w:adjustRightInd w:val="0"/>
                    <w:snapToGrid w:val="0"/>
                    <w:spacing w:line="240" w:lineRule="auto"/>
                    <w:jc w:val="center"/>
                    <w:rPr>
                      <w:sz w:val="21"/>
                      <w:szCs w:val="21"/>
                    </w:rPr>
                  </w:pPr>
                  <w:r>
                    <w:rPr>
                      <w:sz w:val="21"/>
                      <w:szCs w:val="21"/>
                    </w:rPr>
                    <w:t>19.5</w:t>
                  </w:r>
                </w:p>
              </w:tc>
              <w:tc>
                <w:tcPr>
                  <w:tcW w:w="806" w:type="dxa"/>
                  <w:shd w:val="clear" w:color="auto" w:fill="FFFFFF"/>
                  <w:vAlign w:val="center"/>
                </w:tcPr>
                <w:p>
                  <w:pPr>
                    <w:adjustRightInd w:val="0"/>
                    <w:snapToGrid w:val="0"/>
                    <w:spacing w:line="240" w:lineRule="auto"/>
                    <w:jc w:val="center"/>
                    <w:rPr>
                      <w:sz w:val="21"/>
                      <w:szCs w:val="21"/>
                    </w:rPr>
                  </w:pPr>
                  <w:r>
                    <w:rPr>
                      <w:sz w:val="21"/>
                      <w:szCs w:val="21"/>
                    </w:rPr>
                    <w:t>11.3</w:t>
                  </w:r>
                </w:p>
              </w:tc>
              <w:tc>
                <w:tcPr>
                  <w:tcW w:w="807" w:type="dxa"/>
                  <w:shd w:val="clear" w:color="auto" w:fill="FFFFFF"/>
                  <w:vAlign w:val="center"/>
                </w:tcPr>
                <w:p>
                  <w:pPr>
                    <w:adjustRightInd w:val="0"/>
                    <w:snapToGrid w:val="0"/>
                    <w:spacing w:line="240" w:lineRule="auto"/>
                    <w:jc w:val="center"/>
                    <w:rPr>
                      <w:sz w:val="21"/>
                      <w:szCs w:val="21"/>
                    </w:rPr>
                  </w:pPr>
                  <w:r>
                    <w:rPr>
                      <w:sz w:val="21"/>
                      <w:szCs w:val="21"/>
                    </w:rPr>
                    <w:t>1.2</w:t>
                  </w:r>
                </w:p>
              </w:tc>
              <w:tc>
                <w:tcPr>
                  <w:tcW w:w="1334" w:type="dxa"/>
                  <w:shd w:val="clear" w:color="auto" w:fill="FFFFFF"/>
                  <w:vAlign w:val="center"/>
                </w:tcPr>
                <w:p>
                  <w:pPr>
                    <w:adjustRightInd w:val="0"/>
                    <w:snapToGrid w:val="0"/>
                    <w:spacing w:line="240" w:lineRule="auto"/>
                    <w:jc w:val="center"/>
                    <w:rPr>
                      <w:sz w:val="21"/>
                      <w:szCs w:val="21"/>
                    </w:rPr>
                  </w:pPr>
                  <w:r>
                    <w:rPr>
                      <w:sz w:val="21"/>
                      <w:szCs w:val="21"/>
                    </w:rPr>
                    <w:t>80</w:t>
                  </w:r>
                </w:p>
              </w:tc>
              <w:tc>
                <w:tcPr>
                  <w:tcW w:w="1817" w:type="dxa"/>
                  <w:shd w:val="clear" w:color="auto" w:fill="FFFFFF"/>
                  <w:vAlign w:val="center"/>
                </w:tcPr>
                <w:p>
                  <w:pPr>
                    <w:adjustRightInd w:val="0"/>
                    <w:snapToGrid w:val="0"/>
                    <w:spacing w:line="240" w:lineRule="auto"/>
                    <w:jc w:val="center"/>
                    <w:rPr>
                      <w:sz w:val="21"/>
                      <w:szCs w:val="21"/>
                    </w:rPr>
                  </w:pPr>
                  <w:r>
                    <w:rPr>
                      <w:sz w:val="21"/>
                      <w:szCs w:val="21"/>
                    </w:rPr>
                    <w:t>隔声、减振、消声</w:t>
                  </w:r>
                </w:p>
              </w:tc>
              <w:tc>
                <w:tcPr>
                  <w:tcW w:w="998" w:type="dxa"/>
                  <w:shd w:val="clear" w:color="auto" w:fill="FFFFFF"/>
                  <w:vAlign w:val="center"/>
                </w:tcPr>
                <w:p>
                  <w:pPr>
                    <w:adjustRightInd w:val="0"/>
                    <w:snapToGrid w:val="0"/>
                    <w:spacing w:line="240" w:lineRule="auto"/>
                    <w:jc w:val="center"/>
                    <w:rPr>
                      <w:sz w:val="21"/>
                      <w:szCs w:val="21"/>
                    </w:rPr>
                  </w:pPr>
                  <w:r>
                    <w:rPr>
                      <w:rFonts w:hint="eastAsia"/>
                      <w:sz w:val="21"/>
                      <w:szCs w:val="21"/>
                    </w:rPr>
                    <w:t>8h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482" w:hRule="exact"/>
                <w:jc w:val="center"/>
              </w:trPr>
              <w:tc>
                <w:tcPr>
                  <w:tcW w:w="524" w:type="dxa"/>
                  <w:shd w:val="clear" w:color="auto" w:fill="FFFFFF"/>
                  <w:vAlign w:val="center"/>
                </w:tcPr>
                <w:p>
                  <w:pPr>
                    <w:adjustRightInd w:val="0"/>
                    <w:snapToGrid w:val="0"/>
                    <w:spacing w:line="240" w:lineRule="auto"/>
                    <w:jc w:val="center"/>
                    <w:rPr>
                      <w:sz w:val="21"/>
                      <w:szCs w:val="21"/>
                    </w:rPr>
                  </w:pPr>
                  <w:r>
                    <w:rPr>
                      <w:sz w:val="21"/>
                      <w:szCs w:val="21"/>
                    </w:rPr>
                    <w:t>9</w:t>
                  </w:r>
                </w:p>
              </w:tc>
              <w:tc>
                <w:tcPr>
                  <w:tcW w:w="1363" w:type="dxa"/>
                  <w:shd w:val="clear" w:color="auto" w:fill="FFFFFF"/>
                  <w:vAlign w:val="center"/>
                </w:tcPr>
                <w:p>
                  <w:pPr>
                    <w:adjustRightInd w:val="0"/>
                    <w:snapToGrid w:val="0"/>
                    <w:spacing w:line="240" w:lineRule="auto"/>
                    <w:jc w:val="center"/>
                    <w:rPr>
                      <w:sz w:val="21"/>
                      <w:szCs w:val="21"/>
                    </w:rPr>
                  </w:pPr>
                  <w:r>
                    <w:rPr>
                      <w:sz w:val="21"/>
                      <w:szCs w:val="21"/>
                    </w:rPr>
                    <w:t>洗砂机</w:t>
                  </w:r>
                </w:p>
              </w:tc>
              <w:tc>
                <w:tcPr>
                  <w:tcW w:w="806" w:type="dxa"/>
                  <w:shd w:val="clear" w:color="auto" w:fill="FFFFFF"/>
                  <w:vAlign w:val="center"/>
                </w:tcPr>
                <w:p>
                  <w:pPr>
                    <w:adjustRightInd w:val="0"/>
                    <w:snapToGrid w:val="0"/>
                    <w:spacing w:line="240" w:lineRule="auto"/>
                    <w:jc w:val="center"/>
                    <w:rPr>
                      <w:sz w:val="21"/>
                      <w:szCs w:val="21"/>
                    </w:rPr>
                  </w:pPr>
                  <w:r>
                    <w:rPr>
                      <w:sz w:val="21"/>
                      <w:szCs w:val="21"/>
                    </w:rPr>
                    <w:t>20.1</w:t>
                  </w:r>
                </w:p>
              </w:tc>
              <w:tc>
                <w:tcPr>
                  <w:tcW w:w="806" w:type="dxa"/>
                  <w:shd w:val="clear" w:color="auto" w:fill="FFFFFF"/>
                  <w:vAlign w:val="center"/>
                </w:tcPr>
                <w:p>
                  <w:pPr>
                    <w:adjustRightInd w:val="0"/>
                    <w:snapToGrid w:val="0"/>
                    <w:spacing w:line="240" w:lineRule="auto"/>
                    <w:jc w:val="center"/>
                    <w:rPr>
                      <w:sz w:val="21"/>
                      <w:szCs w:val="21"/>
                    </w:rPr>
                  </w:pPr>
                  <w:r>
                    <w:rPr>
                      <w:sz w:val="21"/>
                      <w:szCs w:val="21"/>
                    </w:rPr>
                    <w:t>-6.6</w:t>
                  </w:r>
                </w:p>
              </w:tc>
              <w:tc>
                <w:tcPr>
                  <w:tcW w:w="807" w:type="dxa"/>
                  <w:shd w:val="clear" w:color="auto" w:fill="FFFFFF"/>
                  <w:vAlign w:val="center"/>
                </w:tcPr>
                <w:p>
                  <w:pPr>
                    <w:adjustRightInd w:val="0"/>
                    <w:snapToGrid w:val="0"/>
                    <w:spacing w:line="240" w:lineRule="auto"/>
                    <w:jc w:val="center"/>
                    <w:rPr>
                      <w:sz w:val="21"/>
                      <w:szCs w:val="21"/>
                    </w:rPr>
                  </w:pPr>
                  <w:r>
                    <w:rPr>
                      <w:sz w:val="21"/>
                      <w:szCs w:val="21"/>
                    </w:rPr>
                    <w:t>1.2</w:t>
                  </w:r>
                </w:p>
              </w:tc>
              <w:tc>
                <w:tcPr>
                  <w:tcW w:w="1334" w:type="dxa"/>
                  <w:shd w:val="clear" w:color="auto" w:fill="FFFFFF"/>
                  <w:vAlign w:val="center"/>
                </w:tcPr>
                <w:p>
                  <w:pPr>
                    <w:adjustRightInd w:val="0"/>
                    <w:snapToGrid w:val="0"/>
                    <w:spacing w:line="240" w:lineRule="auto"/>
                    <w:jc w:val="center"/>
                    <w:rPr>
                      <w:sz w:val="21"/>
                      <w:szCs w:val="21"/>
                    </w:rPr>
                  </w:pPr>
                  <w:r>
                    <w:rPr>
                      <w:sz w:val="21"/>
                      <w:szCs w:val="21"/>
                    </w:rPr>
                    <w:t>80</w:t>
                  </w:r>
                </w:p>
              </w:tc>
              <w:tc>
                <w:tcPr>
                  <w:tcW w:w="1817" w:type="dxa"/>
                  <w:shd w:val="clear" w:color="auto" w:fill="FFFFFF"/>
                  <w:vAlign w:val="center"/>
                </w:tcPr>
                <w:p>
                  <w:pPr>
                    <w:adjustRightInd w:val="0"/>
                    <w:snapToGrid w:val="0"/>
                    <w:spacing w:line="240" w:lineRule="auto"/>
                    <w:jc w:val="center"/>
                    <w:rPr>
                      <w:sz w:val="21"/>
                      <w:szCs w:val="21"/>
                    </w:rPr>
                  </w:pPr>
                  <w:r>
                    <w:rPr>
                      <w:sz w:val="21"/>
                      <w:szCs w:val="21"/>
                    </w:rPr>
                    <w:t>隔声、减振、消声</w:t>
                  </w:r>
                </w:p>
              </w:tc>
              <w:tc>
                <w:tcPr>
                  <w:tcW w:w="998" w:type="dxa"/>
                  <w:shd w:val="clear" w:color="auto" w:fill="FFFFFF"/>
                  <w:vAlign w:val="center"/>
                </w:tcPr>
                <w:p>
                  <w:pPr>
                    <w:adjustRightInd w:val="0"/>
                    <w:snapToGrid w:val="0"/>
                    <w:spacing w:line="240" w:lineRule="auto"/>
                    <w:jc w:val="center"/>
                    <w:rPr>
                      <w:sz w:val="21"/>
                      <w:szCs w:val="21"/>
                    </w:rPr>
                  </w:pPr>
                  <w:r>
                    <w:rPr>
                      <w:rFonts w:hint="eastAsia"/>
                      <w:sz w:val="21"/>
                      <w:szCs w:val="21"/>
                    </w:rPr>
                    <w:t>8h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745" w:hRule="exact"/>
                <w:jc w:val="center"/>
              </w:trPr>
              <w:tc>
                <w:tcPr>
                  <w:tcW w:w="524" w:type="dxa"/>
                  <w:shd w:val="clear" w:color="auto" w:fill="FFFFFF"/>
                  <w:vAlign w:val="center"/>
                </w:tcPr>
                <w:p>
                  <w:pPr>
                    <w:adjustRightInd w:val="0"/>
                    <w:snapToGrid w:val="0"/>
                    <w:spacing w:line="240" w:lineRule="auto"/>
                    <w:jc w:val="center"/>
                    <w:rPr>
                      <w:sz w:val="21"/>
                      <w:szCs w:val="21"/>
                    </w:rPr>
                  </w:pPr>
                  <w:r>
                    <w:rPr>
                      <w:rFonts w:hint="eastAsia"/>
                      <w:sz w:val="21"/>
                      <w:szCs w:val="21"/>
                    </w:rPr>
                    <w:t>10</w:t>
                  </w:r>
                </w:p>
              </w:tc>
              <w:tc>
                <w:tcPr>
                  <w:tcW w:w="1363" w:type="dxa"/>
                  <w:shd w:val="clear" w:color="auto" w:fill="FFFFFF"/>
                  <w:vAlign w:val="center"/>
                </w:tcPr>
                <w:p>
                  <w:pPr>
                    <w:adjustRightInd w:val="0"/>
                    <w:snapToGrid w:val="0"/>
                    <w:spacing w:line="240" w:lineRule="auto"/>
                    <w:jc w:val="center"/>
                    <w:rPr>
                      <w:sz w:val="21"/>
                      <w:szCs w:val="21"/>
                    </w:rPr>
                  </w:pPr>
                  <w:r>
                    <w:rPr>
                      <w:sz w:val="21"/>
                      <w:szCs w:val="21"/>
                    </w:rPr>
                    <w:t>板框压滤机</w:t>
                  </w:r>
                </w:p>
              </w:tc>
              <w:tc>
                <w:tcPr>
                  <w:tcW w:w="806" w:type="dxa"/>
                  <w:shd w:val="clear" w:color="auto" w:fill="FFFFFF"/>
                  <w:vAlign w:val="center"/>
                </w:tcPr>
                <w:p>
                  <w:pPr>
                    <w:adjustRightInd w:val="0"/>
                    <w:snapToGrid w:val="0"/>
                    <w:spacing w:line="240" w:lineRule="auto"/>
                    <w:jc w:val="center"/>
                    <w:rPr>
                      <w:sz w:val="21"/>
                      <w:szCs w:val="21"/>
                    </w:rPr>
                  </w:pPr>
                  <w:r>
                    <w:rPr>
                      <w:sz w:val="21"/>
                      <w:szCs w:val="21"/>
                    </w:rPr>
                    <w:t>21.1</w:t>
                  </w:r>
                </w:p>
              </w:tc>
              <w:tc>
                <w:tcPr>
                  <w:tcW w:w="806" w:type="dxa"/>
                  <w:shd w:val="clear" w:color="auto" w:fill="FFFFFF"/>
                  <w:vAlign w:val="center"/>
                </w:tcPr>
                <w:p>
                  <w:pPr>
                    <w:adjustRightInd w:val="0"/>
                    <w:snapToGrid w:val="0"/>
                    <w:spacing w:line="240" w:lineRule="auto"/>
                    <w:jc w:val="center"/>
                    <w:rPr>
                      <w:sz w:val="21"/>
                      <w:szCs w:val="21"/>
                    </w:rPr>
                  </w:pPr>
                  <w:r>
                    <w:rPr>
                      <w:sz w:val="21"/>
                      <w:szCs w:val="21"/>
                    </w:rPr>
                    <w:t>-17.1</w:t>
                  </w:r>
                </w:p>
              </w:tc>
              <w:tc>
                <w:tcPr>
                  <w:tcW w:w="807" w:type="dxa"/>
                  <w:shd w:val="clear" w:color="auto" w:fill="FFFFFF"/>
                  <w:vAlign w:val="center"/>
                </w:tcPr>
                <w:p>
                  <w:pPr>
                    <w:adjustRightInd w:val="0"/>
                    <w:snapToGrid w:val="0"/>
                    <w:spacing w:line="240" w:lineRule="auto"/>
                    <w:jc w:val="center"/>
                    <w:rPr>
                      <w:sz w:val="21"/>
                      <w:szCs w:val="21"/>
                    </w:rPr>
                  </w:pPr>
                  <w:r>
                    <w:rPr>
                      <w:sz w:val="21"/>
                      <w:szCs w:val="21"/>
                    </w:rPr>
                    <w:t>1.2</w:t>
                  </w:r>
                </w:p>
              </w:tc>
              <w:tc>
                <w:tcPr>
                  <w:tcW w:w="1334" w:type="dxa"/>
                  <w:shd w:val="clear" w:color="auto" w:fill="FFFFFF"/>
                  <w:vAlign w:val="center"/>
                </w:tcPr>
                <w:p>
                  <w:pPr>
                    <w:adjustRightInd w:val="0"/>
                    <w:snapToGrid w:val="0"/>
                    <w:spacing w:line="240" w:lineRule="auto"/>
                    <w:jc w:val="center"/>
                    <w:rPr>
                      <w:sz w:val="21"/>
                      <w:szCs w:val="21"/>
                    </w:rPr>
                  </w:pPr>
                  <w:r>
                    <w:rPr>
                      <w:sz w:val="21"/>
                      <w:szCs w:val="21"/>
                    </w:rPr>
                    <w:t>70</w:t>
                  </w:r>
                </w:p>
              </w:tc>
              <w:tc>
                <w:tcPr>
                  <w:tcW w:w="1817" w:type="dxa"/>
                  <w:shd w:val="clear" w:color="auto" w:fill="FFFFFF"/>
                  <w:vAlign w:val="center"/>
                </w:tcPr>
                <w:p>
                  <w:pPr>
                    <w:adjustRightInd w:val="0"/>
                    <w:snapToGrid w:val="0"/>
                    <w:spacing w:line="240" w:lineRule="auto"/>
                    <w:jc w:val="center"/>
                    <w:rPr>
                      <w:sz w:val="21"/>
                      <w:szCs w:val="21"/>
                    </w:rPr>
                  </w:pPr>
                  <w:r>
                    <w:rPr>
                      <w:sz w:val="21"/>
                      <w:szCs w:val="21"/>
                    </w:rPr>
                    <w:t>隔声、减振、消声</w:t>
                  </w:r>
                </w:p>
              </w:tc>
              <w:tc>
                <w:tcPr>
                  <w:tcW w:w="998" w:type="dxa"/>
                  <w:shd w:val="clear" w:color="auto" w:fill="FFFFFF"/>
                  <w:vAlign w:val="center"/>
                </w:tcPr>
                <w:p>
                  <w:pPr>
                    <w:adjustRightInd w:val="0"/>
                    <w:snapToGrid w:val="0"/>
                    <w:spacing w:line="240" w:lineRule="auto"/>
                    <w:jc w:val="center"/>
                    <w:rPr>
                      <w:sz w:val="21"/>
                      <w:szCs w:val="21"/>
                    </w:rPr>
                  </w:pPr>
                  <w:r>
                    <w:rPr>
                      <w:rFonts w:hint="eastAsia"/>
                      <w:sz w:val="21"/>
                      <w:szCs w:val="21"/>
                    </w:rPr>
                    <w:t>8h</w:t>
                  </w:r>
                </w:p>
              </w:tc>
            </w:tr>
          </w:tbl>
          <w:p>
            <w:pPr>
              <w:ind w:firstLine="480" w:firstLineChars="200"/>
              <w:rPr>
                <w:color w:val="0000FF"/>
              </w:rPr>
            </w:pPr>
            <w:r>
              <w:t>表中坐标以厂界中心（</w:t>
            </w:r>
            <w:bookmarkStart w:id="93" w:name="PO_6"/>
            <w:r>
              <w:t>110.259964,27.912292</w:t>
            </w:r>
            <w:bookmarkEnd w:id="93"/>
            <w:r>
              <w:t>）为坐标原点，正东向为X轴正方向，正北向为Y轴正方向</w:t>
            </w:r>
            <w:r>
              <w:rPr>
                <w:rFonts w:hint="eastAsia"/>
              </w:rPr>
              <w:t>。</w:t>
            </w:r>
          </w:p>
          <w:p>
            <w:pPr>
              <w:pStyle w:val="40"/>
              <w:numPr>
                <w:ilvl w:val="3"/>
                <w:numId w:val="0"/>
              </w:numPr>
              <w:ind w:left="454"/>
            </w:pPr>
            <w:r>
              <w:t>2、声环境影响分析</w:t>
            </w:r>
          </w:p>
          <w:p>
            <w:pPr>
              <w:pStyle w:val="42"/>
              <w:spacing w:line="360" w:lineRule="auto"/>
              <w:ind w:firstLine="480" w:firstLineChars="200"/>
              <w:rPr>
                <w:snapToGrid w:val="0"/>
              </w:rPr>
            </w:pPr>
            <w:r>
              <w:rPr>
                <w:snapToGrid w:val="0"/>
              </w:rPr>
              <w:t>根据</w:t>
            </w:r>
            <w:r>
              <w:rPr>
                <w:bCs/>
                <w:spacing w:val="-10"/>
              </w:rPr>
              <w:t>项目</w:t>
            </w:r>
            <w:r>
              <w:rPr>
                <w:snapToGrid w:val="0"/>
              </w:rPr>
              <w:t>设备噪声源特征和厂址周围环境特点，视设备噪声为点声源，采用A声级预测法。</w:t>
            </w:r>
          </w:p>
          <w:p>
            <w:pPr>
              <w:pStyle w:val="10"/>
              <w:kinsoku w:val="0"/>
              <w:overflowPunct w:val="0"/>
              <w:adjustRightInd w:val="0"/>
              <w:spacing w:after="0"/>
              <w:ind w:firstLine="480"/>
            </w:pPr>
            <w:r>
              <w:t>根据本项目营运期各噪声源的特征，并结合《环境影响评价技术导则声环境》（HJ2.4-2021）的要求，预测这些声源噪声随距离的衰减变化规律及对周围敏感点的影响程度，模式如下：</w:t>
            </w:r>
          </w:p>
          <w:p>
            <w:pPr>
              <w:autoSpaceDE w:val="0"/>
              <w:autoSpaceDN w:val="0"/>
              <w:adjustRightInd w:val="0"/>
              <w:snapToGrid w:val="0"/>
              <w:ind w:firstLine="480"/>
              <w:jc w:val="left"/>
              <w:rPr>
                <w:kern w:val="0"/>
              </w:rPr>
            </w:pPr>
            <w:r>
              <w:rPr>
                <w:kern w:val="0"/>
              </w:rPr>
              <w:fldChar w:fldCharType="begin"/>
            </w:r>
            <w:r>
              <w:rPr>
                <w:kern w:val="0"/>
              </w:rPr>
              <w:instrText xml:space="preserve"> = 1 \* GB3 </w:instrText>
            </w:r>
            <w:r>
              <w:rPr>
                <w:kern w:val="0"/>
              </w:rPr>
              <w:fldChar w:fldCharType="separate"/>
            </w:r>
            <w:r>
              <w:rPr>
                <w:kern w:val="0"/>
              </w:rPr>
              <w:t>①</w:t>
            </w:r>
            <w:r>
              <w:rPr>
                <w:kern w:val="0"/>
              </w:rPr>
              <w:fldChar w:fldCharType="end"/>
            </w:r>
            <w:r>
              <w:rPr>
                <w:kern w:val="0"/>
              </w:rPr>
              <w:t>单个室外的点声源在预测点产生的声级计算基本公式</w:t>
            </w:r>
          </w:p>
          <w:p>
            <w:pPr>
              <w:autoSpaceDE w:val="0"/>
              <w:autoSpaceDN w:val="0"/>
              <w:adjustRightInd w:val="0"/>
              <w:snapToGrid w:val="0"/>
              <w:ind w:firstLine="480"/>
              <w:jc w:val="left"/>
            </w:pPr>
            <w:r>
              <w:rPr>
                <w:kern w:val="0"/>
              </w:rPr>
              <w:t>如已知声源的</w:t>
            </w:r>
            <w:r>
              <w:rPr>
                <w:rFonts w:hint="eastAsia"/>
                <w:kern w:val="0"/>
              </w:rPr>
              <w:t>声压级</w:t>
            </w:r>
            <w:r>
              <w:t xml:space="preserve">，预测点位置的声压级L </w:t>
            </w:r>
            <w:r>
              <w:rPr>
                <w:vertAlign w:val="subscript"/>
              </w:rPr>
              <w:t>P</w:t>
            </w:r>
            <w:r>
              <w:t xml:space="preserve"> (r )可按下式计算：</w:t>
            </w:r>
          </w:p>
          <w:p>
            <w:pPr>
              <w:autoSpaceDE w:val="0"/>
              <w:autoSpaceDN w:val="0"/>
              <w:adjustRightInd w:val="0"/>
              <w:snapToGrid w:val="0"/>
              <w:ind w:firstLine="1200" w:firstLineChars="500"/>
              <w:jc w:val="left"/>
              <w:rPr>
                <w:kern w:val="0"/>
              </w:rPr>
            </w:pPr>
            <w:r>
              <w:rPr>
                <w:kern w:val="0"/>
              </w:rPr>
              <w:t xml:space="preserve">Lp(r)＝Lp(r0)+DC－(Adiv＋Aatm＋Agr＋Abar＋Amisc) </w:t>
            </w:r>
          </w:p>
          <w:p>
            <w:pPr>
              <w:autoSpaceDE w:val="0"/>
              <w:autoSpaceDN w:val="0"/>
              <w:adjustRightInd w:val="0"/>
              <w:snapToGrid w:val="0"/>
              <w:ind w:firstLine="480"/>
              <w:jc w:val="left"/>
              <w:rPr>
                <w:kern w:val="0"/>
              </w:rPr>
            </w:pPr>
            <w:r>
              <w:rPr>
                <w:kern w:val="0"/>
              </w:rPr>
              <w:t xml:space="preserve"> 式中：Lp(r) ——预测点处声压级，dB；</w:t>
            </w:r>
          </w:p>
          <w:p>
            <w:pPr>
              <w:autoSpaceDE w:val="0"/>
              <w:autoSpaceDN w:val="0"/>
              <w:adjustRightInd w:val="0"/>
              <w:snapToGrid w:val="0"/>
              <w:ind w:firstLine="480"/>
              <w:jc w:val="left"/>
              <w:rPr>
                <w:kern w:val="0"/>
              </w:rPr>
            </w:pPr>
            <w:r>
              <w:rPr>
                <w:kern w:val="0"/>
              </w:rPr>
              <w:t xml:space="preserve"> </w:t>
            </w:r>
            <w:r>
              <w:rPr>
                <w:rFonts w:hint="eastAsia"/>
                <w:kern w:val="0"/>
              </w:rPr>
              <w:t xml:space="preserve">      </w:t>
            </w:r>
            <w:r>
              <w:rPr>
                <w:kern w:val="0"/>
              </w:rPr>
              <w:t>Lp(r0) ——参考位置r0处的声压级，dB；</w:t>
            </w:r>
          </w:p>
          <w:p>
            <w:pPr>
              <w:autoSpaceDE w:val="0"/>
              <w:autoSpaceDN w:val="0"/>
              <w:adjustRightInd w:val="0"/>
              <w:snapToGrid w:val="0"/>
              <w:ind w:firstLine="1262" w:firstLineChars="526"/>
              <w:jc w:val="left"/>
              <w:rPr>
                <w:kern w:val="0"/>
              </w:rPr>
            </w:pPr>
            <w:r>
              <w:rPr>
                <w:kern w:val="0"/>
              </w:rPr>
              <w:t xml:space="preserve">DC ——指向性校正，它描述点声源的等效连续声压级与产生声功率级Lw的全向点声源在规定方 向的声级的偏差程度，dB； </w:t>
            </w:r>
          </w:p>
          <w:p>
            <w:pPr>
              <w:autoSpaceDE w:val="0"/>
              <w:autoSpaceDN w:val="0"/>
              <w:adjustRightInd w:val="0"/>
              <w:snapToGrid w:val="0"/>
              <w:ind w:firstLine="1262" w:firstLineChars="526"/>
              <w:jc w:val="left"/>
              <w:rPr>
                <w:kern w:val="0"/>
              </w:rPr>
            </w:pPr>
            <w:r>
              <w:rPr>
                <w:kern w:val="0"/>
              </w:rPr>
              <w:t>Adiv ——几何发散引起的衰减，dB；</w:t>
            </w:r>
          </w:p>
          <w:p>
            <w:pPr>
              <w:autoSpaceDE w:val="0"/>
              <w:autoSpaceDN w:val="0"/>
              <w:adjustRightInd w:val="0"/>
              <w:snapToGrid w:val="0"/>
              <w:ind w:firstLine="1200" w:firstLineChars="500"/>
              <w:jc w:val="left"/>
              <w:rPr>
                <w:kern w:val="0"/>
              </w:rPr>
            </w:pPr>
            <w:r>
              <w:rPr>
                <w:kern w:val="0"/>
              </w:rPr>
              <w:t>Aatm ——大气吸收引起的衰减，dB；</w:t>
            </w:r>
          </w:p>
          <w:p>
            <w:pPr>
              <w:autoSpaceDE w:val="0"/>
              <w:autoSpaceDN w:val="0"/>
              <w:adjustRightInd w:val="0"/>
              <w:snapToGrid w:val="0"/>
              <w:ind w:firstLine="480"/>
              <w:jc w:val="left"/>
              <w:rPr>
                <w:kern w:val="0"/>
              </w:rPr>
            </w:pPr>
            <w:r>
              <w:rPr>
                <w:kern w:val="0"/>
              </w:rPr>
              <w:t xml:space="preserve"> </w:t>
            </w:r>
            <w:r>
              <w:rPr>
                <w:rFonts w:hint="eastAsia"/>
                <w:kern w:val="0"/>
              </w:rPr>
              <w:t xml:space="preserve">     </w:t>
            </w:r>
            <w:r>
              <w:rPr>
                <w:kern w:val="0"/>
              </w:rPr>
              <w:t>Agr ——地面效应引起的衰减，dB；</w:t>
            </w:r>
          </w:p>
          <w:p>
            <w:pPr>
              <w:autoSpaceDE w:val="0"/>
              <w:autoSpaceDN w:val="0"/>
              <w:adjustRightInd w:val="0"/>
              <w:snapToGrid w:val="0"/>
              <w:ind w:firstLine="480"/>
              <w:jc w:val="left"/>
              <w:rPr>
                <w:kern w:val="0"/>
              </w:rPr>
            </w:pPr>
            <w:r>
              <w:rPr>
                <w:kern w:val="0"/>
              </w:rPr>
              <w:t xml:space="preserve"> </w:t>
            </w:r>
            <w:r>
              <w:rPr>
                <w:rFonts w:hint="eastAsia"/>
                <w:kern w:val="0"/>
              </w:rPr>
              <w:t xml:space="preserve">     </w:t>
            </w:r>
            <w:r>
              <w:rPr>
                <w:kern w:val="0"/>
              </w:rPr>
              <w:t>Abar ——障碍物屏蔽引起的衰减，dB；</w:t>
            </w:r>
          </w:p>
          <w:p>
            <w:pPr>
              <w:autoSpaceDE w:val="0"/>
              <w:autoSpaceDN w:val="0"/>
              <w:adjustRightInd w:val="0"/>
              <w:snapToGrid w:val="0"/>
              <w:ind w:firstLine="1024" w:firstLineChars="427"/>
              <w:jc w:val="left"/>
              <w:rPr>
                <w:kern w:val="0"/>
              </w:rPr>
            </w:pPr>
            <w:r>
              <w:rPr>
                <w:kern w:val="0"/>
              </w:rPr>
              <w:t xml:space="preserve"> Amisc ——其他多方面效应引起的衰减，dB。</w:t>
            </w:r>
          </w:p>
          <w:p>
            <w:pPr>
              <w:autoSpaceDE w:val="0"/>
              <w:autoSpaceDN w:val="0"/>
              <w:adjustRightInd w:val="0"/>
              <w:snapToGrid w:val="0"/>
              <w:ind w:firstLine="480"/>
              <w:jc w:val="left"/>
              <w:rPr>
                <w:kern w:val="0"/>
              </w:rPr>
            </w:pPr>
            <w:r>
              <w:rPr>
                <w:kern w:val="0"/>
              </w:rPr>
              <w:t>如已知靠近声源处某点的倍频带声压级时，相同方向预测点位置的倍频带声压级</w:t>
            </w:r>
            <w:r>
              <w:rPr>
                <w:i/>
                <w:iCs/>
                <w:kern w:val="0"/>
              </w:rPr>
              <w:t>L</w:t>
            </w:r>
            <w:r>
              <w:rPr>
                <w:i/>
                <w:iCs/>
                <w:kern w:val="0"/>
                <w:vertAlign w:val="subscript"/>
              </w:rPr>
              <w:t>P</w:t>
            </w:r>
            <w:r>
              <w:rPr>
                <w:kern w:val="0"/>
              </w:rPr>
              <w:t>(</w:t>
            </w:r>
            <w:r>
              <w:rPr>
                <w:i/>
                <w:iCs/>
                <w:kern w:val="0"/>
              </w:rPr>
              <w:t>r</w:t>
            </w:r>
            <w:r>
              <w:rPr>
                <w:kern w:val="0"/>
              </w:rPr>
              <w:t>)可按下式计算：</w:t>
            </w:r>
          </w:p>
          <w:p>
            <w:pPr>
              <w:autoSpaceDE w:val="0"/>
              <w:autoSpaceDN w:val="0"/>
              <w:adjustRightInd w:val="0"/>
              <w:snapToGrid w:val="0"/>
              <w:ind w:firstLine="480"/>
              <w:jc w:val="center"/>
              <w:rPr>
                <w:kern w:val="0"/>
              </w:rPr>
            </w:pPr>
            <w:r>
              <w:rPr>
                <w:i/>
                <w:iCs/>
                <w:kern w:val="0"/>
              </w:rPr>
              <w:t>L</w:t>
            </w:r>
            <w:r>
              <w:rPr>
                <w:i/>
                <w:iCs/>
                <w:kern w:val="0"/>
                <w:vertAlign w:val="subscript"/>
              </w:rPr>
              <w:t>P</w:t>
            </w:r>
            <w:r>
              <w:rPr>
                <w:kern w:val="0"/>
              </w:rPr>
              <w:t>(</w:t>
            </w:r>
            <w:r>
              <w:rPr>
                <w:i/>
                <w:iCs/>
                <w:kern w:val="0"/>
              </w:rPr>
              <w:t>r</w:t>
            </w:r>
            <w:r>
              <w:rPr>
                <w:kern w:val="0"/>
              </w:rPr>
              <w:t>)</w:t>
            </w:r>
            <w:r>
              <w:rPr>
                <w:i/>
                <w:iCs/>
                <w:kern w:val="0"/>
              </w:rPr>
              <w:t xml:space="preserve"> </w:t>
            </w:r>
            <w:r>
              <w:rPr>
                <w:kern w:val="0"/>
              </w:rPr>
              <w:t>=</w:t>
            </w:r>
            <w:r>
              <w:rPr>
                <w:i/>
                <w:iCs/>
                <w:kern w:val="0"/>
              </w:rPr>
              <w:t>L</w:t>
            </w:r>
            <w:r>
              <w:rPr>
                <w:i/>
                <w:iCs/>
                <w:kern w:val="0"/>
                <w:vertAlign w:val="subscript"/>
              </w:rPr>
              <w:t>P</w:t>
            </w:r>
            <w:r>
              <w:rPr>
                <w:kern w:val="0"/>
              </w:rPr>
              <w:t>(</w:t>
            </w:r>
            <w:r>
              <w:rPr>
                <w:i/>
                <w:iCs/>
                <w:kern w:val="0"/>
              </w:rPr>
              <w:t>r</w:t>
            </w:r>
            <w:r>
              <w:rPr>
                <w:kern w:val="0"/>
                <w:vertAlign w:val="subscript"/>
              </w:rPr>
              <w:t>0</w:t>
            </w:r>
            <w:r>
              <w:rPr>
                <w:kern w:val="0"/>
              </w:rPr>
              <w:t>)</w:t>
            </w:r>
            <w:r>
              <w:rPr>
                <w:i/>
                <w:iCs/>
                <w:kern w:val="0"/>
              </w:rPr>
              <w:t xml:space="preserve"> </w:t>
            </w:r>
            <w:r>
              <w:rPr>
                <w:kern w:val="0"/>
              </w:rPr>
              <w:t>−</w:t>
            </w:r>
            <w:r>
              <w:rPr>
                <w:i/>
                <w:iCs/>
                <w:kern w:val="0"/>
              </w:rPr>
              <w:t>A</w:t>
            </w:r>
          </w:p>
          <w:p>
            <w:pPr>
              <w:autoSpaceDE w:val="0"/>
              <w:autoSpaceDN w:val="0"/>
              <w:adjustRightInd w:val="0"/>
              <w:snapToGrid w:val="0"/>
              <w:ind w:firstLine="600" w:firstLineChars="250"/>
              <w:jc w:val="left"/>
              <w:rPr>
                <w:i/>
                <w:iCs/>
                <w:kern w:val="0"/>
              </w:rPr>
            </w:pPr>
            <w:r>
              <w:rPr>
                <w:kern w:val="0"/>
              </w:rPr>
              <w:t>预测点的A声级</w:t>
            </w:r>
            <w:r>
              <w:rPr>
                <w:i/>
                <w:iCs/>
                <w:kern w:val="0"/>
              </w:rPr>
              <w:t>L</w:t>
            </w:r>
            <w:r>
              <w:rPr>
                <w:i/>
                <w:iCs/>
                <w:kern w:val="0"/>
                <w:vertAlign w:val="subscript"/>
              </w:rPr>
              <w:t>A</w:t>
            </w:r>
            <w:r>
              <w:rPr>
                <w:kern w:val="0"/>
              </w:rPr>
              <w:t>(</w:t>
            </w:r>
            <w:r>
              <w:rPr>
                <w:i/>
                <w:iCs/>
                <w:kern w:val="0"/>
              </w:rPr>
              <w:t>r</w:t>
            </w:r>
            <w:r>
              <w:rPr>
                <w:kern w:val="0"/>
              </w:rPr>
              <w:t xml:space="preserve">)，可利用8个倍频带的声压级按下式计算： </w:t>
            </w:r>
          </w:p>
          <w:p>
            <w:pPr>
              <w:autoSpaceDE w:val="0"/>
              <w:autoSpaceDN w:val="0"/>
              <w:adjustRightInd w:val="0"/>
              <w:snapToGrid w:val="0"/>
              <w:ind w:firstLine="480"/>
              <w:jc w:val="center"/>
              <w:rPr>
                <w:kern w:val="0"/>
              </w:rPr>
            </w:pPr>
            <w:r>
              <w:rPr>
                <w:kern w:val="0"/>
                <w:position w:val="-28"/>
              </w:rPr>
              <w:drawing>
                <wp:inline distT="0" distB="0" distL="114300" distR="114300">
                  <wp:extent cx="1876425" cy="428625"/>
                  <wp:effectExtent l="0" t="0" r="9525" b="889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20"/>
                          <a:stretch>
                            <a:fillRect/>
                          </a:stretch>
                        </pic:blipFill>
                        <pic:spPr>
                          <a:xfrm>
                            <a:off x="0" y="0"/>
                            <a:ext cx="1876425" cy="428625"/>
                          </a:xfrm>
                          <a:prstGeom prst="rect">
                            <a:avLst/>
                          </a:prstGeom>
                          <a:noFill/>
                          <a:ln>
                            <a:noFill/>
                          </a:ln>
                        </pic:spPr>
                      </pic:pic>
                    </a:graphicData>
                  </a:graphic>
                </wp:inline>
              </w:drawing>
            </w:r>
          </w:p>
          <w:p>
            <w:pPr>
              <w:autoSpaceDE w:val="0"/>
              <w:autoSpaceDN w:val="0"/>
              <w:adjustRightInd w:val="0"/>
              <w:snapToGrid w:val="0"/>
              <w:ind w:firstLine="480"/>
              <w:jc w:val="left"/>
              <w:rPr>
                <w:kern w:val="0"/>
              </w:rPr>
            </w:pPr>
            <w:r>
              <w:rPr>
                <w:kern w:val="0"/>
              </w:rPr>
              <w:t>式中：</w:t>
            </w:r>
          </w:p>
          <w:p>
            <w:pPr>
              <w:autoSpaceDE w:val="0"/>
              <w:autoSpaceDN w:val="0"/>
              <w:adjustRightInd w:val="0"/>
              <w:snapToGrid w:val="0"/>
              <w:ind w:firstLine="480"/>
              <w:jc w:val="left"/>
              <w:rPr>
                <w:kern w:val="0"/>
              </w:rPr>
            </w:pPr>
            <w:r>
              <w:rPr>
                <w:i/>
                <w:iCs/>
                <w:kern w:val="0"/>
              </w:rPr>
              <w:t>L</w:t>
            </w:r>
            <w:r>
              <w:rPr>
                <w:i/>
                <w:iCs/>
                <w:kern w:val="0"/>
                <w:vertAlign w:val="subscript"/>
              </w:rPr>
              <w:t>Pi</w:t>
            </w:r>
            <w:r>
              <w:rPr>
                <w:kern w:val="0"/>
              </w:rPr>
              <w:t>(</w:t>
            </w:r>
            <w:r>
              <w:rPr>
                <w:i/>
                <w:iCs/>
                <w:kern w:val="0"/>
              </w:rPr>
              <w:t>r</w:t>
            </w:r>
            <w:r>
              <w:rPr>
                <w:kern w:val="0"/>
              </w:rPr>
              <w:t>)</w:t>
            </w:r>
            <w:r>
              <w:rPr>
                <w:i/>
                <w:iCs/>
                <w:kern w:val="0"/>
              </w:rPr>
              <w:t xml:space="preserve"> </w:t>
            </w:r>
            <w:r>
              <w:rPr>
                <w:kern w:val="0"/>
              </w:rPr>
              <w:t>—预测点（r）处，第i倍频带声压级，dB；</w:t>
            </w:r>
          </w:p>
          <w:p>
            <w:pPr>
              <w:autoSpaceDE w:val="0"/>
              <w:autoSpaceDN w:val="0"/>
              <w:adjustRightInd w:val="0"/>
              <w:snapToGrid w:val="0"/>
              <w:ind w:firstLine="480"/>
              <w:jc w:val="left"/>
              <w:rPr>
                <w:kern w:val="0"/>
              </w:rPr>
            </w:pPr>
            <w:r>
              <w:rPr>
                <w:kern w:val="0"/>
              </w:rPr>
              <w:t>Δ</w:t>
            </w:r>
            <w:r>
              <w:rPr>
                <w:i/>
                <w:iCs/>
                <w:kern w:val="0"/>
              </w:rPr>
              <w:t>L</w:t>
            </w:r>
            <w:r>
              <w:rPr>
                <w:i/>
                <w:iCs/>
                <w:kern w:val="0"/>
                <w:vertAlign w:val="subscript"/>
              </w:rPr>
              <w:t>i</w:t>
            </w:r>
            <w:r>
              <w:rPr>
                <w:i/>
                <w:iCs/>
                <w:kern w:val="0"/>
              </w:rPr>
              <w:t xml:space="preserve"> </w:t>
            </w:r>
            <w:r>
              <w:rPr>
                <w:kern w:val="0"/>
              </w:rPr>
              <w:t>—i倍频带A计权网络修正值，dB。</w:t>
            </w:r>
          </w:p>
          <w:p>
            <w:pPr>
              <w:autoSpaceDE w:val="0"/>
              <w:autoSpaceDN w:val="0"/>
              <w:adjustRightInd w:val="0"/>
              <w:snapToGrid w:val="0"/>
              <w:ind w:firstLine="480"/>
              <w:jc w:val="left"/>
              <w:rPr>
                <w:kern w:val="0"/>
              </w:rPr>
            </w:pPr>
            <w:r>
              <w:rPr>
                <w:kern w:val="0"/>
              </w:rPr>
              <w:t>在不能取得声源倍频带声功率级或倍频带声压级，只能获得A声功率级或某点的A声级时，可按下式作近似计算：</w:t>
            </w:r>
          </w:p>
          <w:p>
            <w:pPr>
              <w:autoSpaceDE w:val="0"/>
              <w:autoSpaceDN w:val="0"/>
              <w:adjustRightInd w:val="0"/>
              <w:snapToGrid w:val="0"/>
              <w:ind w:firstLine="480"/>
              <w:jc w:val="center"/>
              <w:rPr>
                <w:kern w:val="0"/>
                <w:lang w:val="it-IT"/>
              </w:rPr>
            </w:pPr>
            <w:r>
              <w:rPr>
                <w:i/>
                <w:iCs/>
                <w:kern w:val="0"/>
                <w:lang w:val="it-IT"/>
              </w:rPr>
              <w:t>L</w:t>
            </w:r>
            <w:r>
              <w:rPr>
                <w:i/>
                <w:iCs/>
                <w:kern w:val="0"/>
                <w:vertAlign w:val="subscript"/>
                <w:lang w:val="it-IT"/>
              </w:rPr>
              <w:t>A</w:t>
            </w:r>
            <w:r>
              <w:rPr>
                <w:kern w:val="0"/>
                <w:lang w:val="it-IT"/>
              </w:rPr>
              <w:t>(</w:t>
            </w:r>
            <w:r>
              <w:rPr>
                <w:i/>
                <w:iCs/>
                <w:kern w:val="0"/>
                <w:lang w:val="it-IT"/>
              </w:rPr>
              <w:t>r</w:t>
            </w:r>
            <w:r>
              <w:rPr>
                <w:kern w:val="0"/>
                <w:lang w:val="it-IT"/>
              </w:rPr>
              <w:t>)</w:t>
            </w:r>
            <w:r>
              <w:rPr>
                <w:i/>
                <w:iCs/>
                <w:kern w:val="0"/>
                <w:lang w:val="it-IT"/>
              </w:rPr>
              <w:t xml:space="preserve"> </w:t>
            </w:r>
            <w:r>
              <w:rPr>
                <w:kern w:val="0"/>
                <w:lang w:val="it-IT"/>
              </w:rPr>
              <w:t>=</w:t>
            </w:r>
            <w:r>
              <w:rPr>
                <w:i/>
                <w:iCs/>
                <w:kern w:val="0"/>
                <w:lang w:val="it-IT"/>
              </w:rPr>
              <w:t>L</w:t>
            </w:r>
            <w:r>
              <w:rPr>
                <w:i/>
                <w:iCs/>
                <w:kern w:val="0"/>
                <w:vertAlign w:val="subscript"/>
                <w:lang w:val="it-IT"/>
              </w:rPr>
              <w:t>Aw</w:t>
            </w:r>
            <w:r>
              <w:rPr>
                <w:i/>
                <w:iCs/>
                <w:kern w:val="0"/>
                <w:lang w:val="it-IT"/>
              </w:rPr>
              <w:t xml:space="preserve"> </w:t>
            </w:r>
            <w:r>
              <w:rPr>
                <w:kern w:val="0"/>
                <w:lang w:val="it-IT"/>
              </w:rPr>
              <w:t>−</w:t>
            </w:r>
            <w:r>
              <w:rPr>
                <w:i/>
                <w:iCs/>
                <w:kern w:val="0"/>
                <w:lang w:val="it-IT"/>
              </w:rPr>
              <w:t>D</w:t>
            </w:r>
            <w:r>
              <w:rPr>
                <w:i/>
                <w:iCs/>
                <w:kern w:val="0"/>
                <w:vertAlign w:val="subscript"/>
                <w:lang w:val="it-IT"/>
              </w:rPr>
              <w:t>c</w:t>
            </w:r>
            <w:r>
              <w:rPr>
                <w:i/>
                <w:iCs/>
                <w:kern w:val="0"/>
                <w:lang w:val="it-IT"/>
              </w:rPr>
              <w:t xml:space="preserve"> </w:t>
            </w:r>
            <w:r>
              <w:rPr>
                <w:kern w:val="0"/>
                <w:lang w:val="it-IT"/>
              </w:rPr>
              <w:t>−</w:t>
            </w:r>
            <w:r>
              <w:rPr>
                <w:i/>
                <w:iCs/>
                <w:kern w:val="0"/>
                <w:lang w:val="it-IT"/>
              </w:rPr>
              <w:t>A</w:t>
            </w:r>
          </w:p>
          <w:p>
            <w:pPr>
              <w:autoSpaceDE w:val="0"/>
              <w:autoSpaceDN w:val="0"/>
              <w:adjustRightInd w:val="0"/>
              <w:snapToGrid w:val="0"/>
              <w:ind w:firstLine="480"/>
              <w:jc w:val="center"/>
              <w:rPr>
                <w:i/>
                <w:iCs/>
                <w:kern w:val="0"/>
                <w:lang w:val="it-IT"/>
              </w:rPr>
            </w:pPr>
            <w:r>
              <w:rPr>
                <w:kern w:val="0"/>
              </w:rPr>
              <w:t>或</w:t>
            </w:r>
            <w:r>
              <w:rPr>
                <w:kern w:val="0"/>
                <w:lang w:val="it-IT"/>
              </w:rPr>
              <w:t xml:space="preserve"> </w:t>
            </w:r>
            <w:r>
              <w:rPr>
                <w:i/>
                <w:iCs/>
                <w:kern w:val="0"/>
                <w:lang w:val="it-IT"/>
              </w:rPr>
              <w:t>L</w:t>
            </w:r>
            <w:r>
              <w:rPr>
                <w:i/>
                <w:iCs/>
                <w:kern w:val="0"/>
                <w:vertAlign w:val="subscript"/>
                <w:lang w:val="it-IT"/>
              </w:rPr>
              <w:t>A</w:t>
            </w:r>
            <w:r>
              <w:rPr>
                <w:kern w:val="0"/>
                <w:lang w:val="it-IT"/>
              </w:rPr>
              <w:t>(</w:t>
            </w:r>
            <w:r>
              <w:rPr>
                <w:i/>
                <w:iCs/>
                <w:kern w:val="0"/>
                <w:lang w:val="it-IT"/>
              </w:rPr>
              <w:t>r</w:t>
            </w:r>
            <w:r>
              <w:rPr>
                <w:kern w:val="0"/>
                <w:lang w:val="it-IT"/>
              </w:rPr>
              <w:t>)</w:t>
            </w:r>
            <w:r>
              <w:rPr>
                <w:i/>
                <w:iCs/>
                <w:kern w:val="0"/>
                <w:lang w:val="it-IT"/>
              </w:rPr>
              <w:t xml:space="preserve"> </w:t>
            </w:r>
            <w:r>
              <w:rPr>
                <w:kern w:val="0"/>
                <w:lang w:val="it-IT"/>
              </w:rPr>
              <w:t>=</w:t>
            </w:r>
            <w:r>
              <w:rPr>
                <w:i/>
                <w:iCs/>
                <w:kern w:val="0"/>
                <w:lang w:val="it-IT"/>
              </w:rPr>
              <w:t>L</w:t>
            </w:r>
            <w:r>
              <w:rPr>
                <w:i/>
                <w:iCs/>
                <w:kern w:val="0"/>
                <w:vertAlign w:val="subscript"/>
                <w:lang w:val="it-IT"/>
              </w:rPr>
              <w:t>A</w:t>
            </w:r>
            <w:r>
              <w:rPr>
                <w:kern w:val="0"/>
                <w:lang w:val="it-IT"/>
              </w:rPr>
              <w:t>(</w:t>
            </w:r>
            <w:r>
              <w:rPr>
                <w:i/>
                <w:iCs/>
                <w:kern w:val="0"/>
                <w:lang w:val="it-IT"/>
              </w:rPr>
              <w:t>r</w:t>
            </w:r>
            <w:r>
              <w:rPr>
                <w:kern w:val="0"/>
                <w:vertAlign w:val="subscript"/>
                <w:lang w:val="it-IT"/>
              </w:rPr>
              <w:t>0</w:t>
            </w:r>
            <w:r>
              <w:rPr>
                <w:kern w:val="0"/>
                <w:lang w:val="it-IT"/>
              </w:rPr>
              <w:t>)</w:t>
            </w:r>
            <w:r>
              <w:rPr>
                <w:i/>
                <w:iCs/>
                <w:kern w:val="0"/>
                <w:lang w:val="it-IT"/>
              </w:rPr>
              <w:t xml:space="preserve"> </w:t>
            </w:r>
            <w:r>
              <w:rPr>
                <w:kern w:val="0"/>
                <w:lang w:val="it-IT"/>
              </w:rPr>
              <w:t>−</w:t>
            </w:r>
            <w:r>
              <w:rPr>
                <w:i/>
                <w:iCs/>
                <w:kern w:val="0"/>
                <w:lang w:val="it-IT"/>
              </w:rPr>
              <w:t>A</w:t>
            </w:r>
          </w:p>
          <w:p>
            <w:pPr>
              <w:autoSpaceDE w:val="0"/>
              <w:autoSpaceDN w:val="0"/>
              <w:adjustRightInd w:val="0"/>
              <w:snapToGrid w:val="0"/>
              <w:ind w:firstLine="464"/>
              <w:jc w:val="left"/>
              <w:rPr>
                <w:spacing w:val="-4"/>
                <w:kern w:val="0"/>
              </w:rPr>
            </w:pPr>
            <w:r>
              <w:rPr>
                <w:i/>
                <w:iCs/>
                <w:spacing w:val="-4"/>
                <w:kern w:val="0"/>
              </w:rPr>
              <w:t>A</w:t>
            </w:r>
            <w:r>
              <w:rPr>
                <w:spacing w:val="-4"/>
                <w:kern w:val="0"/>
              </w:rPr>
              <w:t>可选择对A声级影响最大的倍频带计算，一般可选中心频率为500Hz的倍频带作估算。</w:t>
            </w:r>
          </w:p>
          <w:p>
            <w:pPr>
              <w:autoSpaceDE w:val="0"/>
              <w:autoSpaceDN w:val="0"/>
              <w:adjustRightInd w:val="0"/>
              <w:snapToGrid w:val="0"/>
              <w:ind w:firstLine="480"/>
              <w:jc w:val="left"/>
              <w:rPr>
                <w:kern w:val="0"/>
              </w:rPr>
            </w:pPr>
            <w:r>
              <w:rPr>
                <w:kern w:val="0"/>
              </w:rPr>
              <w:fldChar w:fldCharType="begin"/>
            </w:r>
            <w:r>
              <w:rPr>
                <w:kern w:val="0"/>
              </w:rPr>
              <w:instrText xml:space="preserve"> = 2 \* GB3 </w:instrText>
            </w:r>
            <w:r>
              <w:rPr>
                <w:kern w:val="0"/>
              </w:rPr>
              <w:fldChar w:fldCharType="separate"/>
            </w:r>
            <w:r>
              <w:rPr>
                <w:kern w:val="0"/>
              </w:rPr>
              <w:t>②</w:t>
            </w:r>
            <w:r>
              <w:rPr>
                <w:kern w:val="0"/>
              </w:rPr>
              <w:fldChar w:fldCharType="end"/>
            </w:r>
            <w:r>
              <w:rPr>
                <w:kern w:val="0"/>
              </w:rPr>
              <w:t>室内声源等效室外声源声功率级计算方法</w:t>
            </w:r>
          </w:p>
          <w:p>
            <w:pPr>
              <w:autoSpaceDE w:val="0"/>
              <w:autoSpaceDN w:val="0"/>
              <w:adjustRightInd w:val="0"/>
              <w:snapToGrid w:val="0"/>
              <w:ind w:firstLine="480"/>
              <w:jc w:val="left"/>
              <w:rPr>
                <w:kern w:val="0"/>
              </w:rPr>
            </w:pPr>
            <w:r>
              <w:rPr>
                <w:kern w:val="0"/>
              </w:rPr>
              <w:t>如图4-</w:t>
            </w:r>
            <w:r>
              <w:rPr>
                <w:rFonts w:hint="eastAsia"/>
                <w:kern w:val="0"/>
                <w:lang w:val="en-US" w:eastAsia="zh-CN"/>
              </w:rPr>
              <w:t>2</w:t>
            </w:r>
            <w:r>
              <w:rPr>
                <w:kern w:val="0"/>
              </w:rPr>
              <w:t>所示，声源位于室内，室内声源可采用等效室外声源声功率级法进行计算。设靠近开口处（或窗户）室内、室外某倍频带的声压级分别为</w:t>
            </w:r>
            <w:r>
              <w:rPr>
                <w:i/>
                <w:iCs/>
                <w:kern w:val="0"/>
              </w:rPr>
              <w:t>L</w:t>
            </w:r>
            <w:r>
              <w:rPr>
                <w:i/>
                <w:iCs/>
                <w:kern w:val="0"/>
                <w:vertAlign w:val="subscript"/>
              </w:rPr>
              <w:t>p</w:t>
            </w:r>
            <w:r>
              <w:rPr>
                <w:kern w:val="0"/>
                <w:vertAlign w:val="subscript"/>
              </w:rPr>
              <w:t>1</w:t>
            </w:r>
            <w:r>
              <w:rPr>
                <w:kern w:val="0"/>
              </w:rPr>
              <w:t>和</w:t>
            </w:r>
            <w:r>
              <w:rPr>
                <w:i/>
                <w:iCs/>
                <w:kern w:val="0"/>
              </w:rPr>
              <w:t>L</w:t>
            </w:r>
            <w:r>
              <w:rPr>
                <w:i/>
                <w:iCs/>
                <w:kern w:val="0"/>
                <w:vertAlign w:val="subscript"/>
              </w:rPr>
              <w:t>p</w:t>
            </w:r>
            <w:r>
              <w:rPr>
                <w:kern w:val="0"/>
                <w:vertAlign w:val="subscript"/>
              </w:rPr>
              <w:t>2</w:t>
            </w:r>
            <w:r>
              <w:rPr>
                <w:kern w:val="0"/>
              </w:rPr>
              <w:t>。若声源所在室内声场为近似扩散声场，则室外的倍频带声压级可按下式近似求出：</w:t>
            </w:r>
          </w:p>
          <w:p>
            <w:pPr>
              <w:autoSpaceDE w:val="0"/>
              <w:autoSpaceDN w:val="0"/>
              <w:adjustRightInd w:val="0"/>
              <w:snapToGrid w:val="0"/>
              <w:ind w:firstLine="480"/>
              <w:jc w:val="center"/>
              <w:rPr>
                <w:kern w:val="0"/>
              </w:rPr>
            </w:pPr>
            <w:r>
              <w:rPr>
                <w:i/>
                <w:iCs/>
                <w:kern w:val="0"/>
              </w:rPr>
              <w:t>L</w:t>
            </w:r>
            <w:r>
              <w:rPr>
                <w:i/>
                <w:iCs/>
                <w:kern w:val="0"/>
                <w:vertAlign w:val="subscript"/>
              </w:rPr>
              <w:t>P2</w:t>
            </w:r>
            <w:r>
              <w:rPr>
                <w:i/>
                <w:iCs/>
                <w:kern w:val="0"/>
              </w:rPr>
              <w:t xml:space="preserve"> </w:t>
            </w:r>
            <w:r>
              <w:rPr>
                <w:kern w:val="0"/>
              </w:rPr>
              <w:t>=</w:t>
            </w:r>
            <w:r>
              <w:rPr>
                <w:i/>
                <w:iCs/>
                <w:kern w:val="0"/>
              </w:rPr>
              <w:t>L</w:t>
            </w:r>
            <w:r>
              <w:rPr>
                <w:i/>
                <w:iCs/>
                <w:kern w:val="0"/>
                <w:vertAlign w:val="subscript"/>
              </w:rPr>
              <w:t>p1</w:t>
            </w:r>
            <w:r>
              <w:rPr>
                <w:kern w:val="0"/>
              </w:rPr>
              <w:t>−(</w:t>
            </w:r>
            <w:r>
              <w:rPr>
                <w:i/>
                <w:iCs/>
                <w:kern w:val="0"/>
              </w:rPr>
              <w:t>TL</w:t>
            </w:r>
            <w:r>
              <w:rPr>
                <w:kern w:val="0"/>
              </w:rPr>
              <w:t>+6)</w:t>
            </w:r>
          </w:p>
          <w:p>
            <w:pPr>
              <w:autoSpaceDE w:val="0"/>
              <w:autoSpaceDN w:val="0"/>
              <w:adjustRightInd w:val="0"/>
              <w:snapToGrid w:val="0"/>
              <w:ind w:firstLine="480"/>
              <w:jc w:val="left"/>
              <w:rPr>
                <w:kern w:val="0"/>
              </w:rPr>
            </w:pPr>
            <w:r>
              <w:rPr>
                <w:kern w:val="0"/>
              </w:rPr>
              <w:t>式中：</w:t>
            </w:r>
          </w:p>
          <w:p>
            <w:pPr>
              <w:autoSpaceDE w:val="0"/>
              <w:autoSpaceDN w:val="0"/>
              <w:adjustRightInd w:val="0"/>
              <w:snapToGrid w:val="0"/>
              <w:ind w:firstLine="480"/>
              <w:jc w:val="left"/>
              <w:rPr>
                <w:kern w:val="0"/>
              </w:rPr>
            </w:pPr>
            <w:r>
              <w:rPr>
                <w:i/>
                <w:iCs/>
                <w:kern w:val="0"/>
              </w:rPr>
              <w:t>TL</w:t>
            </w:r>
            <w:r>
              <w:rPr>
                <w:kern w:val="0"/>
              </w:rPr>
              <w:t>—隔墙（或窗户）倍频带的隔声量，dB。</w:t>
            </w:r>
          </w:p>
          <w:p>
            <w:pPr>
              <w:adjustRightInd w:val="0"/>
              <w:snapToGrid w:val="0"/>
              <w:ind w:firstLine="480"/>
              <w:jc w:val="center"/>
              <w:rPr>
                <w:color w:val="0000FF"/>
              </w:rPr>
            </w:pPr>
            <w:r>
              <w:rPr>
                <w:color w:val="0000FF"/>
              </w:rPr>
              <w:drawing>
                <wp:inline distT="0" distB="0" distL="114300" distR="114300">
                  <wp:extent cx="3609975" cy="1743075"/>
                  <wp:effectExtent l="0" t="0" r="9525" b="9525"/>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21"/>
                          <a:srcRect b="8575"/>
                          <a:stretch>
                            <a:fillRect/>
                          </a:stretch>
                        </pic:blipFill>
                        <pic:spPr>
                          <a:xfrm>
                            <a:off x="0" y="0"/>
                            <a:ext cx="3609975" cy="1743075"/>
                          </a:xfrm>
                          <a:prstGeom prst="rect">
                            <a:avLst/>
                          </a:prstGeom>
                          <a:noFill/>
                          <a:ln>
                            <a:noFill/>
                          </a:ln>
                        </pic:spPr>
                      </pic:pic>
                    </a:graphicData>
                  </a:graphic>
                </wp:inline>
              </w:drawing>
            </w:r>
          </w:p>
          <w:p>
            <w:pPr>
              <w:pStyle w:val="8"/>
              <w:numPr>
                <w:ilvl w:val="1"/>
                <w:numId w:val="0"/>
              </w:numPr>
              <w:jc w:val="center"/>
              <w:rPr>
                <w:rFonts w:ascii="Times New Roman" w:hAnsi="Times New Roman"/>
                <w:sz w:val="21"/>
                <w:szCs w:val="21"/>
              </w:rPr>
            </w:pPr>
            <w:r>
              <w:rPr>
                <w:rFonts w:ascii="Times New Roman" w:hAnsi="Times New Roman" w:eastAsia="宋体"/>
                <w:b/>
                <w:bCs/>
                <w:sz w:val="21"/>
                <w:szCs w:val="21"/>
              </w:rPr>
              <w:t>图 4</w:t>
            </w:r>
            <w:r>
              <w:rPr>
                <w:rFonts w:ascii="Times New Roman" w:hAnsi="Times New Roman" w:eastAsia="宋体"/>
                <w:b/>
                <w:bCs/>
                <w:sz w:val="21"/>
                <w:szCs w:val="21"/>
              </w:rPr>
              <w:noBreakHyphen/>
            </w:r>
            <w:r>
              <w:rPr>
                <w:rFonts w:hint="eastAsia" w:ascii="Times New Roman" w:hAnsi="Times New Roman" w:eastAsia="宋体"/>
                <w:b/>
                <w:bCs/>
                <w:sz w:val="21"/>
                <w:szCs w:val="21"/>
              </w:rPr>
              <w:t>2</w:t>
            </w:r>
            <w:r>
              <w:rPr>
                <w:rFonts w:ascii="Times New Roman" w:hAnsi="Times New Roman" w:eastAsia="宋体"/>
                <w:b/>
                <w:bCs/>
                <w:sz w:val="21"/>
                <w:szCs w:val="21"/>
              </w:rPr>
              <w:t xml:space="preserve">  室内声源等效为室外声源图例</w:t>
            </w:r>
          </w:p>
          <w:p>
            <w:pPr>
              <w:autoSpaceDE w:val="0"/>
              <w:autoSpaceDN w:val="0"/>
              <w:adjustRightInd w:val="0"/>
              <w:snapToGrid w:val="0"/>
              <w:ind w:firstLine="480"/>
              <w:jc w:val="left"/>
              <w:rPr>
                <w:kern w:val="0"/>
              </w:rPr>
            </w:pPr>
            <w:r>
              <w:rPr>
                <w:kern w:val="0"/>
              </w:rPr>
              <w:t>也可按下式计算某一室内声源靠近围护结构处产生的倍频带声压级：</w:t>
            </w:r>
          </w:p>
          <w:p>
            <w:pPr>
              <w:autoSpaceDE w:val="0"/>
              <w:autoSpaceDN w:val="0"/>
              <w:adjustRightInd w:val="0"/>
              <w:snapToGrid w:val="0"/>
              <w:ind w:firstLine="480"/>
              <w:jc w:val="center"/>
              <w:rPr>
                <w:kern w:val="0"/>
              </w:rPr>
            </w:pPr>
            <w:r>
              <w:rPr>
                <w:kern w:val="0"/>
                <w:position w:val="-24"/>
              </w:rPr>
              <w:drawing>
                <wp:inline distT="0" distB="0" distL="114300" distR="114300">
                  <wp:extent cx="1676400" cy="390525"/>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1676400" cy="390525"/>
                          </a:xfrm>
                          <a:prstGeom prst="rect">
                            <a:avLst/>
                          </a:prstGeom>
                          <a:noFill/>
                          <a:ln>
                            <a:noFill/>
                          </a:ln>
                        </pic:spPr>
                      </pic:pic>
                    </a:graphicData>
                  </a:graphic>
                </wp:inline>
              </w:drawing>
            </w:r>
          </w:p>
          <w:p>
            <w:pPr>
              <w:autoSpaceDE w:val="0"/>
              <w:autoSpaceDN w:val="0"/>
              <w:adjustRightInd w:val="0"/>
              <w:snapToGrid w:val="0"/>
              <w:ind w:firstLine="480"/>
              <w:jc w:val="left"/>
              <w:rPr>
                <w:kern w:val="0"/>
              </w:rPr>
            </w:pPr>
            <w:r>
              <w:rPr>
                <w:kern w:val="0"/>
              </w:rPr>
              <w:t>式中：</w:t>
            </w:r>
          </w:p>
          <w:p>
            <w:pPr>
              <w:autoSpaceDE w:val="0"/>
              <w:autoSpaceDN w:val="0"/>
              <w:adjustRightInd w:val="0"/>
              <w:snapToGrid w:val="0"/>
              <w:ind w:firstLine="480"/>
              <w:jc w:val="left"/>
              <w:rPr>
                <w:kern w:val="0"/>
              </w:rPr>
            </w:pPr>
            <w:r>
              <w:rPr>
                <w:i/>
                <w:iCs/>
                <w:kern w:val="0"/>
              </w:rPr>
              <w:t>Q</w:t>
            </w:r>
            <w:r>
              <w:rPr>
                <w:kern w:val="0"/>
              </w:rPr>
              <w:t>—指向性因数；通常对无指向性声源，当声源放在房间中心时，</w:t>
            </w:r>
            <w:r>
              <w:rPr>
                <w:i/>
                <w:iCs/>
                <w:kern w:val="0"/>
              </w:rPr>
              <w:t>Q</w:t>
            </w:r>
            <w:r>
              <w:rPr>
                <w:kern w:val="0"/>
              </w:rPr>
              <w:t>=1；当放在一面墙的中心时，</w:t>
            </w:r>
            <w:r>
              <w:rPr>
                <w:i/>
                <w:iCs/>
                <w:kern w:val="0"/>
              </w:rPr>
              <w:t>Q</w:t>
            </w:r>
            <w:r>
              <w:rPr>
                <w:kern w:val="0"/>
              </w:rPr>
              <w:t>=2；当放在两面墙夹角处时，</w:t>
            </w:r>
            <w:r>
              <w:rPr>
                <w:i/>
                <w:iCs/>
                <w:kern w:val="0"/>
              </w:rPr>
              <w:t>Q</w:t>
            </w:r>
            <w:r>
              <w:rPr>
                <w:kern w:val="0"/>
              </w:rPr>
              <w:t>=4；当放在三面墙夹角处时，</w:t>
            </w:r>
            <w:r>
              <w:rPr>
                <w:i/>
                <w:iCs/>
                <w:kern w:val="0"/>
              </w:rPr>
              <w:t>Q</w:t>
            </w:r>
            <w:r>
              <w:rPr>
                <w:kern w:val="0"/>
              </w:rPr>
              <w:t>=8。</w:t>
            </w:r>
          </w:p>
          <w:p>
            <w:pPr>
              <w:autoSpaceDE w:val="0"/>
              <w:autoSpaceDN w:val="0"/>
              <w:adjustRightInd w:val="0"/>
              <w:snapToGrid w:val="0"/>
              <w:ind w:firstLine="480"/>
              <w:jc w:val="left"/>
              <w:rPr>
                <w:kern w:val="0"/>
              </w:rPr>
            </w:pPr>
            <w:r>
              <w:rPr>
                <w:i/>
                <w:iCs/>
                <w:kern w:val="0"/>
              </w:rPr>
              <w:t>R</w:t>
            </w:r>
            <w:r>
              <w:rPr>
                <w:kern w:val="0"/>
              </w:rPr>
              <w:t>—房间常数；</w:t>
            </w:r>
            <w:r>
              <w:rPr>
                <w:i/>
                <w:iCs/>
                <w:kern w:val="0"/>
              </w:rPr>
              <w:t xml:space="preserve">R </w:t>
            </w:r>
            <w:r>
              <w:rPr>
                <w:kern w:val="0"/>
              </w:rPr>
              <w:t xml:space="preserve">= </w:t>
            </w:r>
            <w:r>
              <w:rPr>
                <w:i/>
                <w:iCs/>
                <w:kern w:val="0"/>
              </w:rPr>
              <w:t>S</w:t>
            </w:r>
            <w:r>
              <w:rPr>
                <w:kern w:val="0"/>
              </w:rPr>
              <w:t>α /(1 −α ) ，</w:t>
            </w:r>
            <w:r>
              <w:rPr>
                <w:i/>
                <w:iCs/>
                <w:kern w:val="0"/>
              </w:rPr>
              <w:t>S</w:t>
            </w:r>
            <w:r>
              <w:rPr>
                <w:kern w:val="0"/>
              </w:rPr>
              <w:t>为房间内表面面积，m</w:t>
            </w:r>
            <w:r>
              <w:rPr>
                <w:kern w:val="0"/>
                <w:vertAlign w:val="superscript"/>
              </w:rPr>
              <w:t>2</w:t>
            </w:r>
            <w:r>
              <w:rPr>
                <w:kern w:val="0"/>
              </w:rPr>
              <w:t>；α为平均吸声系数。</w:t>
            </w:r>
          </w:p>
          <w:p>
            <w:pPr>
              <w:autoSpaceDE w:val="0"/>
              <w:autoSpaceDN w:val="0"/>
              <w:adjustRightInd w:val="0"/>
              <w:snapToGrid w:val="0"/>
              <w:ind w:firstLine="480"/>
              <w:jc w:val="left"/>
              <w:rPr>
                <w:kern w:val="0"/>
              </w:rPr>
            </w:pPr>
            <w:r>
              <w:rPr>
                <w:i/>
                <w:iCs/>
                <w:kern w:val="0"/>
              </w:rPr>
              <w:t>r</w:t>
            </w:r>
            <w:r>
              <w:rPr>
                <w:kern w:val="0"/>
              </w:rPr>
              <w:t>—声源到靠近围护结构某点处的距离，m。</w:t>
            </w:r>
          </w:p>
          <w:p>
            <w:pPr>
              <w:autoSpaceDE w:val="0"/>
              <w:autoSpaceDN w:val="0"/>
              <w:adjustRightInd w:val="0"/>
              <w:snapToGrid w:val="0"/>
              <w:ind w:firstLine="480"/>
              <w:jc w:val="left"/>
              <w:rPr>
                <w:kern w:val="0"/>
              </w:rPr>
            </w:pPr>
            <w:r>
              <w:rPr>
                <w:kern w:val="0"/>
              </w:rPr>
              <w:t>然后按下式计算出所有室内声源在围护结构处产生的</w:t>
            </w:r>
            <w:r>
              <w:rPr>
                <w:i/>
                <w:iCs/>
                <w:kern w:val="0"/>
              </w:rPr>
              <w:t xml:space="preserve">i </w:t>
            </w:r>
            <w:r>
              <w:rPr>
                <w:kern w:val="0"/>
              </w:rPr>
              <w:t>倍频带叠加声压级：</w:t>
            </w:r>
          </w:p>
          <w:p>
            <w:pPr>
              <w:autoSpaceDE w:val="0"/>
              <w:autoSpaceDN w:val="0"/>
              <w:adjustRightInd w:val="0"/>
              <w:snapToGrid w:val="0"/>
              <w:ind w:firstLine="480"/>
              <w:jc w:val="center"/>
              <w:rPr>
                <w:kern w:val="0"/>
              </w:rPr>
            </w:pPr>
            <w:r>
              <w:rPr>
                <w:kern w:val="0"/>
                <w:position w:val="-30"/>
              </w:rPr>
              <w:drawing>
                <wp:inline distT="0" distB="0" distL="114300" distR="114300">
                  <wp:extent cx="1628775" cy="447675"/>
                  <wp:effectExtent l="0" t="0" r="9525" b="889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23"/>
                          <a:stretch>
                            <a:fillRect/>
                          </a:stretch>
                        </pic:blipFill>
                        <pic:spPr>
                          <a:xfrm>
                            <a:off x="0" y="0"/>
                            <a:ext cx="1628775" cy="447675"/>
                          </a:xfrm>
                          <a:prstGeom prst="rect">
                            <a:avLst/>
                          </a:prstGeom>
                          <a:noFill/>
                          <a:ln>
                            <a:noFill/>
                          </a:ln>
                        </pic:spPr>
                      </pic:pic>
                    </a:graphicData>
                  </a:graphic>
                </wp:inline>
              </w:drawing>
            </w:r>
          </w:p>
          <w:p>
            <w:pPr>
              <w:autoSpaceDE w:val="0"/>
              <w:autoSpaceDN w:val="0"/>
              <w:adjustRightInd w:val="0"/>
              <w:snapToGrid w:val="0"/>
              <w:ind w:firstLine="480"/>
              <w:jc w:val="left"/>
              <w:rPr>
                <w:kern w:val="0"/>
              </w:rPr>
            </w:pPr>
            <w:r>
              <w:rPr>
                <w:kern w:val="0"/>
              </w:rPr>
              <w:t>式中：</w:t>
            </w:r>
          </w:p>
          <w:p>
            <w:pPr>
              <w:autoSpaceDE w:val="0"/>
              <w:autoSpaceDN w:val="0"/>
              <w:adjustRightInd w:val="0"/>
              <w:snapToGrid w:val="0"/>
              <w:ind w:firstLine="480"/>
              <w:jc w:val="left"/>
              <w:rPr>
                <w:kern w:val="0"/>
              </w:rPr>
            </w:pPr>
            <w:r>
              <w:rPr>
                <w:i/>
                <w:iCs/>
                <w:kern w:val="0"/>
              </w:rPr>
              <w:t>L P</w:t>
            </w:r>
            <w:r>
              <w:rPr>
                <w:kern w:val="0"/>
                <w:vertAlign w:val="subscript"/>
              </w:rPr>
              <w:t>1</w:t>
            </w:r>
            <w:r>
              <w:rPr>
                <w:i/>
                <w:iCs/>
                <w:kern w:val="0"/>
                <w:vertAlign w:val="subscript"/>
              </w:rPr>
              <w:t>i</w:t>
            </w:r>
            <w:r>
              <w:rPr>
                <w:i/>
                <w:iCs/>
                <w:kern w:val="0"/>
              </w:rPr>
              <w:t xml:space="preserve"> </w:t>
            </w:r>
            <w:r>
              <w:rPr>
                <w:kern w:val="0"/>
              </w:rPr>
              <w:t>(</w:t>
            </w:r>
            <w:r>
              <w:rPr>
                <w:i/>
                <w:iCs/>
                <w:kern w:val="0"/>
              </w:rPr>
              <w:t>T</w:t>
            </w:r>
            <w:r>
              <w:rPr>
                <w:kern w:val="0"/>
              </w:rPr>
              <w:t>)</w:t>
            </w:r>
            <w:r>
              <w:rPr>
                <w:i/>
                <w:iCs/>
                <w:kern w:val="0"/>
              </w:rPr>
              <w:t xml:space="preserve"> </w:t>
            </w:r>
            <w:r>
              <w:rPr>
                <w:kern w:val="0"/>
              </w:rPr>
              <w:t>—靠近围护结构处室内N个声源</w:t>
            </w:r>
            <w:r>
              <w:rPr>
                <w:i/>
                <w:iCs/>
                <w:kern w:val="0"/>
              </w:rPr>
              <w:t>i</w:t>
            </w:r>
            <w:r>
              <w:rPr>
                <w:kern w:val="0"/>
              </w:rPr>
              <w:t>倍频带的叠加声压级，dB；</w:t>
            </w:r>
          </w:p>
          <w:p>
            <w:pPr>
              <w:autoSpaceDE w:val="0"/>
              <w:autoSpaceDN w:val="0"/>
              <w:adjustRightInd w:val="0"/>
              <w:snapToGrid w:val="0"/>
              <w:ind w:firstLine="480"/>
              <w:jc w:val="left"/>
              <w:rPr>
                <w:kern w:val="0"/>
              </w:rPr>
            </w:pPr>
            <w:r>
              <w:rPr>
                <w:i/>
                <w:iCs/>
                <w:kern w:val="0"/>
              </w:rPr>
              <w:t xml:space="preserve">L </w:t>
            </w:r>
            <w:r>
              <w:rPr>
                <w:i/>
                <w:iCs/>
                <w:kern w:val="0"/>
                <w:vertAlign w:val="subscript"/>
              </w:rPr>
              <w:t>P</w:t>
            </w:r>
            <w:r>
              <w:rPr>
                <w:kern w:val="0"/>
                <w:vertAlign w:val="subscript"/>
              </w:rPr>
              <w:t>1</w:t>
            </w:r>
            <w:r>
              <w:rPr>
                <w:i/>
                <w:iCs/>
                <w:kern w:val="0"/>
                <w:vertAlign w:val="subscript"/>
              </w:rPr>
              <w:t>ij</w:t>
            </w:r>
            <w:r>
              <w:rPr>
                <w:i/>
                <w:iCs/>
                <w:kern w:val="0"/>
              </w:rPr>
              <w:t xml:space="preserve"> </w:t>
            </w:r>
            <w:r>
              <w:rPr>
                <w:kern w:val="0"/>
              </w:rPr>
              <w:t>—室内</w:t>
            </w:r>
            <w:r>
              <w:rPr>
                <w:i/>
                <w:iCs/>
                <w:kern w:val="0"/>
              </w:rPr>
              <w:t>j</w:t>
            </w:r>
            <w:r>
              <w:rPr>
                <w:kern w:val="0"/>
              </w:rPr>
              <w:t>声源</w:t>
            </w:r>
            <w:r>
              <w:rPr>
                <w:i/>
                <w:iCs/>
                <w:kern w:val="0"/>
              </w:rPr>
              <w:t>i</w:t>
            </w:r>
            <w:r>
              <w:rPr>
                <w:kern w:val="0"/>
              </w:rPr>
              <w:t>倍频带的声压级，dB；</w:t>
            </w:r>
          </w:p>
          <w:p>
            <w:pPr>
              <w:autoSpaceDE w:val="0"/>
              <w:autoSpaceDN w:val="0"/>
              <w:adjustRightInd w:val="0"/>
              <w:snapToGrid w:val="0"/>
              <w:ind w:firstLine="480"/>
              <w:jc w:val="left"/>
              <w:rPr>
                <w:kern w:val="0"/>
              </w:rPr>
            </w:pPr>
            <w:r>
              <w:rPr>
                <w:kern w:val="0"/>
              </w:rPr>
              <w:t>N—室内声源总数。</w:t>
            </w:r>
          </w:p>
          <w:p>
            <w:pPr>
              <w:autoSpaceDE w:val="0"/>
              <w:autoSpaceDN w:val="0"/>
              <w:adjustRightInd w:val="0"/>
              <w:snapToGrid w:val="0"/>
              <w:ind w:firstLine="480"/>
              <w:jc w:val="left"/>
              <w:rPr>
                <w:kern w:val="0"/>
              </w:rPr>
            </w:pPr>
            <w:r>
              <w:rPr>
                <w:kern w:val="0"/>
              </w:rPr>
              <w:t>在室内近似为扩散声场时，按下式计算出靠近室外围护结构处的声压级：</w:t>
            </w:r>
          </w:p>
          <w:p>
            <w:pPr>
              <w:autoSpaceDE w:val="0"/>
              <w:autoSpaceDN w:val="0"/>
              <w:adjustRightInd w:val="0"/>
              <w:snapToGrid w:val="0"/>
              <w:ind w:firstLine="480"/>
              <w:jc w:val="center"/>
              <w:rPr>
                <w:kern w:val="0"/>
                <w:lang w:val="da-DK"/>
              </w:rPr>
            </w:pPr>
            <w:r>
              <w:rPr>
                <w:i/>
                <w:iCs/>
                <w:kern w:val="0"/>
                <w:lang w:val="da-DK"/>
              </w:rPr>
              <w:t>L</w:t>
            </w:r>
            <w:r>
              <w:rPr>
                <w:i/>
                <w:iCs/>
                <w:kern w:val="0"/>
                <w:vertAlign w:val="subscript"/>
                <w:lang w:val="da-DK"/>
              </w:rPr>
              <w:t>P2 i</w:t>
            </w:r>
            <w:r>
              <w:rPr>
                <w:kern w:val="0"/>
                <w:lang w:val="da-DK"/>
              </w:rPr>
              <w:t>(</w:t>
            </w:r>
            <w:r>
              <w:rPr>
                <w:i/>
                <w:iCs/>
                <w:kern w:val="0"/>
                <w:lang w:val="da-DK"/>
              </w:rPr>
              <w:t>T</w:t>
            </w:r>
            <w:r>
              <w:rPr>
                <w:kern w:val="0"/>
                <w:lang w:val="da-DK"/>
              </w:rPr>
              <w:t>)</w:t>
            </w:r>
            <w:r>
              <w:rPr>
                <w:i/>
                <w:iCs/>
                <w:kern w:val="0"/>
                <w:lang w:val="da-DK"/>
              </w:rPr>
              <w:t xml:space="preserve"> </w:t>
            </w:r>
            <w:r>
              <w:rPr>
                <w:kern w:val="0"/>
                <w:lang w:val="da-DK"/>
              </w:rPr>
              <w:t>=</w:t>
            </w:r>
            <w:r>
              <w:rPr>
                <w:i/>
                <w:iCs/>
                <w:kern w:val="0"/>
                <w:lang w:val="da-DK"/>
              </w:rPr>
              <w:t>L</w:t>
            </w:r>
            <w:r>
              <w:rPr>
                <w:i/>
                <w:iCs/>
                <w:kern w:val="0"/>
                <w:vertAlign w:val="subscript"/>
                <w:lang w:val="da-DK"/>
              </w:rPr>
              <w:t>P1i</w:t>
            </w:r>
            <w:r>
              <w:rPr>
                <w:kern w:val="0"/>
                <w:lang w:val="da-DK"/>
              </w:rPr>
              <w:t>(</w:t>
            </w:r>
            <w:r>
              <w:rPr>
                <w:i/>
                <w:iCs/>
                <w:kern w:val="0"/>
                <w:lang w:val="da-DK"/>
              </w:rPr>
              <w:t>T</w:t>
            </w:r>
            <w:r>
              <w:rPr>
                <w:kern w:val="0"/>
                <w:lang w:val="da-DK"/>
              </w:rPr>
              <w:t>)−(</w:t>
            </w:r>
            <w:r>
              <w:rPr>
                <w:i/>
                <w:iCs/>
                <w:kern w:val="0"/>
                <w:lang w:val="da-DK"/>
              </w:rPr>
              <w:t xml:space="preserve">T </w:t>
            </w:r>
            <w:r>
              <w:rPr>
                <w:i/>
                <w:iCs/>
                <w:kern w:val="0"/>
                <w:vertAlign w:val="subscript"/>
                <w:lang w:val="da-DK"/>
              </w:rPr>
              <w:t>i</w:t>
            </w:r>
            <w:r>
              <w:rPr>
                <w:kern w:val="0"/>
                <w:lang w:val="da-DK"/>
              </w:rPr>
              <w:t>+6)</w:t>
            </w:r>
          </w:p>
          <w:p>
            <w:pPr>
              <w:autoSpaceDE w:val="0"/>
              <w:autoSpaceDN w:val="0"/>
              <w:adjustRightInd w:val="0"/>
              <w:snapToGrid w:val="0"/>
              <w:ind w:firstLine="480"/>
              <w:jc w:val="left"/>
              <w:rPr>
                <w:kern w:val="0"/>
              </w:rPr>
            </w:pPr>
            <w:r>
              <w:rPr>
                <w:kern w:val="0"/>
              </w:rPr>
              <w:t>式中：</w:t>
            </w:r>
          </w:p>
          <w:p>
            <w:pPr>
              <w:autoSpaceDE w:val="0"/>
              <w:autoSpaceDN w:val="0"/>
              <w:adjustRightInd w:val="0"/>
              <w:snapToGrid w:val="0"/>
              <w:ind w:firstLine="480"/>
              <w:jc w:val="left"/>
              <w:rPr>
                <w:kern w:val="0"/>
              </w:rPr>
            </w:pPr>
            <w:r>
              <w:rPr>
                <w:i/>
                <w:iCs/>
                <w:kern w:val="0"/>
              </w:rPr>
              <w:t>L</w:t>
            </w:r>
            <w:r>
              <w:rPr>
                <w:i/>
                <w:iCs/>
                <w:kern w:val="0"/>
                <w:vertAlign w:val="subscript"/>
              </w:rPr>
              <w:t>P2i</w:t>
            </w:r>
            <w:r>
              <w:rPr>
                <w:kern w:val="0"/>
              </w:rPr>
              <w:t>(</w:t>
            </w:r>
            <w:r>
              <w:rPr>
                <w:i/>
                <w:iCs/>
                <w:kern w:val="0"/>
              </w:rPr>
              <w:t>T</w:t>
            </w:r>
            <w:r>
              <w:rPr>
                <w:kern w:val="0"/>
              </w:rPr>
              <w:t>)</w:t>
            </w:r>
            <w:r>
              <w:rPr>
                <w:i/>
                <w:iCs/>
                <w:kern w:val="0"/>
              </w:rPr>
              <w:t xml:space="preserve"> </w:t>
            </w:r>
            <w:r>
              <w:rPr>
                <w:kern w:val="0"/>
              </w:rPr>
              <w:t>—靠近围护结构处室外N个声源</w:t>
            </w:r>
            <w:r>
              <w:rPr>
                <w:i/>
                <w:iCs/>
                <w:kern w:val="0"/>
              </w:rPr>
              <w:t>i</w:t>
            </w:r>
            <w:r>
              <w:rPr>
                <w:kern w:val="0"/>
              </w:rPr>
              <w:t>倍频带的叠加声压级，dB；</w:t>
            </w:r>
          </w:p>
          <w:p>
            <w:pPr>
              <w:autoSpaceDE w:val="0"/>
              <w:autoSpaceDN w:val="0"/>
              <w:adjustRightInd w:val="0"/>
              <w:snapToGrid w:val="0"/>
              <w:ind w:firstLine="480"/>
              <w:jc w:val="left"/>
              <w:rPr>
                <w:kern w:val="0"/>
              </w:rPr>
            </w:pPr>
            <w:r>
              <w:rPr>
                <w:i/>
                <w:iCs/>
                <w:kern w:val="0"/>
              </w:rPr>
              <w:t>TL</w:t>
            </w:r>
            <w:r>
              <w:rPr>
                <w:i/>
                <w:iCs/>
                <w:kern w:val="0"/>
                <w:vertAlign w:val="subscript"/>
              </w:rPr>
              <w:t xml:space="preserve">i </w:t>
            </w:r>
            <w:r>
              <w:rPr>
                <w:kern w:val="0"/>
              </w:rPr>
              <w:t>—围护结构</w:t>
            </w:r>
            <w:r>
              <w:rPr>
                <w:i/>
                <w:iCs/>
                <w:kern w:val="0"/>
              </w:rPr>
              <w:t xml:space="preserve">i </w:t>
            </w:r>
            <w:r>
              <w:rPr>
                <w:kern w:val="0"/>
              </w:rPr>
              <w:t>倍频带的隔声量，dB。</w:t>
            </w:r>
          </w:p>
          <w:p>
            <w:pPr>
              <w:autoSpaceDE w:val="0"/>
              <w:autoSpaceDN w:val="0"/>
              <w:adjustRightInd w:val="0"/>
              <w:snapToGrid w:val="0"/>
              <w:ind w:firstLine="480"/>
              <w:jc w:val="left"/>
              <w:rPr>
                <w:kern w:val="0"/>
              </w:rPr>
            </w:pPr>
            <w:r>
              <w:rPr>
                <w:kern w:val="0"/>
              </w:rPr>
              <w:t>然后按下式将室外声源的声压级和透过面积换算成等效的室外声源，计算出中心位</w:t>
            </w:r>
          </w:p>
          <w:p>
            <w:pPr>
              <w:autoSpaceDE w:val="0"/>
              <w:autoSpaceDN w:val="0"/>
              <w:adjustRightInd w:val="0"/>
              <w:snapToGrid w:val="0"/>
              <w:ind w:firstLine="480"/>
              <w:jc w:val="left"/>
              <w:rPr>
                <w:kern w:val="0"/>
              </w:rPr>
            </w:pPr>
            <w:r>
              <w:rPr>
                <w:kern w:val="0"/>
              </w:rPr>
              <w:t>置位于透声面积（S）处的等效声源的倍频带声功率级。</w:t>
            </w:r>
          </w:p>
          <w:p>
            <w:pPr>
              <w:autoSpaceDE w:val="0"/>
              <w:autoSpaceDN w:val="0"/>
              <w:adjustRightInd w:val="0"/>
              <w:snapToGrid w:val="0"/>
              <w:ind w:firstLine="480"/>
              <w:jc w:val="center"/>
              <w:rPr>
                <w:kern w:val="0"/>
              </w:rPr>
            </w:pPr>
            <w:r>
              <w:rPr>
                <w:i/>
                <w:iCs/>
                <w:kern w:val="0"/>
              </w:rPr>
              <w:t>L</w:t>
            </w:r>
            <w:r>
              <w:rPr>
                <w:i/>
                <w:iCs/>
                <w:kern w:val="0"/>
                <w:vertAlign w:val="subscript"/>
              </w:rPr>
              <w:t>W</w:t>
            </w:r>
            <w:r>
              <w:rPr>
                <w:i/>
                <w:iCs/>
                <w:kern w:val="0"/>
              </w:rPr>
              <w:t xml:space="preserve"> </w:t>
            </w:r>
            <w:r>
              <w:rPr>
                <w:kern w:val="0"/>
              </w:rPr>
              <w:t>=</w:t>
            </w:r>
            <w:r>
              <w:rPr>
                <w:i/>
                <w:iCs/>
                <w:kern w:val="0"/>
              </w:rPr>
              <w:t>L</w:t>
            </w:r>
            <w:r>
              <w:rPr>
                <w:i/>
                <w:iCs/>
                <w:kern w:val="0"/>
                <w:vertAlign w:val="subscript"/>
              </w:rPr>
              <w:t>P</w:t>
            </w:r>
            <w:r>
              <w:rPr>
                <w:kern w:val="0"/>
                <w:vertAlign w:val="subscript"/>
              </w:rPr>
              <w:t>2</w:t>
            </w:r>
            <w:r>
              <w:rPr>
                <w:kern w:val="0"/>
              </w:rPr>
              <w:t>(</w:t>
            </w:r>
            <w:r>
              <w:rPr>
                <w:i/>
                <w:iCs/>
                <w:kern w:val="0"/>
              </w:rPr>
              <w:t>T</w:t>
            </w:r>
            <w:r>
              <w:rPr>
                <w:kern w:val="0"/>
              </w:rPr>
              <w:t>)</w:t>
            </w:r>
            <w:r>
              <w:rPr>
                <w:i/>
                <w:iCs/>
                <w:kern w:val="0"/>
              </w:rPr>
              <w:t xml:space="preserve"> </w:t>
            </w:r>
            <w:r>
              <w:rPr>
                <w:kern w:val="0"/>
              </w:rPr>
              <w:t>+ 10lg</w:t>
            </w:r>
            <w:r>
              <w:rPr>
                <w:i/>
                <w:iCs/>
                <w:kern w:val="0"/>
              </w:rPr>
              <w:t xml:space="preserve"> s</w:t>
            </w:r>
          </w:p>
          <w:p>
            <w:pPr>
              <w:autoSpaceDE w:val="0"/>
              <w:autoSpaceDN w:val="0"/>
              <w:adjustRightInd w:val="0"/>
              <w:snapToGrid w:val="0"/>
              <w:ind w:firstLine="480"/>
              <w:jc w:val="left"/>
              <w:rPr>
                <w:kern w:val="0"/>
              </w:rPr>
            </w:pPr>
            <w:r>
              <w:rPr>
                <w:kern w:val="0"/>
              </w:rPr>
              <w:t>然后按室外声源预测方法计算预测点处的A声级。</w:t>
            </w:r>
          </w:p>
          <w:p>
            <w:pPr>
              <w:autoSpaceDE w:val="0"/>
              <w:autoSpaceDN w:val="0"/>
              <w:adjustRightInd w:val="0"/>
              <w:snapToGrid w:val="0"/>
              <w:ind w:firstLine="480"/>
              <w:jc w:val="left"/>
              <w:rPr>
                <w:kern w:val="0"/>
              </w:rPr>
            </w:pPr>
            <w:r>
              <w:fldChar w:fldCharType="begin"/>
            </w:r>
            <w:r>
              <w:instrText xml:space="preserve"> = 3 \* GB3 </w:instrText>
            </w:r>
            <w:r>
              <w:fldChar w:fldCharType="separate"/>
            </w:r>
            <w:r>
              <w:t>③</w:t>
            </w:r>
            <w:r>
              <w:fldChar w:fldCharType="end"/>
            </w:r>
            <w:r>
              <w:rPr>
                <w:kern w:val="0"/>
              </w:rPr>
              <w:t>噪声贡献值计算</w:t>
            </w:r>
          </w:p>
          <w:p>
            <w:pPr>
              <w:autoSpaceDE w:val="0"/>
              <w:autoSpaceDN w:val="0"/>
              <w:adjustRightInd w:val="0"/>
              <w:snapToGrid w:val="0"/>
              <w:ind w:firstLine="480"/>
              <w:jc w:val="left"/>
              <w:rPr>
                <w:kern w:val="0"/>
              </w:rPr>
            </w:pPr>
            <w:r>
              <w:rPr>
                <w:kern w:val="0"/>
              </w:rPr>
              <w:t>设第</w:t>
            </w:r>
            <w:r>
              <w:rPr>
                <w:i/>
                <w:iCs/>
                <w:kern w:val="0"/>
              </w:rPr>
              <w:t>i</w:t>
            </w:r>
            <w:r>
              <w:rPr>
                <w:kern w:val="0"/>
              </w:rPr>
              <w:t>个室外声源在预测点产生的A声级为</w:t>
            </w:r>
            <w:r>
              <w:rPr>
                <w:i/>
                <w:iCs/>
                <w:kern w:val="0"/>
              </w:rPr>
              <w:t>L</w:t>
            </w:r>
            <w:r>
              <w:rPr>
                <w:i/>
                <w:iCs/>
                <w:kern w:val="0"/>
                <w:vertAlign w:val="subscript"/>
              </w:rPr>
              <w:t>Ai</w:t>
            </w:r>
            <w:r>
              <w:rPr>
                <w:kern w:val="0"/>
              </w:rPr>
              <w:t>，在</w:t>
            </w:r>
            <w:r>
              <w:rPr>
                <w:i/>
                <w:iCs/>
                <w:kern w:val="0"/>
              </w:rPr>
              <w:t>T</w:t>
            </w:r>
            <w:r>
              <w:rPr>
                <w:kern w:val="0"/>
              </w:rPr>
              <w:t>时间内该声源工作时间为</w:t>
            </w:r>
            <w:r>
              <w:rPr>
                <w:i/>
                <w:iCs/>
                <w:kern w:val="0"/>
              </w:rPr>
              <w:t>t</w:t>
            </w:r>
            <w:r>
              <w:rPr>
                <w:i/>
                <w:iCs/>
                <w:kern w:val="0"/>
                <w:vertAlign w:val="subscript"/>
              </w:rPr>
              <w:t>i</w:t>
            </w:r>
            <w:r>
              <w:rPr>
                <w:kern w:val="0"/>
              </w:rPr>
              <w:t>；第</w:t>
            </w:r>
            <w:r>
              <w:rPr>
                <w:i/>
                <w:iCs/>
                <w:kern w:val="0"/>
              </w:rPr>
              <w:t>j</w:t>
            </w:r>
            <w:r>
              <w:rPr>
                <w:kern w:val="0"/>
              </w:rPr>
              <w:t>个等效室外声源在预测点产生的A声级为</w:t>
            </w:r>
            <w:r>
              <w:rPr>
                <w:i/>
                <w:iCs/>
                <w:kern w:val="0"/>
              </w:rPr>
              <w:t>L</w:t>
            </w:r>
            <w:r>
              <w:rPr>
                <w:i/>
                <w:iCs/>
                <w:kern w:val="0"/>
                <w:vertAlign w:val="subscript"/>
              </w:rPr>
              <w:t>Aj</w:t>
            </w:r>
            <w:r>
              <w:rPr>
                <w:kern w:val="0"/>
              </w:rPr>
              <w:t>，在</w:t>
            </w:r>
            <w:r>
              <w:rPr>
                <w:i/>
                <w:iCs/>
                <w:kern w:val="0"/>
              </w:rPr>
              <w:t>T</w:t>
            </w:r>
            <w:r>
              <w:rPr>
                <w:kern w:val="0"/>
              </w:rPr>
              <w:t>时间内该声源工作时间为</w:t>
            </w:r>
            <w:r>
              <w:rPr>
                <w:i/>
                <w:iCs/>
                <w:kern w:val="0"/>
              </w:rPr>
              <w:t>t</w:t>
            </w:r>
            <w:r>
              <w:rPr>
                <w:i/>
                <w:iCs/>
                <w:kern w:val="0"/>
                <w:vertAlign w:val="subscript"/>
              </w:rPr>
              <w:t>j</w:t>
            </w:r>
            <w:r>
              <w:rPr>
                <w:kern w:val="0"/>
              </w:rPr>
              <w:t>，则拟建工程声源对预测点产生的贡献值（</w:t>
            </w:r>
            <w:r>
              <w:rPr>
                <w:i/>
                <w:iCs/>
                <w:kern w:val="0"/>
              </w:rPr>
              <w:t>L</w:t>
            </w:r>
            <w:r>
              <w:rPr>
                <w:i/>
                <w:iCs/>
                <w:kern w:val="0"/>
                <w:vertAlign w:val="subscript"/>
              </w:rPr>
              <w:t>eqg</w:t>
            </w:r>
            <w:r>
              <w:rPr>
                <w:i/>
                <w:iCs/>
                <w:kern w:val="0"/>
              </w:rPr>
              <w:t xml:space="preserve"> </w:t>
            </w:r>
            <w:r>
              <w:rPr>
                <w:kern w:val="0"/>
              </w:rPr>
              <w:t>）为：</w:t>
            </w:r>
          </w:p>
          <w:p>
            <w:pPr>
              <w:autoSpaceDE w:val="0"/>
              <w:autoSpaceDN w:val="0"/>
              <w:adjustRightInd w:val="0"/>
              <w:snapToGrid w:val="0"/>
              <w:ind w:firstLine="480"/>
              <w:jc w:val="center"/>
              <w:rPr>
                <w:kern w:val="0"/>
              </w:rPr>
            </w:pPr>
            <w:r>
              <w:rPr>
                <w:kern w:val="0"/>
                <w:position w:val="-30"/>
              </w:rPr>
              <w:drawing>
                <wp:inline distT="0" distB="0" distL="114300" distR="114300">
                  <wp:extent cx="2524125" cy="447675"/>
                  <wp:effectExtent l="0" t="0" r="9525" b="889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4"/>
                          <a:stretch>
                            <a:fillRect/>
                          </a:stretch>
                        </pic:blipFill>
                        <pic:spPr>
                          <a:xfrm>
                            <a:off x="0" y="0"/>
                            <a:ext cx="2524125" cy="447675"/>
                          </a:xfrm>
                          <a:prstGeom prst="rect">
                            <a:avLst/>
                          </a:prstGeom>
                          <a:noFill/>
                          <a:ln>
                            <a:noFill/>
                          </a:ln>
                        </pic:spPr>
                      </pic:pic>
                    </a:graphicData>
                  </a:graphic>
                </wp:inline>
              </w:drawing>
            </w:r>
          </w:p>
          <w:p>
            <w:pPr>
              <w:autoSpaceDE w:val="0"/>
              <w:autoSpaceDN w:val="0"/>
              <w:adjustRightInd w:val="0"/>
              <w:snapToGrid w:val="0"/>
              <w:ind w:firstLine="480"/>
              <w:jc w:val="left"/>
              <w:rPr>
                <w:kern w:val="0"/>
              </w:rPr>
            </w:pPr>
            <w:r>
              <w:rPr>
                <w:kern w:val="0"/>
              </w:rPr>
              <w:t>式中：</w:t>
            </w:r>
          </w:p>
          <w:p>
            <w:pPr>
              <w:autoSpaceDE w:val="0"/>
              <w:autoSpaceDN w:val="0"/>
              <w:adjustRightInd w:val="0"/>
              <w:snapToGrid w:val="0"/>
              <w:ind w:firstLine="480"/>
              <w:jc w:val="left"/>
              <w:rPr>
                <w:kern w:val="0"/>
              </w:rPr>
            </w:pPr>
            <w:r>
              <w:rPr>
                <w:i/>
                <w:iCs/>
                <w:kern w:val="0"/>
              </w:rPr>
              <w:t>t</w:t>
            </w:r>
            <w:r>
              <w:rPr>
                <w:i/>
                <w:iCs/>
                <w:kern w:val="0"/>
                <w:vertAlign w:val="subscript"/>
              </w:rPr>
              <w:t>j</w:t>
            </w:r>
            <w:r>
              <w:rPr>
                <w:i/>
                <w:iCs/>
                <w:kern w:val="0"/>
              </w:rPr>
              <w:t xml:space="preserve"> </w:t>
            </w:r>
            <w:r>
              <w:rPr>
                <w:kern w:val="0"/>
              </w:rPr>
              <w:t>—在T时间内j声源工作时间，s；</w:t>
            </w:r>
          </w:p>
          <w:p>
            <w:pPr>
              <w:autoSpaceDE w:val="0"/>
              <w:autoSpaceDN w:val="0"/>
              <w:adjustRightInd w:val="0"/>
              <w:snapToGrid w:val="0"/>
              <w:ind w:firstLine="480"/>
              <w:jc w:val="left"/>
              <w:rPr>
                <w:kern w:val="0"/>
              </w:rPr>
            </w:pPr>
            <w:r>
              <w:rPr>
                <w:i/>
                <w:iCs/>
                <w:kern w:val="0"/>
              </w:rPr>
              <w:t>t</w:t>
            </w:r>
            <w:r>
              <w:rPr>
                <w:i/>
                <w:iCs/>
                <w:kern w:val="0"/>
                <w:vertAlign w:val="subscript"/>
              </w:rPr>
              <w:t>i</w:t>
            </w:r>
            <w:r>
              <w:rPr>
                <w:i/>
                <w:iCs/>
                <w:kern w:val="0"/>
              </w:rPr>
              <w:t xml:space="preserve"> </w:t>
            </w:r>
            <w:r>
              <w:rPr>
                <w:kern w:val="0"/>
              </w:rPr>
              <w:t>—在T时间内i声源工作时间，s；</w:t>
            </w:r>
          </w:p>
          <w:p>
            <w:pPr>
              <w:autoSpaceDE w:val="0"/>
              <w:autoSpaceDN w:val="0"/>
              <w:adjustRightInd w:val="0"/>
              <w:snapToGrid w:val="0"/>
              <w:ind w:firstLine="480"/>
              <w:jc w:val="left"/>
              <w:rPr>
                <w:kern w:val="0"/>
              </w:rPr>
            </w:pPr>
            <w:r>
              <w:rPr>
                <w:kern w:val="0"/>
              </w:rPr>
              <w:t>T—用于计算等效声级的时间，s；</w:t>
            </w:r>
          </w:p>
          <w:p>
            <w:pPr>
              <w:autoSpaceDE w:val="0"/>
              <w:autoSpaceDN w:val="0"/>
              <w:adjustRightInd w:val="0"/>
              <w:snapToGrid w:val="0"/>
              <w:ind w:firstLine="480"/>
              <w:jc w:val="left"/>
              <w:rPr>
                <w:kern w:val="0"/>
              </w:rPr>
            </w:pPr>
            <w:r>
              <w:rPr>
                <w:kern w:val="0"/>
              </w:rPr>
              <w:t>N—室外声源个数；</w:t>
            </w:r>
          </w:p>
          <w:p>
            <w:pPr>
              <w:wordWrap w:val="0"/>
              <w:topLinePunct/>
              <w:adjustRightInd w:val="0"/>
              <w:snapToGrid w:val="0"/>
              <w:ind w:firstLine="480" w:firstLineChars="200"/>
              <w:rPr>
                <w:bCs/>
                <w:spacing w:val="-10"/>
              </w:rPr>
            </w:pPr>
            <w:r>
              <w:rPr>
                <w:kern w:val="0"/>
              </w:rPr>
              <w:t>M—等效室外声源个数。</w:t>
            </w:r>
          </w:p>
          <w:p>
            <w:pPr>
              <w:pStyle w:val="42"/>
              <w:wordWrap w:val="0"/>
              <w:topLinePunct/>
              <w:spacing w:line="360" w:lineRule="auto"/>
              <w:ind w:firstLine="480" w:firstLineChars="200"/>
              <w:jc w:val="both"/>
              <w:rPr>
                <w:sz w:val="21"/>
                <w:szCs w:val="21"/>
              </w:rPr>
            </w:pPr>
            <w:r>
              <w:rPr>
                <w:rFonts w:hint="eastAsia"/>
              </w:rPr>
              <w:t>由于本项目为未批先建</w:t>
            </w:r>
            <w:r>
              <w:t>，评价委托湖南昌旭环保科技有限公司于202</w:t>
            </w:r>
            <w:r>
              <w:rPr>
                <w:rFonts w:hint="eastAsia"/>
              </w:rPr>
              <w:t>3</w:t>
            </w:r>
            <w:r>
              <w:t>年</w:t>
            </w:r>
            <w:r>
              <w:rPr>
                <w:rFonts w:hint="eastAsia"/>
              </w:rPr>
              <w:t>6</w:t>
            </w:r>
            <w:r>
              <w:t>月</w:t>
            </w:r>
            <w:r>
              <w:rPr>
                <w:rFonts w:hint="eastAsia"/>
              </w:rPr>
              <w:t>30</w:t>
            </w:r>
            <w:r>
              <w:t>日对项目厂界及厂界50米范围内敏感点声环境质量进行监测</w:t>
            </w:r>
            <w:r>
              <w:rPr>
                <w:rFonts w:hint="eastAsia"/>
              </w:rPr>
              <w:t>，</w:t>
            </w:r>
            <w:r>
              <w:rPr>
                <w:rFonts w:hint="eastAsia"/>
                <w:lang w:eastAsia="zh-CN"/>
              </w:rPr>
              <w:t>现状监测结果</w:t>
            </w:r>
            <w:r>
              <w:rPr>
                <w:snapToGrid w:val="0"/>
                <w:kern w:val="0"/>
              </w:rPr>
              <w:t>详见下表</w:t>
            </w:r>
            <w:r>
              <w:t>。</w:t>
            </w:r>
          </w:p>
          <w:p>
            <w:pPr>
              <w:adjustRightInd w:val="0"/>
              <w:snapToGrid w:val="0"/>
              <w:spacing w:line="240" w:lineRule="auto"/>
              <w:jc w:val="center"/>
              <w:rPr>
                <w:b/>
                <w:sz w:val="21"/>
                <w:szCs w:val="21"/>
              </w:rPr>
            </w:pPr>
            <w:r>
              <w:rPr>
                <w:b/>
                <w:sz w:val="21"/>
                <w:szCs w:val="21"/>
              </w:rPr>
              <w:t>表</w:t>
            </w:r>
            <w:r>
              <w:rPr>
                <w:rFonts w:hint="eastAsia"/>
                <w:b/>
                <w:sz w:val="21"/>
                <w:szCs w:val="21"/>
              </w:rPr>
              <w:t>4-</w:t>
            </w:r>
            <w:r>
              <w:rPr>
                <w:rFonts w:hint="eastAsia"/>
                <w:b/>
                <w:sz w:val="21"/>
                <w:szCs w:val="21"/>
                <w:lang w:val="en-US" w:eastAsia="zh-CN"/>
              </w:rPr>
              <w:t>10</w:t>
            </w:r>
            <w:r>
              <w:rPr>
                <w:b/>
                <w:sz w:val="21"/>
                <w:szCs w:val="21"/>
              </w:rPr>
              <w:t xml:space="preserve">  声环境现状监测结果一览表       单位：dB（A）</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2"/>
              <w:gridCol w:w="1344"/>
              <w:gridCol w:w="1854"/>
              <w:gridCol w:w="837"/>
              <w:gridCol w:w="832"/>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1347" w:type="pct"/>
                  <w:vMerge w:val="restart"/>
                  <w:vAlign w:val="center"/>
                </w:tcPr>
                <w:p>
                  <w:pPr>
                    <w:topLinePunct/>
                    <w:adjustRightInd w:val="0"/>
                    <w:snapToGrid w:val="0"/>
                    <w:spacing w:line="240" w:lineRule="auto"/>
                    <w:jc w:val="center"/>
                    <w:rPr>
                      <w:b/>
                      <w:kern w:val="0"/>
                      <w:sz w:val="21"/>
                      <w:szCs w:val="21"/>
                    </w:rPr>
                  </w:pPr>
                  <w:r>
                    <w:rPr>
                      <w:b/>
                      <w:kern w:val="0"/>
                      <w:sz w:val="21"/>
                      <w:szCs w:val="21"/>
                    </w:rPr>
                    <w:t>点位名称</w:t>
                  </w:r>
                </w:p>
              </w:tc>
              <w:tc>
                <w:tcPr>
                  <w:tcW w:w="861" w:type="pct"/>
                  <w:vMerge w:val="restart"/>
                  <w:vAlign w:val="center"/>
                </w:tcPr>
                <w:p>
                  <w:pPr>
                    <w:topLinePunct/>
                    <w:adjustRightInd w:val="0"/>
                    <w:snapToGrid w:val="0"/>
                    <w:spacing w:line="240" w:lineRule="auto"/>
                    <w:jc w:val="center"/>
                    <w:rPr>
                      <w:b/>
                      <w:kern w:val="0"/>
                      <w:sz w:val="21"/>
                      <w:szCs w:val="21"/>
                    </w:rPr>
                  </w:pPr>
                  <w:r>
                    <w:rPr>
                      <w:b/>
                      <w:kern w:val="0"/>
                      <w:sz w:val="21"/>
                      <w:szCs w:val="21"/>
                    </w:rPr>
                    <w:t>检测项目</w:t>
                  </w:r>
                </w:p>
              </w:tc>
              <w:tc>
                <w:tcPr>
                  <w:tcW w:w="1724" w:type="pct"/>
                  <w:gridSpan w:val="2"/>
                  <w:vAlign w:val="center"/>
                </w:tcPr>
                <w:p>
                  <w:pPr>
                    <w:topLinePunct/>
                    <w:adjustRightInd w:val="0"/>
                    <w:snapToGrid w:val="0"/>
                    <w:spacing w:line="240" w:lineRule="auto"/>
                    <w:jc w:val="center"/>
                    <w:rPr>
                      <w:b/>
                      <w:kern w:val="0"/>
                      <w:sz w:val="21"/>
                      <w:szCs w:val="21"/>
                    </w:rPr>
                  </w:pPr>
                  <w:r>
                    <w:rPr>
                      <w:b/>
                      <w:kern w:val="0"/>
                      <w:sz w:val="21"/>
                      <w:szCs w:val="21"/>
                    </w:rPr>
                    <w:t>监测结果</w:t>
                  </w:r>
                </w:p>
              </w:tc>
              <w:tc>
                <w:tcPr>
                  <w:tcW w:w="1067" w:type="pct"/>
                  <w:gridSpan w:val="2"/>
                  <w:vMerge w:val="restart"/>
                  <w:vAlign w:val="center"/>
                </w:tcPr>
                <w:p>
                  <w:pPr>
                    <w:topLinePunct/>
                    <w:adjustRightInd w:val="0"/>
                    <w:snapToGrid w:val="0"/>
                    <w:spacing w:line="240" w:lineRule="auto"/>
                    <w:jc w:val="center"/>
                    <w:rPr>
                      <w:b/>
                      <w:kern w:val="0"/>
                      <w:sz w:val="21"/>
                      <w:szCs w:val="21"/>
                    </w:rPr>
                  </w:pPr>
                  <w:r>
                    <w:rPr>
                      <w:b/>
                      <w:kern w:val="0"/>
                      <w:sz w:val="21"/>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1347" w:type="pct"/>
                  <w:vMerge w:val="continue"/>
                  <w:vAlign w:val="center"/>
                </w:tcPr>
                <w:p>
                  <w:pPr>
                    <w:topLinePunct/>
                    <w:adjustRightInd w:val="0"/>
                    <w:snapToGrid w:val="0"/>
                    <w:spacing w:line="240" w:lineRule="auto"/>
                    <w:jc w:val="center"/>
                    <w:rPr>
                      <w:sz w:val="21"/>
                      <w:szCs w:val="21"/>
                    </w:rPr>
                  </w:pPr>
                </w:p>
              </w:tc>
              <w:tc>
                <w:tcPr>
                  <w:tcW w:w="861" w:type="pct"/>
                  <w:vMerge w:val="continue"/>
                  <w:vAlign w:val="center"/>
                </w:tcPr>
                <w:p>
                  <w:pPr>
                    <w:topLinePunct/>
                    <w:adjustRightInd w:val="0"/>
                    <w:snapToGrid w:val="0"/>
                    <w:spacing w:line="240" w:lineRule="auto"/>
                    <w:jc w:val="center"/>
                    <w:rPr>
                      <w:sz w:val="21"/>
                      <w:szCs w:val="21"/>
                    </w:rPr>
                  </w:pPr>
                </w:p>
              </w:tc>
              <w:tc>
                <w:tcPr>
                  <w:tcW w:w="1724" w:type="pct"/>
                  <w:gridSpan w:val="2"/>
                  <w:vAlign w:val="center"/>
                </w:tcPr>
                <w:p>
                  <w:pPr>
                    <w:topLinePunct/>
                    <w:adjustRightInd w:val="0"/>
                    <w:snapToGrid w:val="0"/>
                    <w:spacing w:line="240" w:lineRule="auto"/>
                    <w:jc w:val="center"/>
                    <w:rPr>
                      <w:b/>
                      <w:kern w:val="0"/>
                      <w:sz w:val="21"/>
                      <w:szCs w:val="21"/>
                    </w:rPr>
                  </w:pPr>
                  <w:r>
                    <w:rPr>
                      <w:b/>
                      <w:kern w:val="0"/>
                      <w:sz w:val="21"/>
                      <w:szCs w:val="21"/>
                    </w:rPr>
                    <w:t>202</w:t>
                  </w:r>
                  <w:r>
                    <w:rPr>
                      <w:rFonts w:hint="eastAsia"/>
                      <w:b/>
                      <w:kern w:val="0"/>
                      <w:sz w:val="21"/>
                      <w:szCs w:val="21"/>
                    </w:rPr>
                    <w:t>3</w:t>
                  </w:r>
                  <w:r>
                    <w:rPr>
                      <w:b/>
                      <w:kern w:val="0"/>
                      <w:sz w:val="21"/>
                      <w:szCs w:val="21"/>
                    </w:rPr>
                    <w:t>年0</w:t>
                  </w:r>
                  <w:r>
                    <w:rPr>
                      <w:rFonts w:hint="eastAsia"/>
                      <w:b/>
                      <w:kern w:val="0"/>
                      <w:sz w:val="21"/>
                      <w:szCs w:val="21"/>
                    </w:rPr>
                    <w:t>6</w:t>
                  </w:r>
                  <w:r>
                    <w:rPr>
                      <w:b/>
                      <w:kern w:val="0"/>
                      <w:sz w:val="21"/>
                      <w:szCs w:val="21"/>
                    </w:rPr>
                    <w:t>月</w:t>
                  </w:r>
                  <w:r>
                    <w:rPr>
                      <w:rFonts w:hint="eastAsia"/>
                      <w:b/>
                      <w:kern w:val="0"/>
                      <w:sz w:val="21"/>
                      <w:szCs w:val="21"/>
                    </w:rPr>
                    <w:t>30</w:t>
                  </w:r>
                  <w:r>
                    <w:rPr>
                      <w:b/>
                      <w:kern w:val="0"/>
                      <w:sz w:val="21"/>
                      <w:szCs w:val="21"/>
                    </w:rPr>
                    <w:t>日</w:t>
                  </w:r>
                </w:p>
              </w:tc>
              <w:tc>
                <w:tcPr>
                  <w:tcW w:w="1067" w:type="pct"/>
                  <w:gridSpan w:val="2"/>
                  <w:vMerge w:val="continue"/>
                  <w:vAlign w:val="center"/>
                </w:tcPr>
                <w:p>
                  <w:pPr>
                    <w:topLinePunct/>
                    <w:adjustRightInd w:val="0"/>
                    <w:snapToGrid w:val="0"/>
                    <w:spacing w:line="240" w:lineRule="auto"/>
                    <w:jc w:val="center"/>
                    <w:rPr>
                      <w:b/>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2" w:hRule="atLeast"/>
                <w:jc w:val="center"/>
              </w:trPr>
              <w:tc>
                <w:tcPr>
                  <w:tcW w:w="1347" w:type="pct"/>
                  <w:vMerge w:val="continue"/>
                  <w:vAlign w:val="center"/>
                </w:tcPr>
                <w:p>
                  <w:pPr>
                    <w:topLinePunct/>
                    <w:adjustRightInd w:val="0"/>
                    <w:snapToGrid w:val="0"/>
                    <w:spacing w:line="240" w:lineRule="auto"/>
                    <w:jc w:val="center"/>
                    <w:rPr>
                      <w:b/>
                      <w:kern w:val="0"/>
                      <w:sz w:val="21"/>
                      <w:szCs w:val="21"/>
                    </w:rPr>
                  </w:pPr>
                </w:p>
              </w:tc>
              <w:tc>
                <w:tcPr>
                  <w:tcW w:w="861" w:type="pct"/>
                  <w:vMerge w:val="continue"/>
                  <w:vAlign w:val="center"/>
                </w:tcPr>
                <w:p>
                  <w:pPr>
                    <w:topLinePunct/>
                    <w:adjustRightInd w:val="0"/>
                    <w:snapToGrid w:val="0"/>
                    <w:spacing w:line="240" w:lineRule="auto"/>
                    <w:jc w:val="center"/>
                    <w:rPr>
                      <w:b/>
                      <w:kern w:val="0"/>
                      <w:sz w:val="21"/>
                      <w:szCs w:val="21"/>
                    </w:rPr>
                  </w:pPr>
                </w:p>
              </w:tc>
              <w:tc>
                <w:tcPr>
                  <w:tcW w:w="1188" w:type="pct"/>
                  <w:vAlign w:val="center"/>
                </w:tcPr>
                <w:p>
                  <w:pPr>
                    <w:topLinePunct/>
                    <w:adjustRightInd w:val="0"/>
                    <w:snapToGrid w:val="0"/>
                    <w:spacing w:line="240" w:lineRule="auto"/>
                    <w:jc w:val="center"/>
                    <w:rPr>
                      <w:b/>
                      <w:sz w:val="21"/>
                      <w:szCs w:val="21"/>
                    </w:rPr>
                  </w:pPr>
                  <w:r>
                    <w:rPr>
                      <w:b/>
                      <w:sz w:val="21"/>
                      <w:szCs w:val="21"/>
                    </w:rPr>
                    <w:t>昼间</w:t>
                  </w:r>
                </w:p>
              </w:tc>
              <w:tc>
                <w:tcPr>
                  <w:tcW w:w="535" w:type="pct"/>
                  <w:vAlign w:val="center"/>
                </w:tcPr>
                <w:p>
                  <w:pPr>
                    <w:topLinePunct/>
                    <w:adjustRightInd w:val="0"/>
                    <w:snapToGrid w:val="0"/>
                    <w:spacing w:line="240" w:lineRule="auto"/>
                    <w:jc w:val="center"/>
                    <w:rPr>
                      <w:b/>
                      <w:sz w:val="21"/>
                      <w:szCs w:val="21"/>
                    </w:rPr>
                  </w:pPr>
                  <w:r>
                    <w:rPr>
                      <w:rFonts w:hint="eastAsia"/>
                      <w:b/>
                      <w:sz w:val="21"/>
                      <w:szCs w:val="21"/>
                    </w:rPr>
                    <w:t>夜间</w:t>
                  </w:r>
                </w:p>
              </w:tc>
              <w:tc>
                <w:tcPr>
                  <w:tcW w:w="533" w:type="pct"/>
                  <w:vAlign w:val="center"/>
                </w:tcPr>
                <w:p>
                  <w:pPr>
                    <w:topLinePunct/>
                    <w:adjustRightInd w:val="0"/>
                    <w:snapToGrid w:val="0"/>
                    <w:spacing w:line="240" w:lineRule="auto"/>
                    <w:jc w:val="center"/>
                    <w:rPr>
                      <w:b/>
                      <w:sz w:val="21"/>
                      <w:szCs w:val="21"/>
                    </w:rPr>
                  </w:pPr>
                  <w:r>
                    <w:rPr>
                      <w:b/>
                      <w:sz w:val="21"/>
                      <w:szCs w:val="21"/>
                    </w:rPr>
                    <w:t>昼间</w:t>
                  </w:r>
                </w:p>
              </w:tc>
              <w:tc>
                <w:tcPr>
                  <w:tcW w:w="534" w:type="pct"/>
                  <w:vAlign w:val="center"/>
                </w:tcPr>
                <w:p>
                  <w:pPr>
                    <w:topLinePunct/>
                    <w:adjustRightInd w:val="0"/>
                    <w:snapToGrid w:val="0"/>
                    <w:spacing w:line="240" w:lineRule="auto"/>
                    <w:jc w:val="center"/>
                    <w:rPr>
                      <w:b/>
                      <w:sz w:val="21"/>
                      <w:szCs w:val="21"/>
                    </w:rPr>
                  </w:pPr>
                  <w:r>
                    <w:rPr>
                      <w:rFonts w:hint="eastAsia"/>
                      <w:b/>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2" w:hRule="atLeast"/>
                <w:jc w:val="center"/>
              </w:trPr>
              <w:tc>
                <w:tcPr>
                  <w:tcW w:w="1347" w:type="pct"/>
                  <w:vAlign w:val="center"/>
                </w:tcPr>
                <w:p>
                  <w:pPr>
                    <w:topLinePunct/>
                    <w:adjustRightInd w:val="0"/>
                    <w:snapToGrid w:val="0"/>
                    <w:spacing w:line="240" w:lineRule="auto"/>
                    <w:jc w:val="center"/>
                    <w:rPr>
                      <w:sz w:val="21"/>
                      <w:szCs w:val="21"/>
                    </w:rPr>
                  </w:pPr>
                  <w:r>
                    <w:rPr>
                      <w:sz w:val="21"/>
                      <w:szCs w:val="21"/>
                    </w:rPr>
                    <w:t>N1厂界北面1米处</w:t>
                  </w:r>
                </w:p>
              </w:tc>
              <w:tc>
                <w:tcPr>
                  <w:tcW w:w="861" w:type="pct"/>
                  <w:vMerge w:val="restart"/>
                  <w:vAlign w:val="center"/>
                </w:tcPr>
                <w:p>
                  <w:pPr>
                    <w:topLinePunct/>
                    <w:adjustRightInd w:val="0"/>
                    <w:snapToGrid w:val="0"/>
                    <w:spacing w:line="240" w:lineRule="auto"/>
                    <w:jc w:val="center"/>
                    <w:rPr>
                      <w:sz w:val="21"/>
                      <w:szCs w:val="21"/>
                    </w:rPr>
                  </w:pPr>
                  <w:r>
                    <w:rPr>
                      <w:sz w:val="21"/>
                      <w:szCs w:val="21"/>
                    </w:rPr>
                    <w:t>环境噪声</w:t>
                  </w:r>
                </w:p>
              </w:tc>
              <w:tc>
                <w:tcPr>
                  <w:tcW w:w="1188" w:type="pct"/>
                  <w:vAlign w:val="center"/>
                </w:tcPr>
                <w:p>
                  <w:pPr>
                    <w:topLinePunct/>
                    <w:adjustRightInd w:val="0"/>
                    <w:snapToGrid w:val="0"/>
                    <w:spacing w:line="240" w:lineRule="auto"/>
                    <w:jc w:val="center"/>
                    <w:rPr>
                      <w:kern w:val="0"/>
                      <w:sz w:val="21"/>
                      <w:szCs w:val="21"/>
                    </w:rPr>
                  </w:pPr>
                  <w:r>
                    <w:rPr>
                      <w:rFonts w:hint="eastAsia"/>
                      <w:kern w:val="0"/>
                      <w:sz w:val="21"/>
                      <w:szCs w:val="21"/>
                    </w:rPr>
                    <w:t>50</w:t>
                  </w:r>
                </w:p>
              </w:tc>
              <w:tc>
                <w:tcPr>
                  <w:tcW w:w="535" w:type="pct"/>
                  <w:vAlign w:val="center"/>
                </w:tcPr>
                <w:p>
                  <w:pPr>
                    <w:topLinePunct/>
                    <w:adjustRightInd w:val="0"/>
                    <w:snapToGrid w:val="0"/>
                    <w:spacing w:line="240" w:lineRule="auto"/>
                    <w:jc w:val="center"/>
                    <w:rPr>
                      <w:kern w:val="0"/>
                      <w:sz w:val="21"/>
                      <w:szCs w:val="21"/>
                    </w:rPr>
                  </w:pPr>
                  <w:r>
                    <w:rPr>
                      <w:rFonts w:hint="eastAsia"/>
                      <w:kern w:val="0"/>
                      <w:sz w:val="21"/>
                      <w:szCs w:val="21"/>
                    </w:rPr>
                    <w:t>43</w:t>
                  </w:r>
                </w:p>
              </w:tc>
              <w:tc>
                <w:tcPr>
                  <w:tcW w:w="533" w:type="pct"/>
                  <w:vMerge w:val="restart"/>
                  <w:vAlign w:val="center"/>
                </w:tcPr>
                <w:p>
                  <w:pPr>
                    <w:topLinePunct/>
                    <w:adjustRightInd w:val="0"/>
                    <w:snapToGrid w:val="0"/>
                    <w:spacing w:line="240" w:lineRule="auto"/>
                    <w:jc w:val="center"/>
                    <w:rPr>
                      <w:kern w:val="0"/>
                      <w:sz w:val="21"/>
                      <w:szCs w:val="21"/>
                    </w:rPr>
                  </w:pPr>
                  <w:r>
                    <w:rPr>
                      <w:kern w:val="0"/>
                      <w:sz w:val="21"/>
                      <w:szCs w:val="21"/>
                    </w:rPr>
                    <w:t>6</w:t>
                  </w:r>
                  <w:r>
                    <w:rPr>
                      <w:rFonts w:hint="eastAsia"/>
                      <w:kern w:val="0"/>
                      <w:sz w:val="21"/>
                      <w:szCs w:val="21"/>
                    </w:rPr>
                    <w:t>0</w:t>
                  </w:r>
                </w:p>
              </w:tc>
              <w:tc>
                <w:tcPr>
                  <w:tcW w:w="534" w:type="pct"/>
                  <w:vMerge w:val="restart"/>
                  <w:vAlign w:val="center"/>
                </w:tcPr>
                <w:p>
                  <w:pPr>
                    <w:topLinePunct/>
                    <w:adjustRightInd w:val="0"/>
                    <w:snapToGrid w:val="0"/>
                    <w:spacing w:line="240" w:lineRule="auto"/>
                    <w:jc w:val="center"/>
                    <w:rPr>
                      <w:kern w:val="0"/>
                      <w:sz w:val="21"/>
                      <w:szCs w:val="21"/>
                    </w:rPr>
                  </w:pPr>
                  <w:r>
                    <w:rPr>
                      <w:rFonts w:hint="eastAsia"/>
                      <w:kern w:val="0"/>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347" w:type="pct"/>
                  <w:vAlign w:val="center"/>
                </w:tcPr>
                <w:p>
                  <w:pPr>
                    <w:topLinePunct/>
                    <w:adjustRightInd w:val="0"/>
                    <w:snapToGrid w:val="0"/>
                    <w:spacing w:line="240" w:lineRule="auto"/>
                    <w:jc w:val="center"/>
                    <w:rPr>
                      <w:sz w:val="21"/>
                      <w:szCs w:val="21"/>
                    </w:rPr>
                  </w:pPr>
                  <w:r>
                    <w:rPr>
                      <w:sz w:val="21"/>
                      <w:szCs w:val="21"/>
                    </w:rPr>
                    <w:t>N</w:t>
                  </w:r>
                  <w:r>
                    <w:rPr>
                      <w:rFonts w:hint="eastAsia"/>
                      <w:sz w:val="21"/>
                      <w:szCs w:val="21"/>
                    </w:rPr>
                    <w:t>4</w:t>
                  </w:r>
                  <w:r>
                    <w:rPr>
                      <w:sz w:val="21"/>
                      <w:szCs w:val="21"/>
                    </w:rPr>
                    <w:t>厂界东面1米处</w:t>
                  </w:r>
                </w:p>
              </w:tc>
              <w:tc>
                <w:tcPr>
                  <w:tcW w:w="861" w:type="pct"/>
                  <w:vMerge w:val="continue"/>
                  <w:vAlign w:val="center"/>
                </w:tcPr>
                <w:p>
                  <w:pPr>
                    <w:topLinePunct/>
                    <w:adjustRightInd w:val="0"/>
                    <w:snapToGrid w:val="0"/>
                    <w:spacing w:line="240" w:lineRule="auto"/>
                    <w:jc w:val="center"/>
                    <w:rPr>
                      <w:sz w:val="21"/>
                      <w:szCs w:val="21"/>
                    </w:rPr>
                  </w:pPr>
                </w:p>
              </w:tc>
              <w:tc>
                <w:tcPr>
                  <w:tcW w:w="1188" w:type="pct"/>
                  <w:vAlign w:val="center"/>
                </w:tcPr>
                <w:p>
                  <w:pPr>
                    <w:topLinePunct/>
                    <w:adjustRightInd w:val="0"/>
                    <w:snapToGrid w:val="0"/>
                    <w:spacing w:line="240" w:lineRule="auto"/>
                    <w:jc w:val="center"/>
                    <w:rPr>
                      <w:kern w:val="0"/>
                      <w:sz w:val="21"/>
                      <w:szCs w:val="21"/>
                    </w:rPr>
                  </w:pPr>
                  <w:r>
                    <w:rPr>
                      <w:rFonts w:hint="eastAsia"/>
                      <w:kern w:val="0"/>
                      <w:sz w:val="21"/>
                      <w:szCs w:val="21"/>
                    </w:rPr>
                    <w:t>54</w:t>
                  </w:r>
                </w:p>
              </w:tc>
              <w:tc>
                <w:tcPr>
                  <w:tcW w:w="535" w:type="pct"/>
                  <w:vAlign w:val="center"/>
                </w:tcPr>
                <w:p>
                  <w:pPr>
                    <w:topLinePunct/>
                    <w:adjustRightInd w:val="0"/>
                    <w:snapToGrid w:val="0"/>
                    <w:spacing w:line="240" w:lineRule="auto"/>
                    <w:jc w:val="center"/>
                    <w:rPr>
                      <w:kern w:val="0"/>
                      <w:sz w:val="21"/>
                      <w:szCs w:val="21"/>
                    </w:rPr>
                  </w:pPr>
                  <w:r>
                    <w:rPr>
                      <w:rFonts w:hint="eastAsia"/>
                      <w:kern w:val="0"/>
                      <w:sz w:val="21"/>
                      <w:szCs w:val="21"/>
                    </w:rPr>
                    <w:t>45</w:t>
                  </w:r>
                </w:p>
              </w:tc>
              <w:tc>
                <w:tcPr>
                  <w:tcW w:w="533" w:type="pct"/>
                  <w:vMerge w:val="continue"/>
                  <w:vAlign w:val="center"/>
                </w:tcPr>
                <w:p>
                  <w:pPr>
                    <w:topLinePunct/>
                    <w:adjustRightInd w:val="0"/>
                    <w:snapToGrid w:val="0"/>
                    <w:spacing w:line="240" w:lineRule="auto"/>
                    <w:jc w:val="center"/>
                    <w:rPr>
                      <w:kern w:val="0"/>
                      <w:sz w:val="21"/>
                      <w:szCs w:val="21"/>
                    </w:rPr>
                  </w:pPr>
                </w:p>
              </w:tc>
              <w:tc>
                <w:tcPr>
                  <w:tcW w:w="534" w:type="pct"/>
                  <w:vMerge w:val="continue"/>
                  <w:vAlign w:val="center"/>
                </w:tcPr>
                <w:p>
                  <w:pPr>
                    <w:topLinePunct/>
                    <w:adjustRightInd w:val="0"/>
                    <w:snapToGrid w:val="0"/>
                    <w:spacing w:line="240" w:lineRule="auto"/>
                    <w:jc w:val="center"/>
                    <w:rPr>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347" w:type="pct"/>
                  <w:vAlign w:val="center"/>
                </w:tcPr>
                <w:p>
                  <w:pPr>
                    <w:topLinePunct/>
                    <w:adjustRightInd w:val="0"/>
                    <w:snapToGrid w:val="0"/>
                    <w:spacing w:line="240" w:lineRule="auto"/>
                    <w:jc w:val="center"/>
                    <w:rPr>
                      <w:sz w:val="21"/>
                      <w:szCs w:val="21"/>
                    </w:rPr>
                  </w:pPr>
                  <w:r>
                    <w:rPr>
                      <w:sz w:val="21"/>
                      <w:szCs w:val="21"/>
                    </w:rPr>
                    <w:t>N</w:t>
                  </w:r>
                  <w:r>
                    <w:rPr>
                      <w:rFonts w:hint="eastAsia"/>
                      <w:sz w:val="21"/>
                      <w:szCs w:val="21"/>
                    </w:rPr>
                    <w:t>2</w:t>
                  </w:r>
                  <w:r>
                    <w:rPr>
                      <w:sz w:val="21"/>
                      <w:szCs w:val="21"/>
                    </w:rPr>
                    <w:t>厂界西面1米处</w:t>
                  </w:r>
                </w:p>
              </w:tc>
              <w:tc>
                <w:tcPr>
                  <w:tcW w:w="861" w:type="pct"/>
                  <w:vMerge w:val="continue"/>
                  <w:vAlign w:val="center"/>
                </w:tcPr>
                <w:p>
                  <w:pPr>
                    <w:topLinePunct/>
                    <w:adjustRightInd w:val="0"/>
                    <w:snapToGrid w:val="0"/>
                    <w:spacing w:line="240" w:lineRule="auto"/>
                    <w:jc w:val="center"/>
                    <w:rPr>
                      <w:sz w:val="21"/>
                      <w:szCs w:val="21"/>
                    </w:rPr>
                  </w:pPr>
                </w:p>
              </w:tc>
              <w:tc>
                <w:tcPr>
                  <w:tcW w:w="1188" w:type="pct"/>
                  <w:vAlign w:val="center"/>
                </w:tcPr>
                <w:p>
                  <w:pPr>
                    <w:topLinePunct/>
                    <w:adjustRightInd w:val="0"/>
                    <w:snapToGrid w:val="0"/>
                    <w:spacing w:line="240" w:lineRule="auto"/>
                    <w:jc w:val="center"/>
                    <w:rPr>
                      <w:kern w:val="0"/>
                      <w:sz w:val="21"/>
                      <w:szCs w:val="21"/>
                    </w:rPr>
                  </w:pPr>
                  <w:r>
                    <w:rPr>
                      <w:rFonts w:hint="eastAsia"/>
                      <w:kern w:val="0"/>
                      <w:sz w:val="21"/>
                      <w:szCs w:val="21"/>
                    </w:rPr>
                    <w:t>52</w:t>
                  </w:r>
                </w:p>
              </w:tc>
              <w:tc>
                <w:tcPr>
                  <w:tcW w:w="535" w:type="pct"/>
                  <w:vAlign w:val="center"/>
                </w:tcPr>
                <w:p>
                  <w:pPr>
                    <w:topLinePunct/>
                    <w:adjustRightInd w:val="0"/>
                    <w:snapToGrid w:val="0"/>
                    <w:spacing w:line="240" w:lineRule="auto"/>
                    <w:jc w:val="center"/>
                    <w:rPr>
                      <w:kern w:val="0"/>
                      <w:sz w:val="21"/>
                      <w:szCs w:val="21"/>
                    </w:rPr>
                  </w:pPr>
                  <w:r>
                    <w:rPr>
                      <w:rFonts w:hint="eastAsia"/>
                      <w:kern w:val="0"/>
                      <w:sz w:val="21"/>
                      <w:szCs w:val="21"/>
                    </w:rPr>
                    <w:t>45</w:t>
                  </w:r>
                </w:p>
              </w:tc>
              <w:tc>
                <w:tcPr>
                  <w:tcW w:w="533" w:type="pct"/>
                  <w:vMerge w:val="continue"/>
                  <w:vAlign w:val="center"/>
                </w:tcPr>
                <w:p>
                  <w:pPr>
                    <w:topLinePunct/>
                    <w:adjustRightInd w:val="0"/>
                    <w:snapToGrid w:val="0"/>
                    <w:spacing w:line="240" w:lineRule="auto"/>
                    <w:jc w:val="center"/>
                    <w:rPr>
                      <w:kern w:val="0"/>
                      <w:sz w:val="21"/>
                      <w:szCs w:val="21"/>
                    </w:rPr>
                  </w:pPr>
                </w:p>
              </w:tc>
              <w:tc>
                <w:tcPr>
                  <w:tcW w:w="534" w:type="pct"/>
                  <w:vMerge w:val="continue"/>
                  <w:vAlign w:val="center"/>
                </w:tcPr>
                <w:p>
                  <w:pPr>
                    <w:topLinePunct/>
                    <w:adjustRightInd w:val="0"/>
                    <w:snapToGrid w:val="0"/>
                    <w:spacing w:line="240" w:lineRule="auto"/>
                    <w:jc w:val="center"/>
                    <w:rPr>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2" w:hRule="atLeast"/>
                <w:jc w:val="center"/>
              </w:trPr>
              <w:tc>
                <w:tcPr>
                  <w:tcW w:w="1347" w:type="pct"/>
                  <w:vAlign w:val="center"/>
                </w:tcPr>
                <w:p>
                  <w:pPr>
                    <w:topLinePunct/>
                    <w:adjustRightInd w:val="0"/>
                    <w:snapToGrid w:val="0"/>
                    <w:spacing w:line="240" w:lineRule="auto"/>
                    <w:jc w:val="center"/>
                    <w:rPr>
                      <w:sz w:val="21"/>
                      <w:szCs w:val="21"/>
                    </w:rPr>
                  </w:pPr>
                  <w:r>
                    <w:rPr>
                      <w:sz w:val="21"/>
                      <w:szCs w:val="21"/>
                    </w:rPr>
                    <w:t>N</w:t>
                  </w:r>
                  <w:r>
                    <w:rPr>
                      <w:rFonts w:hint="eastAsia"/>
                      <w:sz w:val="21"/>
                      <w:szCs w:val="21"/>
                    </w:rPr>
                    <w:t>3</w:t>
                  </w:r>
                  <w:r>
                    <w:rPr>
                      <w:sz w:val="21"/>
                      <w:szCs w:val="21"/>
                    </w:rPr>
                    <w:t>厂界南面1米处</w:t>
                  </w:r>
                </w:p>
              </w:tc>
              <w:tc>
                <w:tcPr>
                  <w:tcW w:w="861" w:type="pct"/>
                  <w:vMerge w:val="continue"/>
                  <w:vAlign w:val="center"/>
                </w:tcPr>
                <w:p>
                  <w:pPr>
                    <w:topLinePunct/>
                    <w:adjustRightInd w:val="0"/>
                    <w:snapToGrid w:val="0"/>
                    <w:spacing w:line="240" w:lineRule="auto"/>
                    <w:jc w:val="center"/>
                    <w:rPr>
                      <w:sz w:val="21"/>
                      <w:szCs w:val="21"/>
                    </w:rPr>
                  </w:pPr>
                </w:p>
              </w:tc>
              <w:tc>
                <w:tcPr>
                  <w:tcW w:w="1188" w:type="pct"/>
                  <w:vAlign w:val="center"/>
                </w:tcPr>
                <w:p>
                  <w:pPr>
                    <w:topLinePunct/>
                    <w:adjustRightInd w:val="0"/>
                    <w:snapToGrid w:val="0"/>
                    <w:spacing w:line="240" w:lineRule="auto"/>
                    <w:jc w:val="center"/>
                    <w:rPr>
                      <w:kern w:val="0"/>
                      <w:sz w:val="21"/>
                      <w:szCs w:val="21"/>
                    </w:rPr>
                  </w:pPr>
                  <w:r>
                    <w:rPr>
                      <w:rFonts w:hint="eastAsia"/>
                      <w:kern w:val="0"/>
                      <w:sz w:val="21"/>
                      <w:szCs w:val="21"/>
                    </w:rPr>
                    <w:t>59</w:t>
                  </w:r>
                </w:p>
              </w:tc>
              <w:tc>
                <w:tcPr>
                  <w:tcW w:w="535" w:type="pct"/>
                  <w:vAlign w:val="center"/>
                </w:tcPr>
                <w:p>
                  <w:pPr>
                    <w:topLinePunct/>
                    <w:adjustRightInd w:val="0"/>
                    <w:snapToGrid w:val="0"/>
                    <w:spacing w:line="240" w:lineRule="auto"/>
                    <w:jc w:val="center"/>
                    <w:rPr>
                      <w:kern w:val="0"/>
                      <w:sz w:val="21"/>
                      <w:szCs w:val="21"/>
                    </w:rPr>
                  </w:pPr>
                  <w:r>
                    <w:rPr>
                      <w:rFonts w:hint="eastAsia"/>
                      <w:kern w:val="0"/>
                      <w:sz w:val="21"/>
                      <w:szCs w:val="21"/>
                    </w:rPr>
                    <w:t>47</w:t>
                  </w:r>
                </w:p>
              </w:tc>
              <w:tc>
                <w:tcPr>
                  <w:tcW w:w="533" w:type="pct"/>
                  <w:vAlign w:val="center"/>
                </w:tcPr>
                <w:p>
                  <w:pPr>
                    <w:topLinePunct/>
                    <w:adjustRightInd w:val="0"/>
                    <w:snapToGrid w:val="0"/>
                    <w:spacing w:line="240" w:lineRule="auto"/>
                    <w:jc w:val="center"/>
                    <w:rPr>
                      <w:kern w:val="0"/>
                      <w:sz w:val="21"/>
                      <w:szCs w:val="21"/>
                    </w:rPr>
                  </w:pPr>
                  <w:r>
                    <w:rPr>
                      <w:kern w:val="0"/>
                      <w:sz w:val="21"/>
                      <w:szCs w:val="21"/>
                    </w:rPr>
                    <w:t>70</w:t>
                  </w:r>
                </w:p>
              </w:tc>
              <w:tc>
                <w:tcPr>
                  <w:tcW w:w="534" w:type="pct"/>
                  <w:vAlign w:val="center"/>
                </w:tcPr>
                <w:p>
                  <w:pPr>
                    <w:topLinePunct/>
                    <w:adjustRightInd w:val="0"/>
                    <w:snapToGrid w:val="0"/>
                    <w:spacing w:line="240" w:lineRule="auto"/>
                    <w:jc w:val="center"/>
                    <w:rPr>
                      <w:kern w:val="0"/>
                      <w:sz w:val="21"/>
                      <w:szCs w:val="21"/>
                    </w:rPr>
                  </w:pPr>
                  <w:r>
                    <w:rPr>
                      <w:rFonts w:hint="eastAsia"/>
                      <w:kern w:val="0"/>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1" w:hRule="atLeast"/>
                <w:jc w:val="center"/>
              </w:trPr>
              <w:tc>
                <w:tcPr>
                  <w:tcW w:w="1347" w:type="pct"/>
                  <w:vAlign w:val="center"/>
                </w:tcPr>
                <w:p>
                  <w:pPr>
                    <w:topLinePunct/>
                    <w:adjustRightInd w:val="0"/>
                    <w:snapToGrid w:val="0"/>
                    <w:spacing w:line="240" w:lineRule="auto"/>
                    <w:jc w:val="center"/>
                    <w:rPr>
                      <w:sz w:val="21"/>
                      <w:szCs w:val="21"/>
                    </w:rPr>
                  </w:pPr>
                  <w:r>
                    <w:rPr>
                      <w:sz w:val="21"/>
                      <w:szCs w:val="21"/>
                    </w:rPr>
                    <w:t>N5</w:t>
                  </w:r>
                  <w:r>
                    <w:rPr>
                      <w:rFonts w:hint="eastAsia"/>
                      <w:sz w:val="21"/>
                      <w:szCs w:val="21"/>
                    </w:rPr>
                    <w:t>南面边界处20米沙堆村居民点</w:t>
                  </w:r>
                </w:p>
              </w:tc>
              <w:tc>
                <w:tcPr>
                  <w:tcW w:w="861" w:type="pct"/>
                  <w:vMerge w:val="continue"/>
                  <w:vAlign w:val="center"/>
                </w:tcPr>
                <w:p>
                  <w:pPr>
                    <w:topLinePunct/>
                    <w:adjustRightInd w:val="0"/>
                    <w:snapToGrid w:val="0"/>
                    <w:spacing w:line="240" w:lineRule="auto"/>
                    <w:jc w:val="center"/>
                    <w:rPr>
                      <w:sz w:val="21"/>
                      <w:szCs w:val="21"/>
                    </w:rPr>
                  </w:pPr>
                </w:p>
              </w:tc>
              <w:tc>
                <w:tcPr>
                  <w:tcW w:w="1188" w:type="pct"/>
                  <w:vAlign w:val="center"/>
                </w:tcPr>
                <w:p>
                  <w:pPr>
                    <w:topLinePunct/>
                    <w:adjustRightInd w:val="0"/>
                    <w:snapToGrid w:val="0"/>
                    <w:spacing w:line="240" w:lineRule="auto"/>
                    <w:jc w:val="center"/>
                    <w:rPr>
                      <w:kern w:val="0"/>
                      <w:sz w:val="21"/>
                      <w:szCs w:val="21"/>
                    </w:rPr>
                  </w:pPr>
                  <w:r>
                    <w:rPr>
                      <w:rFonts w:hint="eastAsia"/>
                      <w:kern w:val="0"/>
                      <w:sz w:val="21"/>
                      <w:szCs w:val="21"/>
                    </w:rPr>
                    <w:t>58</w:t>
                  </w:r>
                </w:p>
              </w:tc>
              <w:tc>
                <w:tcPr>
                  <w:tcW w:w="535" w:type="pct"/>
                  <w:vAlign w:val="center"/>
                </w:tcPr>
                <w:p>
                  <w:pPr>
                    <w:topLinePunct/>
                    <w:adjustRightInd w:val="0"/>
                    <w:snapToGrid w:val="0"/>
                    <w:spacing w:line="240" w:lineRule="auto"/>
                    <w:jc w:val="center"/>
                    <w:rPr>
                      <w:kern w:val="0"/>
                      <w:sz w:val="21"/>
                      <w:szCs w:val="21"/>
                    </w:rPr>
                  </w:pPr>
                  <w:r>
                    <w:rPr>
                      <w:rFonts w:hint="eastAsia"/>
                      <w:kern w:val="0"/>
                      <w:sz w:val="21"/>
                      <w:szCs w:val="21"/>
                    </w:rPr>
                    <w:t>46</w:t>
                  </w:r>
                </w:p>
              </w:tc>
              <w:tc>
                <w:tcPr>
                  <w:tcW w:w="533" w:type="pct"/>
                  <w:vAlign w:val="center"/>
                </w:tcPr>
                <w:p>
                  <w:pPr>
                    <w:topLinePunct/>
                    <w:adjustRightInd w:val="0"/>
                    <w:snapToGrid w:val="0"/>
                    <w:spacing w:line="240" w:lineRule="auto"/>
                    <w:jc w:val="center"/>
                    <w:rPr>
                      <w:kern w:val="0"/>
                      <w:sz w:val="21"/>
                      <w:szCs w:val="21"/>
                    </w:rPr>
                  </w:pPr>
                  <w:r>
                    <w:rPr>
                      <w:rFonts w:hint="eastAsia"/>
                      <w:kern w:val="0"/>
                      <w:sz w:val="21"/>
                      <w:szCs w:val="21"/>
                    </w:rPr>
                    <w:t>70</w:t>
                  </w:r>
                </w:p>
              </w:tc>
              <w:tc>
                <w:tcPr>
                  <w:tcW w:w="534" w:type="pct"/>
                  <w:vAlign w:val="center"/>
                </w:tcPr>
                <w:p>
                  <w:pPr>
                    <w:topLinePunct/>
                    <w:adjustRightInd w:val="0"/>
                    <w:snapToGrid w:val="0"/>
                    <w:spacing w:line="240" w:lineRule="auto"/>
                    <w:jc w:val="center"/>
                    <w:rPr>
                      <w:kern w:val="0"/>
                      <w:sz w:val="21"/>
                      <w:szCs w:val="21"/>
                    </w:rPr>
                  </w:pPr>
                  <w:r>
                    <w:rPr>
                      <w:rFonts w:hint="eastAsia"/>
                      <w:kern w:val="0"/>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347" w:type="pct"/>
                  <w:vAlign w:val="center"/>
                </w:tcPr>
                <w:p>
                  <w:pPr>
                    <w:topLinePunct/>
                    <w:adjustRightInd w:val="0"/>
                    <w:snapToGrid w:val="0"/>
                    <w:spacing w:line="240" w:lineRule="auto"/>
                    <w:jc w:val="center"/>
                    <w:rPr>
                      <w:sz w:val="21"/>
                      <w:szCs w:val="21"/>
                    </w:rPr>
                  </w:pPr>
                  <w:r>
                    <w:rPr>
                      <w:sz w:val="21"/>
                      <w:szCs w:val="21"/>
                    </w:rPr>
                    <w:t>N6</w:t>
                  </w:r>
                  <w:r>
                    <w:rPr>
                      <w:rFonts w:hint="eastAsia"/>
                      <w:sz w:val="21"/>
                      <w:szCs w:val="21"/>
                    </w:rPr>
                    <w:t>东面边界处20米沙堆村居民点</w:t>
                  </w:r>
                </w:p>
              </w:tc>
              <w:tc>
                <w:tcPr>
                  <w:tcW w:w="861" w:type="pct"/>
                  <w:vMerge w:val="continue"/>
                  <w:vAlign w:val="center"/>
                </w:tcPr>
                <w:p>
                  <w:pPr>
                    <w:topLinePunct/>
                    <w:adjustRightInd w:val="0"/>
                    <w:snapToGrid w:val="0"/>
                    <w:spacing w:line="240" w:lineRule="auto"/>
                    <w:jc w:val="center"/>
                    <w:rPr>
                      <w:sz w:val="21"/>
                      <w:szCs w:val="21"/>
                    </w:rPr>
                  </w:pPr>
                </w:p>
              </w:tc>
              <w:tc>
                <w:tcPr>
                  <w:tcW w:w="1188" w:type="pct"/>
                  <w:vAlign w:val="center"/>
                </w:tcPr>
                <w:p>
                  <w:pPr>
                    <w:topLinePunct/>
                    <w:adjustRightInd w:val="0"/>
                    <w:snapToGrid w:val="0"/>
                    <w:spacing w:line="240" w:lineRule="auto"/>
                    <w:jc w:val="center"/>
                    <w:rPr>
                      <w:kern w:val="0"/>
                      <w:sz w:val="21"/>
                      <w:szCs w:val="21"/>
                    </w:rPr>
                  </w:pPr>
                  <w:r>
                    <w:rPr>
                      <w:rFonts w:hint="eastAsia"/>
                      <w:kern w:val="0"/>
                      <w:sz w:val="21"/>
                      <w:szCs w:val="21"/>
                    </w:rPr>
                    <w:t>51</w:t>
                  </w:r>
                </w:p>
              </w:tc>
              <w:tc>
                <w:tcPr>
                  <w:tcW w:w="535" w:type="pct"/>
                  <w:vAlign w:val="center"/>
                </w:tcPr>
                <w:p>
                  <w:pPr>
                    <w:topLinePunct/>
                    <w:adjustRightInd w:val="0"/>
                    <w:snapToGrid w:val="0"/>
                    <w:spacing w:line="240" w:lineRule="auto"/>
                    <w:jc w:val="center"/>
                    <w:rPr>
                      <w:kern w:val="0"/>
                      <w:sz w:val="21"/>
                      <w:szCs w:val="21"/>
                    </w:rPr>
                  </w:pPr>
                  <w:r>
                    <w:rPr>
                      <w:rFonts w:hint="eastAsia"/>
                      <w:kern w:val="0"/>
                      <w:sz w:val="21"/>
                      <w:szCs w:val="21"/>
                    </w:rPr>
                    <w:t>44</w:t>
                  </w:r>
                </w:p>
              </w:tc>
              <w:tc>
                <w:tcPr>
                  <w:tcW w:w="533" w:type="pct"/>
                  <w:vAlign w:val="center"/>
                </w:tcPr>
                <w:p>
                  <w:pPr>
                    <w:topLinePunct/>
                    <w:adjustRightInd w:val="0"/>
                    <w:snapToGrid w:val="0"/>
                    <w:spacing w:line="240" w:lineRule="auto"/>
                    <w:jc w:val="center"/>
                    <w:rPr>
                      <w:kern w:val="0"/>
                      <w:sz w:val="21"/>
                      <w:szCs w:val="21"/>
                    </w:rPr>
                  </w:pPr>
                  <w:r>
                    <w:rPr>
                      <w:rFonts w:hint="eastAsia"/>
                      <w:kern w:val="0"/>
                      <w:sz w:val="21"/>
                      <w:szCs w:val="21"/>
                    </w:rPr>
                    <w:t>60</w:t>
                  </w:r>
                </w:p>
              </w:tc>
              <w:tc>
                <w:tcPr>
                  <w:tcW w:w="534" w:type="pct"/>
                  <w:vAlign w:val="center"/>
                </w:tcPr>
                <w:p>
                  <w:pPr>
                    <w:topLinePunct/>
                    <w:adjustRightInd w:val="0"/>
                    <w:snapToGrid w:val="0"/>
                    <w:spacing w:line="240" w:lineRule="auto"/>
                    <w:jc w:val="center"/>
                    <w:rPr>
                      <w:kern w:val="0"/>
                      <w:sz w:val="21"/>
                      <w:szCs w:val="21"/>
                    </w:rPr>
                  </w:pPr>
                  <w:r>
                    <w:rPr>
                      <w:rFonts w:hint="eastAsia"/>
                      <w:kern w:val="0"/>
                      <w:sz w:val="21"/>
                      <w:szCs w:val="21"/>
                    </w:rPr>
                    <w:t>50</w:t>
                  </w:r>
                </w:p>
              </w:tc>
            </w:tr>
          </w:tbl>
          <w:p>
            <w:pPr>
              <w:ind w:firstLine="480" w:firstLineChars="200"/>
              <w:rPr>
                <w:color w:val="0000FF"/>
              </w:rPr>
            </w:pPr>
            <w:r>
              <w:t>根据上表结果分析表明项目厂界北面、东面、西面监测点均可以满足《声环境质量标准》（GB3096-2008）2类标准要求，南面监测点可以满足《声环境质量标准》（GB3096-2008）4a类标准要求，敏感点监测点可以满足《声环境质量标准》（GB3096-2008）2类及4a类标准要求，项目</w:t>
            </w:r>
            <w:r>
              <w:rPr>
                <w:rFonts w:hint="eastAsia"/>
                <w:lang w:val="en-US" w:eastAsia="zh-CN"/>
              </w:rPr>
              <w:t>运营噪声</w:t>
            </w:r>
            <w:r>
              <w:t>对区域居民影响</w:t>
            </w:r>
            <w:r>
              <w:rPr>
                <w:rFonts w:hint="eastAsia"/>
                <w:lang w:val="en-US" w:eastAsia="zh-CN"/>
              </w:rPr>
              <w:t>不大</w:t>
            </w:r>
            <w:r>
              <w:t>。</w:t>
            </w:r>
          </w:p>
          <w:p>
            <w:pPr>
              <w:pStyle w:val="40"/>
              <w:numPr>
                <w:ilvl w:val="3"/>
                <w:numId w:val="0"/>
              </w:numPr>
              <w:ind w:left="454"/>
            </w:pPr>
            <w:r>
              <w:t>3、噪声防治措施</w:t>
            </w:r>
          </w:p>
          <w:p>
            <w:pPr>
              <w:pStyle w:val="42"/>
              <w:wordWrap w:val="0"/>
              <w:topLinePunct/>
              <w:spacing w:line="360" w:lineRule="auto"/>
              <w:ind w:firstLine="480" w:firstLineChars="200"/>
              <w:jc w:val="both"/>
              <w:rPr>
                <w:bCs/>
                <w:u w:val="single"/>
              </w:rPr>
            </w:pPr>
            <w:r>
              <w:rPr>
                <w:u w:val="single"/>
              </w:rPr>
              <w:t>为降低项目营运时噪声对周边声环境的影响，项目应加强管理，采取切实有效的降噪措施：</w:t>
            </w:r>
          </w:p>
          <w:p>
            <w:pPr>
              <w:ind w:firstLine="480" w:firstLineChars="200"/>
              <w:rPr>
                <w:kern w:val="0"/>
                <w:u w:val="single"/>
              </w:rPr>
            </w:pPr>
            <w:r>
              <w:rPr>
                <w:kern w:val="0"/>
                <w:u w:val="single"/>
              </w:rPr>
              <w:fldChar w:fldCharType="begin"/>
            </w:r>
            <w:r>
              <w:rPr>
                <w:kern w:val="0"/>
                <w:u w:val="single"/>
              </w:rPr>
              <w:instrText xml:space="preserve"> = 1 \* GB3 \* MERGEFORMAT </w:instrText>
            </w:r>
            <w:r>
              <w:rPr>
                <w:kern w:val="0"/>
                <w:u w:val="single"/>
              </w:rPr>
              <w:fldChar w:fldCharType="separate"/>
            </w:r>
            <w:r>
              <w:rPr>
                <w:kern w:val="0"/>
                <w:u w:val="single"/>
              </w:rPr>
              <w:t>①</w:t>
            </w:r>
            <w:r>
              <w:rPr>
                <w:kern w:val="0"/>
                <w:u w:val="single"/>
              </w:rPr>
              <w:fldChar w:fldCharType="end"/>
            </w:r>
            <w:r>
              <w:rPr>
                <w:kern w:val="0"/>
                <w:u w:val="single"/>
              </w:rPr>
              <w:t>从声源上控制，</w:t>
            </w:r>
            <w:r>
              <w:rPr>
                <w:rFonts w:hint="eastAsia"/>
                <w:kern w:val="0"/>
                <w:u w:val="single"/>
              </w:rPr>
              <w:t>已有噪声设备（如</w:t>
            </w:r>
            <w:r>
              <w:rPr>
                <w:u w:val="single"/>
              </w:rPr>
              <w:t>破碎机、</w:t>
            </w:r>
            <w:r>
              <w:rPr>
                <w:rFonts w:hint="eastAsia"/>
                <w:u w:val="single"/>
                <w:lang w:eastAsia="zh-CN"/>
              </w:rPr>
              <w:t>洗砂机、压滤机、水泵、</w:t>
            </w:r>
            <w:r>
              <w:rPr>
                <w:u w:val="single"/>
              </w:rPr>
              <w:t>振动筛、输送带</w:t>
            </w:r>
            <w:r>
              <w:rPr>
                <w:rFonts w:hint="eastAsia"/>
                <w:kern w:val="0"/>
                <w:u w:val="single"/>
              </w:rPr>
              <w:t>）加强</w:t>
            </w:r>
            <w:r>
              <w:rPr>
                <w:kern w:val="0"/>
                <w:u w:val="single"/>
              </w:rPr>
              <w:t>检修和维护，以保证设备正常运转。</w:t>
            </w:r>
          </w:p>
          <w:p>
            <w:pPr>
              <w:ind w:firstLine="480" w:firstLineChars="200"/>
              <w:rPr>
                <w:kern w:val="0"/>
                <w:u w:val="single"/>
              </w:rPr>
            </w:pPr>
            <w:r>
              <w:rPr>
                <w:kern w:val="0"/>
                <w:u w:val="single"/>
              </w:rPr>
              <w:t>②建设单位</w:t>
            </w:r>
            <w:r>
              <w:rPr>
                <w:rFonts w:hint="eastAsia"/>
                <w:kern w:val="0"/>
                <w:u w:val="single"/>
              </w:rPr>
              <w:t>在生产过程中</w:t>
            </w:r>
            <w:r>
              <w:rPr>
                <w:kern w:val="0"/>
                <w:u w:val="single"/>
              </w:rPr>
              <w:t>应加强设备日常检修和维护，以保证各设备正常运转，以免由于设备故障原因产生较大噪声。</w:t>
            </w:r>
          </w:p>
          <w:p>
            <w:pPr>
              <w:ind w:firstLine="480" w:firstLineChars="200"/>
              <w:rPr>
                <w:kern w:val="0"/>
              </w:rPr>
            </w:pPr>
            <w:r>
              <w:rPr>
                <w:kern w:val="0"/>
                <w:u w:val="single"/>
              </w:rPr>
              <w:t>③项目营运期</w:t>
            </w:r>
            <w:r>
              <w:rPr>
                <w:rFonts w:hint="eastAsia"/>
                <w:kern w:val="0"/>
                <w:u w:val="single"/>
              </w:rPr>
              <w:t>原辅材料及成品</w:t>
            </w:r>
            <w:r>
              <w:rPr>
                <w:kern w:val="0"/>
                <w:u w:val="single"/>
              </w:rPr>
              <w:t>通过汽车</w:t>
            </w:r>
            <w:r>
              <w:rPr>
                <w:rFonts w:hint="eastAsia"/>
                <w:kern w:val="0"/>
                <w:u w:val="single"/>
              </w:rPr>
              <w:t>运输</w:t>
            </w:r>
            <w:r>
              <w:rPr>
                <w:kern w:val="0"/>
                <w:u w:val="single"/>
              </w:rPr>
              <w:t>，汽车运输噪声对沿线居民会产生一定的影响。本次环评要求：加强运输车辆管理，经过</w:t>
            </w:r>
            <w:r>
              <w:rPr>
                <w:rFonts w:hint="eastAsia"/>
                <w:kern w:val="0"/>
                <w:u w:val="single"/>
              </w:rPr>
              <w:t>集镇</w:t>
            </w:r>
            <w:r>
              <w:rPr>
                <w:kern w:val="0"/>
                <w:u w:val="single"/>
              </w:rPr>
              <w:t>时不得鸣笛并控制速度，可最大程度降低对沿线敏感点的影响</w:t>
            </w:r>
            <w:r>
              <w:rPr>
                <w:rFonts w:hint="eastAsia"/>
                <w:kern w:val="0"/>
                <w:u w:val="single"/>
              </w:rPr>
              <w:t>。</w:t>
            </w:r>
          </w:p>
          <w:p>
            <w:pPr>
              <w:snapToGrid w:val="0"/>
              <w:ind w:firstLine="480" w:firstLineChars="200"/>
              <w:rPr>
                <w:kern w:val="0"/>
              </w:rPr>
            </w:pPr>
            <w:r>
              <w:rPr>
                <w:kern w:val="0"/>
              </w:rPr>
              <w:t>落实上述隔声降噪措施后，项目四周厂界噪声均可以达到《工业企业厂界环境噪声排放标准》（GB12348-2008）中的</w:t>
            </w:r>
            <w:r>
              <w:rPr>
                <w:rFonts w:hint="eastAsia"/>
                <w:kern w:val="0"/>
              </w:rPr>
              <w:t>2类及4类</w:t>
            </w:r>
            <w:r>
              <w:rPr>
                <w:kern w:val="0"/>
              </w:rPr>
              <w:t>标准限值</w:t>
            </w:r>
            <w:r>
              <w:rPr>
                <w:rFonts w:hint="eastAsia"/>
                <w:kern w:val="0"/>
              </w:rPr>
              <w:t>，</w:t>
            </w:r>
            <w:r>
              <w:t>敏感点监测点可以满足《声环境质量标准》（GB3096-2008）2类及4a类标准要求，</w:t>
            </w:r>
            <w:r>
              <w:rPr>
                <w:rFonts w:hint="eastAsia"/>
                <w:kern w:val="0"/>
              </w:rPr>
              <w:t>对周边居民影响较小。</w:t>
            </w:r>
          </w:p>
          <w:p>
            <w:pPr>
              <w:pStyle w:val="34"/>
              <w:numPr>
                <w:ilvl w:val="2"/>
                <w:numId w:val="0"/>
              </w:numPr>
              <w:ind w:firstLine="481" w:firstLineChars="200"/>
            </w:pPr>
            <w:bookmarkStart w:id="94" w:name="_Toc32206"/>
            <w:bookmarkStart w:id="95" w:name="_Toc68160399"/>
            <w:r>
              <w:t>4.2.4、固体废物</w:t>
            </w:r>
            <w:bookmarkEnd w:id="94"/>
            <w:bookmarkEnd w:id="95"/>
          </w:p>
          <w:p>
            <w:pPr>
              <w:ind w:firstLine="480" w:firstLineChars="200"/>
              <w:rPr>
                <w:kern w:val="0"/>
                <w:u w:val="single"/>
              </w:rPr>
            </w:pPr>
            <w:r>
              <w:rPr>
                <w:kern w:val="0"/>
                <w:u w:val="single"/>
              </w:rPr>
              <w:t>项目固废主要来源于压滤机产生的污泥</w:t>
            </w:r>
            <w:r>
              <w:rPr>
                <w:rFonts w:hint="eastAsia"/>
                <w:kern w:val="0"/>
                <w:u w:val="single"/>
              </w:rPr>
              <w:t>、</w:t>
            </w:r>
            <w:r>
              <w:rPr>
                <w:rFonts w:hint="eastAsia"/>
                <w:kern w:val="0"/>
                <w:u w:val="single"/>
                <w:lang w:eastAsia="zh-CN"/>
              </w:rPr>
              <w:t>沉淀池沉砂、压滤机滤布、</w:t>
            </w:r>
            <w:r>
              <w:rPr>
                <w:kern w:val="0"/>
                <w:u w:val="single"/>
              </w:rPr>
              <w:t>员工的生活垃圾和机械日常保养维护产生的</w:t>
            </w:r>
            <w:r>
              <w:rPr>
                <w:rFonts w:ascii="Times New Roman" w:hAnsi="Times New Roman" w:eastAsia="宋体" w:cs="Times New Roman"/>
                <w:kern w:val="0"/>
                <w:sz w:val="24"/>
                <w:szCs w:val="24"/>
                <w:u w:val="single"/>
              </w:rPr>
              <w:t>废机油、废润滑油</w:t>
            </w:r>
            <w:r>
              <w:rPr>
                <w:rFonts w:hint="default" w:ascii="Times New Roman" w:hAnsi="Times New Roman" w:eastAsia="宋体" w:cs="Times New Roman"/>
                <w:kern w:val="0"/>
                <w:sz w:val="24"/>
                <w:szCs w:val="24"/>
                <w:u w:val="single"/>
                <w:lang w:eastAsia="zh-CN"/>
              </w:rPr>
              <w:t>、废含油抹布</w:t>
            </w:r>
            <w:r>
              <w:rPr>
                <w:kern w:val="0"/>
                <w:u w:val="single"/>
              </w:rPr>
              <w:t>。</w:t>
            </w:r>
          </w:p>
          <w:p>
            <w:pPr>
              <w:ind w:firstLine="480" w:firstLineChars="200"/>
              <w:rPr>
                <w:kern w:val="0"/>
              </w:rPr>
            </w:pPr>
            <w:r>
              <w:rPr>
                <w:kern w:val="0"/>
              </w:rPr>
              <w:t>（1）压滤机产生的污泥</w:t>
            </w:r>
          </w:p>
          <w:p>
            <w:pPr>
              <w:ind w:firstLine="480" w:firstLineChars="200"/>
              <w:rPr>
                <w:color w:val="0000FF"/>
                <w:kern w:val="0"/>
                <w:u w:val="single"/>
              </w:rPr>
            </w:pPr>
            <w:r>
              <w:rPr>
                <w:kern w:val="0"/>
              </w:rPr>
              <w:t>项目经污水处理设施处理后将会产生污泥，污泥经压滤机脱水后，送至砖厂做原材料处理。项目</w:t>
            </w:r>
            <w:r>
              <w:rPr>
                <w:rFonts w:hint="eastAsia"/>
                <w:kern w:val="0"/>
              </w:rPr>
              <w:t>鹅卵石经三次破碎后的砂料</w:t>
            </w:r>
            <w:r>
              <w:rPr>
                <w:kern w:val="0"/>
              </w:rPr>
              <w:t>进行水洗砂，洗砂各环节产生的污泥随废水流入</w:t>
            </w:r>
            <w:r>
              <w:rPr>
                <w:rFonts w:hint="eastAsia"/>
                <w:kern w:val="0"/>
                <w:lang w:eastAsia="zh-CN"/>
              </w:rPr>
              <w:t>生产工艺废水</w:t>
            </w:r>
            <w:r>
              <w:rPr>
                <w:kern w:val="0"/>
              </w:rPr>
              <w:t>处理系统，经污水处理系统处理后将会产生大量的污泥（成份为SS），污泥量与原材料中的含泥量有关。依据建设方提供资料，本项目用于洗砂的原料共</w:t>
            </w:r>
            <w:r>
              <w:rPr>
                <w:rFonts w:hint="eastAsia"/>
                <w:kern w:val="0"/>
              </w:rPr>
              <w:t>1250000</w:t>
            </w:r>
            <w:r>
              <w:rPr>
                <w:kern w:val="0"/>
              </w:rPr>
              <w:t>t，污泥经板框压滤机压滤脱水后含水率约为65%，则湿污泥量约</w:t>
            </w:r>
            <w:r>
              <w:rPr>
                <w:rFonts w:hint="eastAsia"/>
                <w:kern w:val="0"/>
              </w:rPr>
              <w:t>14282</w:t>
            </w:r>
            <w:r>
              <w:rPr>
                <w:rFonts w:hint="eastAsia"/>
                <w:kern w:val="0"/>
                <w:lang w:val="en-US" w:eastAsia="zh-CN"/>
              </w:rPr>
              <w:t>2</w:t>
            </w:r>
            <w:r>
              <w:rPr>
                <w:rFonts w:hint="eastAsia"/>
                <w:kern w:val="0"/>
              </w:rPr>
              <w:t>.</w:t>
            </w:r>
            <w:r>
              <w:rPr>
                <w:rFonts w:hint="eastAsia"/>
                <w:kern w:val="0"/>
                <w:lang w:val="en-US" w:eastAsia="zh-CN"/>
              </w:rPr>
              <w:t>97</w:t>
            </w:r>
            <w:r>
              <w:rPr>
                <w:kern w:val="0"/>
              </w:rPr>
              <w:t>t/a，则产生污泥量约</w:t>
            </w:r>
            <w:r>
              <w:rPr>
                <w:rFonts w:hint="eastAsia"/>
                <w:kern w:val="0"/>
              </w:rPr>
              <w:t>49988.</w:t>
            </w:r>
            <w:r>
              <w:rPr>
                <w:rFonts w:hint="eastAsia"/>
                <w:kern w:val="0"/>
                <w:lang w:val="en-US" w:eastAsia="zh-CN"/>
              </w:rPr>
              <w:t>04</w:t>
            </w:r>
            <w:r>
              <w:rPr>
                <w:kern w:val="0"/>
              </w:rPr>
              <w:t>t/a（干泥），其成分以细碎粉尘少量粘土为主，不含有毒物质，通过脱水后，送至砖厂做原料使用。不能乱堆乱放，避免造成二次污染。厂区配备专门的工作人员，负责污泥的收集、转运，</w:t>
            </w:r>
            <w:r>
              <w:rPr>
                <w:rFonts w:hint="eastAsia"/>
                <w:kern w:val="0"/>
              </w:rPr>
              <w:t>日产日清</w:t>
            </w:r>
            <w:r>
              <w:rPr>
                <w:kern w:val="0"/>
              </w:rPr>
              <w:t>，停留厂区时间</w:t>
            </w:r>
            <w:r>
              <w:rPr>
                <w:rFonts w:hint="eastAsia"/>
                <w:kern w:val="0"/>
              </w:rPr>
              <w:t>不会</w:t>
            </w:r>
            <w:r>
              <w:rPr>
                <w:kern w:val="0"/>
              </w:rPr>
              <w:t>过长，</w:t>
            </w:r>
            <w:r>
              <w:rPr>
                <w:rFonts w:hint="eastAsia"/>
                <w:kern w:val="0"/>
                <w:lang w:eastAsia="zh-CN"/>
              </w:rPr>
              <w:t>日产日清，</w:t>
            </w:r>
            <w:r>
              <w:rPr>
                <w:kern w:val="0"/>
              </w:rPr>
              <w:t>污泥经转移综合利用后，不会对周边环境造成影响。</w:t>
            </w:r>
          </w:p>
          <w:p>
            <w:pPr>
              <w:ind w:firstLine="480" w:firstLineChars="200"/>
              <w:rPr>
                <w:rFonts w:hint="default" w:ascii="Times New Roman" w:hAnsi="Times New Roman" w:eastAsia="宋体" w:cs="Times New Roman"/>
                <w:kern w:val="0"/>
                <w:sz w:val="24"/>
                <w:szCs w:val="24"/>
                <w:u w:val="none"/>
                <w:lang w:val="en-US" w:eastAsia="zh-CN"/>
              </w:rPr>
            </w:pPr>
            <w:r>
              <w:rPr>
                <w:rFonts w:hint="default" w:eastAsia="宋体" w:cs="Times New Roman"/>
                <w:kern w:val="0"/>
                <w:sz w:val="24"/>
                <w:szCs w:val="24"/>
                <w:u w:val="none"/>
                <w:lang w:eastAsia="zh-CN"/>
              </w:rPr>
              <w:t>（</w:t>
            </w:r>
            <w:r>
              <w:rPr>
                <w:rFonts w:hint="default" w:eastAsia="宋体" w:cs="Times New Roman"/>
                <w:kern w:val="0"/>
                <w:sz w:val="24"/>
                <w:szCs w:val="24"/>
                <w:u w:val="none"/>
                <w:lang w:val="en-US" w:eastAsia="zh-CN"/>
              </w:rPr>
              <w:t>2</w:t>
            </w:r>
            <w:r>
              <w:rPr>
                <w:rFonts w:hint="default" w:eastAsia="宋体" w:cs="Times New Roman"/>
                <w:kern w:val="0"/>
                <w:sz w:val="24"/>
                <w:szCs w:val="24"/>
                <w:u w:val="none"/>
                <w:lang w:eastAsia="zh-CN"/>
              </w:rPr>
              <w:t>）</w:t>
            </w:r>
            <w:r>
              <w:rPr>
                <w:rFonts w:hint="eastAsia" w:cs="Times New Roman"/>
                <w:kern w:val="0"/>
                <w:sz w:val="24"/>
                <w:szCs w:val="24"/>
                <w:u w:val="none"/>
                <w:lang w:val="en-US" w:eastAsia="zh-CN"/>
              </w:rPr>
              <w:t>沉淀池沉砂</w:t>
            </w:r>
          </w:p>
          <w:p>
            <w:pPr>
              <w:ind w:firstLine="480" w:firstLineChars="200"/>
              <w:rPr>
                <w:kern w:val="0"/>
              </w:rPr>
            </w:pPr>
            <w:r>
              <w:rPr>
                <w:rFonts w:hint="default" w:eastAsia="宋体"/>
                <w:kern w:val="0"/>
                <w:u w:val="none"/>
                <w:lang w:val="en-US" w:eastAsia="zh-CN"/>
              </w:rPr>
              <w:t>类比同类项目，</w:t>
            </w:r>
            <w:r>
              <w:rPr>
                <w:rFonts w:hint="eastAsia"/>
                <w:kern w:val="0"/>
                <w:u w:val="none"/>
                <w:lang w:val="en-US" w:eastAsia="zh-CN"/>
              </w:rPr>
              <w:t>本项目产生的</w:t>
            </w:r>
            <w:r>
              <w:rPr>
                <w:rFonts w:hint="eastAsia" w:cs="Times New Roman"/>
                <w:kern w:val="0"/>
                <w:sz w:val="24"/>
                <w:szCs w:val="24"/>
                <w:u w:val="none"/>
                <w:lang w:val="en-US" w:eastAsia="zh-CN"/>
              </w:rPr>
              <w:t>沉淀池沉砂</w:t>
            </w:r>
            <w:r>
              <w:rPr>
                <w:rFonts w:hint="default" w:eastAsia="宋体"/>
                <w:kern w:val="0"/>
                <w:u w:val="none"/>
                <w:lang w:val="en-US" w:eastAsia="zh-CN"/>
              </w:rPr>
              <w:t>约2t/a，定期清捞，与泥饼一同交制砖厂进行综合利用。</w:t>
            </w:r>
          </w:p>
          <w:p>
            <w:pPr>
              <w:tabs>
                <w:tab w:val="left" w:pos="2127"/>
              </w:tabs>
              <w:ind w:firstLine="480" w:firstLineChars="200"/>
              <w:rPr>
                <w:rFonts w:hint="eastAsia" w:eastAsia="宋体"/>
                <w:kern w:val="0"/>
                <w:u w:val="single"/>
                <w:lang w:eastAsia="zh-CN"/>
              </w:rPr>
            </w:pPr>
            <w:r>
              <w:rPr>
                <w:rFonts w:hint="eastAsia"/>
                <w:kern w:val="0"/>
                <w:u w:val="single"/>
                <w:lang w:eastAsia="zh-CN"/>
              </w:rPr>
              <w:t>（</w:t>
            </w:r>
            <w:r>
              <w:rPr>
                <w:rFonts w:hint="eastAsia"/>
                <w:kern w:val="0"/>
                <w:u w:val="single"/>
                <w:lang w:val="en-US" w:eastAsia="zh-CN"/>
              </w:rPr>
              <w:t>3</w:t>
            </w:r>
            <w:r>
              <w:rPr>
                <w:rFonts w:hint="eastAsia"/>
                <w:kern w:val="0"/>
                <w:u w:val="single"/>
                <w:lang w:eastAsia="zh-CN"/>
              </w:rPr>
              <w:t>）压滤机滤布</w:t>
            </w:r>
          </w:p>
          <w:p>
            <w:pPr>
              <w:tabs>
                <w:tab w:val="left" w:pos="2127"/>
              </w:tabs>
              <w:ind w:firstLine="480" w:firstLineChars="200"/>
              <w:rPr>
                <w:rFonts w:hint="eastAsia" w:eastAsia="宋体"/>
                <w:kern w:val="0"/>
                <w:lang w:val="en-US" w:eastAsia="zh-CN"/>
              </w:rPr>
            </w:pPr>
            <w:r>
              <w:rPr>
                <w:rFonts w:hint="eastAsia"/>
                <w:kern w:val="0"/>
                <w:u w:val="single"/>
                <w:lang w:eastAsia="zh-CN"/>
              </w:rPr>
              <w:t>根据建设单位提供资料，板框压滤机滤布更换频率为半年更换一次，则项目年产生压滤机滤布</w:t>
            </w:r>
            <w:r>
              <w:rPr>
                <w:rFonts w:hint="eastAsia"/>
                <w:kern w:val="0"/>
                <w:u w:val="single"/>
                <w:lang w:val="en-US" w:eastAsia="zh-CN"/>
              </w:rPr>
              <w:t>0.0001t，</w:t>
            </w:r>
            <w:r>
              <w:rPr>
                <w:kern w:val="0"/>
                <w:u w:val="single"/>
              </w:rPr>
              <w:t>收集后送</w:t>
            </w:r>
            <w:r>
              <w:rPr>
                <w:rFonts w:hint="eastAsia"/>
                <w:kern w:val="0"/>
                <w:u w:val="single"/>
              </w:rPr>
              <w:t>附近</w:t>
            </w:r>
            <w:r>
              <w:rPr>
                <w:kern w:val="0"/>
                <w:u w:val="single"/>
              </w:rPr>
              <w:t>垃圾处置点处置</w:t>
            </w:r>
            <w:r>
              <w:rPr>
                <w:rFonts w:hint="eastAsia"/>
                <w:kern w:val="0"/>
                <w:u w:val="single"/>
                <w:lang w:eastAsia="zh-CN"/>
              </w:rPr>
              <w:t>。</w:t>
            </w:r>
          </w:p>
          <w:p>
            <w:pPr>
              <w:tabs>
                <w:tab w:val="left" w:pos="2127"/>
              </w:tabs>
              <w:ind w:firstLine="480" w:firstLineChars="200"/>
              <w:rPr>
                <w:kern w:val="0"/>
              </w:rPr>
            </w:pPr>
            <w:r>
              <w:rPr>
                <w:kern w:val="0"/>
              </w:rPr>
              <w:t>（</w:t>
            </w:r>
            <w:r>
              <w:rPr>
                <w:rFonts w:hint="eastAsia"/>
                <w:kern w:val="0"/>
                <w:lang w:val="en-US" w:eastAsia="zh-CN"/>
              </w:rPr>
              <w:t>4</w:t>
            </w:r>
            <w:r>
              <w:rPr>
                <w:kern w:val="0"/>
              </w:rPr>
              <w:t>）生活垃圾</w:t>
            </w:r>
          </w:p>
          <w:p>
            <w:pPr>
              <w:ind w:firstLine="480" w:firstLineChars="200"/>
              <w:rPr>
                <w:kern w:val="0"/>
              </w:rPr>
            </w:pPr>
            <w:r>
              <w:rPr>
                <w:kern w:val="0"/>
              </w:rPr>
              <w:t>项目劳动定员</w:t>
            </w:r>
            <w:r>
              <w:rPr>
                <w:rFonts w:hint="eastAsia"/>
                <w:kern w:val="0"/>
              </w:rPr>
              <w:t>10</w:t>
            </w:r>
            <w:r>
              <w:rPr>
                <w:kern w:val="0"/>
              </w:rPr>
              <w:t>人，仅在厂区用餐，生活垃圾按0.</w:t>
            </w:r>
            <w:r>
              <w:rPr>
                <w:rFonts w:hint="eastAsia"/>
                <w:kern w:val="0"/>
                <w:lang w:val="en-US" w:eastAsia="zh-CN"/>
              </w:rPr>
              <w:t>5</w:t>
            </w:r>
            <w:r>
              <w:rPr>
                <w:kern w:val="0"/>
              </w:rPr>
              <w:t>kg/d•人计，则生活垃圾产生量约为</w:t>
            </w:r>
            <w:r>
              <w:rPr>
                <w:rFonts w:hint="eastAsia"/>
                <w:kern w:val="0"/>
                <w:lang w:val="en-US" w:eastAsia="zh-CN"/>
              </w:rPr>
              <w:t>1.5</w:t>
            </w:r>
            <w:r>
              <w:rPr>
                <w:kern w:val="0"/>
              </w:rPr>
              <w:t>t/a，收集后送</w:t>
            </w:r>
            <w:r>
              <w:rPr>
                <w:rFonts w:hint="eastAsia"/>
                <w:kern w:val="0"/>
              </w:rPr>
              <w:t>附近</w:t>
            </w:r>
            <w:r>
              <w:rPr>
                <w:kern w:val="0"/>
              </w:rPr>
              <w:t>垃圾处置点处置，不会对环境产生不良影响，对环境影响较小。</w:t>
            </w:r>
          </w:p>
          <w:p>
            <w:pPr>
              <w:ind w:firstLine="480" w:firstLineChars="200"/>
              <w:rPr>
                <w:kern w:val="0"/>
              </w:rPr>
            </w:pPr>
            <w:r>
              <w:rPr>
                <w:kern w:val="0"/>
              </w:rPr>
              <w:t>（</w:t>
            </w:r>
            <w:r>
              <w:rPr>
                <w:rFonts w:hint="eastAsia"/>
                <w:kern w:val="0"/>
                <w:lang w:val="en-US" w:eastAsia="zh-CN"/>
              </w:rPr>
              <w:t>5</w:t>
            </w:r>
            <w:r>
              <w:rPr>
                <w:kern w:val="0"/>
              </w:rPr>
              <w:t>）危险废物</w:t>
            </w:r>
          </w:p>
          <w:p>
            <w:pPr>
              <w:ind w:firstLine="480" w:firstLineChars="200"/>
              <w:rPr>
                <w:kern w:val="0"/>
              </w:rPr>
            </w:pPr>
            <w:r>
              <w:rPr>
                <w:kern w:val="0"/>
                <w:u w:val="single"/>
              </w:rPr>
              <w:t>本项目机械日常保养维护中会产生危险废物，如废机油、废润滑油</w:t>
            </w:r>
            <w:r>
              <w:rPr>
                <w:rFonts w:hint="eastAsia"/>
                <w:kern w:val="0"/>
                <w:u w:val="single"/>
                <w:lang w:eastAsia="zh-CN"/>
              </w:rPr>
              <w:t>、废含油抹布</w:t>
            </w:r>
            <w:r>
              <w:rPr>
                <w:kern w:val="0"/>
                <w:u w:val="single"/>
              </w:rPr>
              <w:t>等，毎年产生量约为0.2t/a，属于《国家危险废物名录（2021年本）》中的HW08废矿物油与含矿物油废物，</w:t>
            </w:r>
            <w:r>
              <w:rPr>
                <w:rFonts w:hint="eastAsia"/>
                <w:kern w:val="0"/>
                <w:u w:val="single"/>
              </w:rPr>
              <w:t>集中收集</w:t>
            </w:r>
            <w:r>
              <w:rPr>
                <w:kern w:val="0"/>
                <w:u w:val="single"/>
              </w:rPr>
              <w:t>于危废暂存间，并按危险废物储存相关标准设计，贮存间满足“四防”（防风、防雨、防晒、防渗漏）要求，对贮存间设置防渗、渗漏收集措施，并设置警示标志。收集后定期由有资质的单位处置，并建立管理台账。</w:t>
            </w:r>
          </w:p>
          <w:p>
            <w:pPr>
              <w:ind w:firstLine="480" w:firstLineChars="200"/>
              <w:rPr>
                <w:kern w:val="0"/>
              </w:rPr>
            </w:pPr>
            <w:r>
              <w:rPr>
                <w:kern w:val="0"/>
              </w:rPr>
              <w:t>综上，项目产生的各类固废均能得到综合利用和妥善处理，满足环保要求，对环境影响较小。</w:t>
            </w:r>
          </w:p>
          <w:p>
            <w:pPr>
              <w:spacing w:line="240" w:lineRule="auto"/>
              <w:jc w:val="center"/>
              <w:rPr>
                <w:b/>
                <w:bCs/>
                <w:sz w:val="21"/>
                <w:szCs w:val="21"/>
              </w:rPr>
            </w:pPr>
            <w:r>
              <w:rPr>
                <w:b/>
                <w:bCs/>
                <w:sz w:val="21"/>
                <w:szCs w:val="21"/>
              </w:rPr>
              <w:t>表4-</w:t>
            </w:r>
            <w:r>
              <w:rPr>
                <w:rFonts w:hint="eastAsia"/>
                <w:b/>
                <w:bCs/>
                <w:sz w:val="21"/>
                <w:szCs w:val="21"/>
              </w:rPr>
              <w:t>1</w:t>
            </w:r>
            <w:r>
              <w:rPr>
                <w:rFonts w:hint="eastAsia"/>
                <w:b/>
                <w:bCs/>
                <w:sz w:val="21"/>
                <w:szCs w:val="21"/>
                <w:lang w:val="en-US" w:eastAsia="zh-CN"/>
              </w:rPr>
              <w:t>2</w:t>
            </w:r>
            <w:r>
              <w:rPr>
                <w:b/>
                <w:bCs/>
                <w:sz w:val="21"/>
                <w:szCs w:val="21"/>
              </w:rPr>
              <w:t xml:space="preserve">  项目固废产生及处置情况汇总表</w:t>
            </w:r>
          </w:p>
          <w:tbl>
            <w:tblPr>
              <w:tblStyle w:val="23"/>
              <w:tblW w:w="4994"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72"/>
              <w:gridCol w:w="507"/>
              <w:gridCol w:w="429"/>
              <w:gridCol w:w="1453"/>
              <w:gridCol w:w="648"/>
              <w:gridCol w:w="429"/>
              <w:gridCol w:w="680"/>
              <w:gridCol w:w="688"/>
              <w:gridCol w:w="400"/>
              <w:gridCol w:w="1020"/>
              <w:gridCol w:w="77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72" w:type="dxa"/>
                  <w:vAlign w:val="center"/>
                </w:tcPr>
                <w:p>
                  <w:pPr>
                    <w:spacing w:line="240" w:lineRule="auto"/>
                    <w:jc w:val="center"/>
                    <w:rPr>
                      <w:b/>
                      <w:bCs/>
                      <w:sz w:val="21"/>
                      <w:szCs w:val="21"/>
                      <w:u w:val="single"/>
                    </w:rPr>
                  </w:pPr>
                  <w:r>
                    <w:rPr>
                      <w:b/>
                      <w:bCs/>
                      <w:sz w:val="21"/>
                      <w:szCs w:val="21"/>
                      <w:u w:val="single"/>
                    </w:rPr>
                    <w:t>固废名称</w:t>
                  </w:r>
                </w:p>
              </w:tc>
              <w:tc>
                <w:tcPr>
                  <w:tcW w:w="507" w:type="dxa"/>
                  <w:vAlign w:val="center"/>
                </w:tcPr>
                <w:p>
                  <w:pPr>
                    <w:spacing w:line="240" w:lineRule="auto"/>
                    <w:jc w:val="center"/>
                    <w:rPr>
                      <w:b/>
                      <w:bCs/>
                      <w:sz w:val="21"/>
                      <w:szCs w:val="21"/>
                      <w:u w:val="single"/>
                    </w:rPr>
                  </w:pPr>
                  <w:r>
                    <w:rPr>
                      <w:b/>
                      <w:bCs/>
                      <w:sz w:val="21"/>
                      <w:szCs w:val="21"/>
                      <w:u w:val="single"/>
                    </w:rPr>
                    <w:t>产生环节</w:t>
                  </w:r>
                </w:p>
              </w:tc>
              <w:tc>
                <w:tcPr>
                  <w:tcW w:w="429" w:type="dxa"/>
                  <w:vAlign w:val="center"/>
                </w:tcPr>
                <w:p>
                  <w:pPr>
                    <w:spacing w:line="240" w:lineRule="auto"/>
                    <w:jc w:val="center"/>
                    <w:rPr>
                      <w:b/>
                      <w:bCs/>
                      <w:sz w:val="21"/>
                      <w:szCs w:val="21"/>
                      <w:u w:val="single"/>
                    </w:rPr>
                  </w:pPr>
                  <w:r>
                    <w:rPr>
                      <w:b/>
                      <w:bCs/>
                      <w:sz w:val="21"/>
                      <w:szCs w:val="21"/>
                      <w:u w:val="single"/>
                    </w:rPr>
                    <w:t>固废属性</w:t>
                  </w:r>
                </w:p>
              </w:tc>
              <w:tc>
                <w:tcPr>
                  <w:tcW w:w="1453" w:type="dxa"/>
                  <w:vAlign w:val="center"/>
                </w:tcPr>
                <w:p>
                  <w:pPr>
                    <w:spacing w:line="240" w:lineRule="auto"/>
                    <w:jc w:val="center"/>
                    <w:rPr>
                      <w:b/>
                      <w:bCs/>
                      <w:sz w:val="21"/>
                      <w:szCs w:val="21"/>
                      <w:u w:val="single"/>
                    </w:rPr>
                  </w:pPr>
                  <w:r>
                    <w:rPr>
                      <w:b/>
                      <w:bCs/>
                      <w:sz w:val="21"/>
                      <w:szCs w:val="21"/>
                      <w:u w:val="single"/>
                    </w:rPr>
                    <w:t>代码</w:t>
                  </w:r>
                </w:p>
              </w:tc>
              <w:tc>
                <w:tcPr>
                  <w:tcW w:w="648" w:type="dxa"/>
                  <w:vAlign w:val="center"/>
                </w:tcPr>
                <w:p>
                  <w:pPr>
                    <w:spacing w:line="240" w:lineRule="auto"/>
                    <w:jc w:val="center"/>
                    <w:rPr>
                      <w:b/>
                      <w:bCs/>
                      <w:sz w:val="21"/>
                      <w:szCs w:val="21"/>
                      <w:u w:val="single"/>
                    </w:rPr>
                  </w:pPr>
                  <w:r>
                    <w:rPr>
                      <w:b/>
                      <w:bCs/>
                      <w:sz w:val="21"/>
                      <w:szCs w:val="21"/>
                      <w:u w:val="single"/>
                    </w:rPr>
                    <w:t>主要污染物</w:t>
                  </w:r>
                </w:p>
              </w:tc>
              <w:tc>
                <w:tcPr>
                  <w:tcW w:w="429" w:type="dxa"/>
                  <w:vAlign w:val="center"/>
                </w:tcPr>
                <w:p>
                  <w:pPr>
                    <w:spacing w:line="240" w:lineRule="auto"/>
                    <w:jc w:val="center"/>
                    <w:rPr>
                      <w:b/>
                      <w:bCs/>
                      <w:sz w:val="21"/>
                      <w:szCs w:val="21"/>
                      <w:u w:val="single"/>
                    </w:rPr>
                  </w:pPr>
                  <w:r>
                    <w:rPr>
                      <w:b/>
                      <w:bCs/>
                      <w:sz w:val="21"/>
                      <w:szCs w:val="21"/>
                      <w:u w:val="single"/>
                    </w:rPr>
                    <w:t>物理性状</w:t>
                  </w:r>
                </w:p>
              </w:tc>
              <w:tc>
                <w:tcPr>
                  <w:tcW w:w="680" w:type="dxa"/>
                  <w:vAlign w:val="center"/>
                </w:tcPr>
                <w:p>
                  <w:pPr>
                    <w:spacing w:line="240" w:lineRule="auto"/>
                    <w:jc w:val="center"/>
                    <w:rPr>
                      <w:b/>
                      <w:bCs/>
                      <w:sz w:val="21"/>
                      <w:szCs w:val="21"/>
                      <w:u w:val="single"/>
                    </w:rPr>
                  </w:pPr>
                  <w:r>
                    <w:rPr>
                      <w:b/>
                      <w:bCs/>
                      <w:sz w:val="21"/>
                      <w:szCs w:val="21"/>
                      <w:u w:val="single"/>
                    </w:rPr>
                    <w:t>年产生量（t/a）</w:t>
                  </w:r>
                </w:p>
              </w:tc>
              <w:tc>
                <w:tcPr>
                  <w:tcW w:w="688" w:type="dxa"/>
                  <w:vAlign w:val="center"/>
                </w:tcPr>
                <w:p>
                  <w:pPr>
                    <w:spacing w:line="240" w:lineRule="auto"/>
                    <w:jc w:val="center"/>
                    <w:rPr>
                      <w:b/>
                      <w:bCs/>
                      <w:sz w:val="21"/>
                      <w:szCs w:val="21"/>
                      <w:u w:val="single"/>
                    </w:rPr>
                  </w:pPr>
                  <w:r>
                    <w:rPr>
                      <w:rFonts w:hint="eastAsia"/>
                      <w:b/>
                      <w:bCs/>
                      <w:sz w:val="21"/>
                      <w:szCs w:val="21"/>
                      <w:u w:val="single"/>
                    </w:rPr>
                    <w:t>环境危险特性</w:t>
                  </w:r>
                </w:p>
              </w:tc>
              <w:tc>
                <w:tcPr>
                  <w:tcW w:w="400" w:type="dxa"/>
                  <w:vAlign w:val="center"/>
                </w:tcPr>
                <w:p>
                  <w:pPr>
                    <w:spacing w:line="240" w:lineRule="auto"/>
                    <w:jc w:val="center"/>
                    <w:rPr>
                      <w:b/>
                      <w:bCs/>
                      <w:sz w:val="21"/>
                      <w:szCs w:val="21"/>
                      <w:u w:val="single"/>
                    </w:rPr>
                  </w:pPr>
                  <w:r>
                    <w:rPr>
                      <w:b/>
                      <w:bCs/>
                      <w:sz w:val="21"/>
                      <w:szCs w:val="21"/>
                      <w:u w:val="single"/>
                    </w:rPr>
                    <w:t>贮存方式</w:t>
                  </w:r>
                </w:p>
              </w:tc>
              <w:tc>
                <w:tcPr>
                  <w:tcW w:w="1020" w:type="dxa"/>
                  <w:vAlign w:val="center"/>
                </w:tcPr>
                <w:p>
                  <w:pPr>
                    <w:spacing w:line="240" w:lineRule="auto"/>
                    <w:jc w:val="center"/>
                    <w:rPr>
                      <w:b/>
                      <w:bCs/>
                      <w:sz w:val="21"/>
                      <w:szCs w:val="21"/>
                      <w:u w:val="single"/>
                    </w:rPr>
                  </w:pPr>
                  <w:r>
                    <w:rPr>
                      <w:b/>
                      <w:bCs/>
                      <w:sz w:val="21"/>
                      <w:szCs w:val="21"/>
                      <w:u w:val="single"/>
                    </w:rPr>
                    <w:t>处理措施及去向</w:t>
                  </w:r>
                </w:p>
              </w:tc>
              <w:tc>
                <w:tcPr>
                  <w:tcW w:w="771" w:type="dxa"/>
                  <w:vAlign w:val="center"/>
                </w:tcPr>
                <w:p>
                  <w:pPr>
                    <w:spacing w:line="240" w:lineRule="auto"/>
                    <w:jc w:val="center"/>
                    <w:rPr>
                      <w:b/>
                      <w:bCs/>
                      <w:sz w:val="21"/>
                      <w:szCs w:val="21"/>
                      <w:u w:val="single"/>
                    </w:rPr>
                  </w:pPr>
                  <w:r>
                    <w:rPr>
                      <w:b/>
                      <w:bCs/>
                      <w:sz w:val="21"/>
                      <w:szCs w:val="21"/>
                      <w:u w:val="single"/>
                    </w:rPr>
                    <w:t>处置量（t/a）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72" w:type="dxa"/>
                  <w:vAlign w:val="center"/>
                </w:tcPr>
                <w:p>
                  <w:pPr>
                    <w:spacing w:line="240" w:lineRule="auto"/>
                    <w:jc w:val="center"/>
                    <w:rPr>
                      <w:sz w:val="21"/>
                      <w:szCs w:val="21"/>
                      <w:u w:val="single"/>
                    </w:rPr>
                  </w:pPr>
                  <w:r>
                    <w:rPr>
                      <w:sz w:val="21"/>
                      <w:szCs w:val="21"/>
                      <w:u w:val="single"/>
                    </w:rPr>
                    <w:t>压滤机产生的污泥</w:t>
                  </w:r>
                </w:p>
              </w:tc>
              <w:tc>
                <w:tcPr>
                  <w:tcW w:w="507" w:type="dxa"/>
                  <w:vAlign w:val="center"/>
                </w:tcPr>
                <w:p>
                  <w:pPr>
                    <w:spacing w:line="240" w:lineRule="auto"/>
                    <w:jc w:val="center"/>
                    <w:rPr>
                      <w:sz w:val="21"/>
                      <w:szCs w:val="21"/>
                      <w:u w:val="single"/>
                    </w:rPr>
                  </w:pPr>
                  <w:r>
                    <w:rPr>
                      <w:sz w:val="21"/>
                      <w:szCs w:val="21"/>
                      <w:u w:val="single"/>
                    </w:rPr>
                    <w:t>污水处理设施处理后</w:t>
                  </w:r>
                </w:p>
              </w:tc>
              <w:tc>
                <w:tcPr>
                  <w:tcW w:w="429" w:type="dxa"/>
                  <w:vAlign w:val="center"/>
                </w:tcPr>
                <w:p>
                  <w:pPr>
                    <w:spacing w:line="240" w:lineRule="auto"/>
                    <w:jc w:val="center"/>
                    <w:rPr>
                      <w:sz w:val="21"/>
                      <w:szCs w:val="21"/>
                      <w:u w:val="single"/>
                    </w:rPr>
                  </w:pPr>
                  <w:r>
                    <w:rPr>
                      <w:sz w:val="21"/>
                      <w:szCs w:val="21"/>
                      <w:u w:val="single"/>
                    </w:rPr>
                    <w:t>一般固废</w:t>
                  </w:r>
                </w:p>
              </w:tc>
              <w:tc>
                <w:tcPr>
                  <w:tcW w:w="1453" w:type="dxa"/>
                  <w:vAlign w:val="center"/>
                </w:tcPr>
                <w:p>
                  <w:pPr>
                    <w:spacing w:line="240" w:lineRule="auto"/>
                    <w:jc w:val="center"/>
                    <w:rPr>
                      <w:sz w:val="21"/>
                      <w:szCs w:val="21"/>
                      <w:u w:val="single"/>
                    </w:rPr>
                  </w:pPr>
                  <w:r>
                    <w:rPr>
                      <w:sz w:val="21"/>
                      <w:szCs w:val="21"/>
                      <w:u w:val="single"/>
                    </w:rPr>
                    <w:t>（900-999-99）</w:t>
                  </w:r>
                </w:p>
              </w:tc>
              <w:tc>
                <w:tcPr>
                  <w:tcW w:w="648" w:type="dxa"/>
                  <w:vAlign w:val="center"/>
                </w:tcPr>
                <w:p>
                  <w:pPr>
                    <w:spacing w:line="240" w:lineRule="auto"/>
                    <w:jc w:val="center"/>
                    <w:rPr>
                      <w:rFonts w:hint="default"/>
                      <w:sz w:val="21"/>
                      <w:szCs w:val="21"/>
                      <w:u w:val="single"/>
                      <w:lang w:val="en-US"/>
                    </w:rPr>
                  </w:pPr>
                  <w:r>
                    <w:rPr>
                      <w:rFonts w:hint="eastAsia"/>
                      <w:sz w:val="21"/>
                      <w:szCs w:val="21"/>
                      <w:u w:val="single"/>
                      <w:lang w:val="en-US" w:eastAsia="zh-CN"/>
                    </w:rPr>
                    <w:t>/</w:t>
                  </w:r>
                </w:p>
              </w:tc>
              <w:tc>
                <w:tcPr>
                  <w:tcW w:w="429" w:type="dxa"/>
                  <w:vAlign w:val="center"/>
                </w:tcPr>
                <w:p>
                  <w:pPr>
                    <w:spacing w:line="240" w:lineRule="auto"/>
                    <w:jc w:val="center"/>
                    <w:rPr>
                      <w:sz w:val="21"/>
                      <w:szCs w:val="21"/>
                      <w:u w:val="single"/>
                    </w:rPr>
                  </w:pPr>
                  <w:r>
                    <w:rPr>
                      <w:sz w:val="21"/>
                      <w:szCs w:val="21"/>
                      <w:u w:val="single"/>
                    </w:rPr>
                    <w:t>固体</w:t>
                  </w:r>
                </w:p>
              </w:tc>
              <w:tc>
                <w:tcPr>
                  <w:tcW w:w="680" w:type="dxa"/>
                  <w:vAlign w:val="center"/>
                </w:tcPr>
                <w:p>
                  <w:pPr>
                    <w:spacing w:line="240" w:lineRule="auto"/>
                    <w:jc w:val="center"/>
                    <w:rPr>
                      <w:rFonts w:ascii="Times New Roman" w:hAnsi="Times New Roman" w:eastAsia="宋体" w:cs="Times New Roman"/>
                      <w:sz w:val="21"/>
                      <w:szCs w:val="21"/>
                      <w:u w:val="single"/>
                    </w:rPr>
                  </w:pPr>
                  <w:r>
                    <w:rPr>
                      <w:rFonts w:hint="default" w:ascii="Times New Roman" w:hAnsi="Times New Roman" w:eastAsia="宋体" w:cs="Times New Roman"/>
                      <w:kern w:val="2"/>
                      <w:sz w:val="21"/>
                      <w:szCs w:val="21"/>
                      <w:u w:val="single"/>
                    </w:rPr>
                    <w:t>14282</w:t>
                  </w:r>
                  <w:r>
                    <w:rPr>
                      <w:rFonts w:hint="default" w:ascii="Times New Roman" w:hAnsi="Times New Roman" w:eastAsia="宋体" w:cs="Times New Roman"/>
                      <w:kern w:val="2"/>
                      <w:sz w:val="21"/>
                      <w:szCs w:val="21"/>
                      <w:u w:val="single"/>
                      <w:lang w:val="en-US" w:eastAsia="zh-CN"/>
                    </w:rPr>
                    <w:t>2</w:t>
                  </w:r>
                  <w:r>
                    <w:rPr>
                      <w:rFonts w:hint="default" w:ascii="Times New Roman" w:hAnsi="Times New Roman" w:eastAsia="宋体" w:cs="Times New Roman"/>
                      <w:kern w:val="2"/>
                      <w:sz w:val="21"/>
                      <w:szCs w:val="21"/>
                      <w:u w:val="single"/>
                    </w:rPr>
                    <w:t>.</w:t>
                  </w:r>
                  <w:r>
                    <w:rPr>
                      <w:rFonts w:hint="default" w:ascii="Times New Roman" w:hAnsi="Times New Roman" w:eastAsia="宋体" w:cs="Times New Roman"/>
                      <w:kern w:val="2"/>
                      <w:sz w:val="21"/>
                      <w:szCs w:val="21"/>
                      <w:u w:val="single"/>
                      <w:lang w:val="en-US" w:eastAsia="zh-CN"/>
                    </w:rPr>
                    <w:t>97</w:t>
                  </w:r>
                </w:p>
              </w:tc>
              <w:tc>
                <w:tcPr>
                  <w:tcW w:w="688" w:type="dxa"/>
                  <w:vAlign w:val="center"/>
                </w:tcPr>
                <w:p>
                  <w:pPr>
                    <w:spacing w:line="240" w:lineRule="auto"/>
                    <w:jc w:val="center"/>
                    <w:rPr>
                      <w:rFonts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w:t>
                  </w:r>
                </w:p>
              </w:tc>
              <w:tc>
                <w:tcPr>
                  <w:tcW w:w="400" w:type="dxa"/>
                  <w:vAlign w:val="center"/>
                </w:tcPr>
                <w:p>
                  <w:pPr>
                    <w:spacing w:line="240" w:lineRule="auto"/>
                    <w:jc w:val="center"/>
                    <w:rPr>
                      <w:rFonts w:ascii="Times New Roman" w:hAnsi="Times New Roman" w:eastAsia="宋体" w:cs="Times New Roman"/>
                      <w:sz w:val="21"/>
                      <w:szCs w:val="21"/>
                      <w:u w:val="single"/>
                    </w:rPr>
                  </w:pPr>
                  <w:r>
                    <w:rPr>
                      <w:rFonts w:ascii="Times New Roman" w:hAnsi="Times New Roman" w:eastAsia="宋体" w:cs="Times New Roman"/>
                      <w:sz w:val="21"/>
                      <w:szCs w:val="21"/>
                      <w:u w:val="single"/>
                    </w:rPr>
                    <w:t>定点托运</w:t>
                  </w:r>
                </w:p>
              </w:tc>
              <w:tc>
                <w:tcPr>
                  <w:tcW w:w="1020" w:type="dxa"/>
                  <w:vAlign w:val="center"/>
                </w:tcPr>
                <w:p>
                  <w:pPr>
                    <w:spacing w:line="240" w:lineRule="auto"/>
                    <w:jc w:val="center"/>
                    <w:rPr>
                      <w:rFonts w:ascii="Times New Roman" w:hAnsi="Times New Roman" w:eastAsia="宋体" w:cs="Times New Roman"/>
                      <w:sz w:val="21"/>
                      <w:szCs w:val="21"/>
                      <w:u w:val="single"/>
                    </w:rPr>
                  </w:pPr>
                  <w:r>
                    <w:rPr>
                      <w:rFonts w:ascii="Times New Roman" w:hAnsi="Times New Roman" w:eastAsia="宋体" w:cs="Times New Roman"/>
                      <w:sz w:val="21"/>
                      <w:szCs w:val="21"/>
                      <w:u w:val="single"/>
                    </w:rPr>
                    <w:t>送至砖厂做原材料处理</w:t>
                  </w:r>
                </w:p>
              </w:tc>
              <w:tc>
                <w:tcPr>
                  <w:tcW w:w="771" w:type="dxa"/>
                  <w:vAlign w:val="center"/>
                </w:tcPr>
                <w:p>
                  <w:pPr>
                    <w:spacing w:line="240" w:lineRule="auto"/>
                    <w:jc w:val="center"/>
                    <w:rPr>
                      <w:rFonts w:ascii="Times New Roman" w:hAnsi="Times New Roman" w:eastAsia="宋体" w:cs="Times New Roman"/>
                      <w:sz w:val="21"/>
                      <w:szCs w:val="21"/>
                      <w:u w:val="single"/>
                    </w:rPr>
                  </w:pPr>
                  <w:r>
                    <w:rPr>
                      <w:rFonts w:hint="default" w:ascii="Times New Roman" w:hAnsi="Times New Roman" w:eastAsia="宋体" w:cs="Times New Roman"/>
                      <w:kern w:val="2"/>
                      <w:sz w:val="21"/>
                      <w:szCs w:val="21"/>
                      <w:u w:val="single"/>
                    </w:rPr>
                    <w:t>14282</w:t>
                  </w:r>
                  <w:r>
                    <w:rPr>
                      <w:rFonts w:hint="default" w:ascii="Times New Roman" w:hAnsi="Times New Roman" w:eastAsia="宋体" w:cs="Times New Roman"/>
                      <w:kern w:val="2"/>
                      <w:sz w:val="21"/>
                      <w:szCs w:val="21"/>
                      <w:u w:val="single"/>
                      <w:lang w:val="en-US" w:eastAsia="zh-CN"/>
                    </w:rPr>
                    <w:t>2</w:t>
                  </w:r>
                  <w:r>
                    <w:rPr>
                      <w:rFonts w:hint="default" w:ascii="Times New Roman" w:hAnsi="Times New Roman" w:eastAsia="宋体" w:cs="Times New Roman"/>
                      <w:kern w:val="2"/>
                      <w:sz w:val="21"/>
                      <w:szCs w:val="21"/>
                      <w:u w:val="single"/>
                    </w:rPr>
                    <w:t>.</w:t>
                  </w:r>
                  <w:r>
                    <w:rPr>
                      <w:rFonts w:hint="default" w:ascii="Times New Roman" w:hAnsi="Times New Roman" w:eastAsia="宋体" w:cs="Times New Roman"/>
                      <w:kern w:val="2"/>
                      <w:sz w:val="21"/>
                      <w:szCs w:val="21"/>
                      <w:u w:val="single"/>
                      <w:lang w:val="en-US" w:eastAsia="zh-CN"/>
                    </w:rPr>
                    <w:t>97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72" w:type="dxa"/>
                  <w:vAlign w:val="center"/>
                </w:tcPr>
                <w:p>
                  <w:pPr>
                    <w:spacing w:line="240" w:lineRule="auto"/>
                    <w:jc w:val="center"/>
                    <w:rPr>
                      <w:rFonts w:hint="default" w:eastAsia="宋体"/>
                      <w:sz w:val="21"/>
                      <w:szCs w:val="21"/>
                      <w:u w:val="single"/>
                      <w:lang w:eastAsia="zh-CN"/>
                    </w:rPr>
                  </w:pPr>
                  <w:r>
                    <w:rPr>
                      <w:rFonts w:hint="default" w:cs="Times New Roman"/>
                      <w:kern w:val="2"/>
                      <w:sz w:val="21"/>
                      <w:szCs w:val="21"/>
                      <w:u w:val="single"/>
                      <w:lang w:val="en-US" w:eastAsia="zh-CN"/>
                    </w:rPr>
                    <w:t>沉淀池沉砂</w:t>
                  </w:r>
                </w:p>
              </w:tc>
              <w:tc>
                <w:tcPr>
                  <w:tcW w:w="507" w:type="dxa"/>
                  <w:vAlign w:val="center"/>
                </w:tcPr>
                <w:p>
                  <w:pPr>
                    <w:spacing w:line="240" w:lineRule="auto"/>
                    <w:jc w:val="center"/>
                    <w:rPr>
                      <w:rFonts w:hint="default" w:eastAsia="宋体"/>
                      <w:sz w:val="21"/>
                      <w:szCs w:val="21"/>
                      <w:u w:val="single"/>
                      <w:lang w:eastAsia="zh-CN"/>
                    </w:rPr>
                  </w:pPr>
                  <w:r>
                    <w:rPr>
                      <w:rFonts w:hint="default"/>
                      <w:sz w:val="21"/>
                      <w:szCs w:val="21"/>
                      <w:u w:val="single"/>
                      <w:lang w:eastAsia="zh-CN"/>
                    </w:rPr>
                    <w:t>沉淀池</w:t>
                  </w:r>
                </w:p>
              </w:tc>
              <w:tc>
                <w:tcPr>
                  <w:tcW w:w="429" w:type="dxa"/>
                  <w:vAlign w:val="center"/>
                </w:tcPr>
                <w:p>
                  <w:pPr>
                    <w:spacing w:line="240" w:lineRule="auto"/>
                    <w:jc w:val="center"/>
                    <w:rPr>
                      <w:sz w:val="21"/>
                      <w:szCs w:val="21"/>
                      <w:u w:val="single"/>
                    </w:rPr>
                  </w:pPr>
                  <w:r>
                    <w:rPr>
                      <w:sz w:val="21"/>
                      <w:szCs w:val="21"/>
                      <w:u w:val="single"/>
                    </w:rPr>
                    <w:t>一般固废</w:t>
                  </w:r>
                </w:p>
              </w:tc>
              <w:tc>
                <w:tcPr>
                  <w:tcW w:w="1453" w:type="dxa"/>
                  <w:vAlign w:val="center"/>
                </w:tcPr>
                <w:p>
                  <w:pPr>
                    <w:spacing w:line="240" w:lineRule="auto"/>
                    <w:jc w:val="center"/>
                    <w:rPr>
                      <w:sz w:val="21"/>
                      <w:szCs w:val="21"/>
                      <w:u w:val="single"/>
                    </w:rPr>
                  </w:pPr>
                  <w:r>
                    <w:rPr>
                      <w:sz w:val="21"/>
                      <w:szCs w:val="21"/>
                      <w:u w:val="single"/>
                    </w:rPr>
                    <w:t>（900-999-99）</w:t>
                  </w:r>
                </w:p>
              </w:tc>
              <w:tc>
                <w:tcPr>
                  <w:tcW w:w="648" w:type="dxa"/>
                  <w:vAlign w:val="center"/>
                </w:tcPr>
                <w:p>
                  <w:pPr>
                    <w:spacing w:line="240" w:lineRule="auto"/>
                    <w:jc w:val="center"/>
                    <w:rPr>
                      <w:rFonts w:hint="default" w:eastAsia="宋体"/>
                      <w:sz w:val="21"/>
                      <w:szCs w:val="21"/>
                      <w:u w:val="single"/>
                      <w:lang w:val="en-US" w:eastAsia="zh-CN"/>
                    </w:rPr>
                  </w:pPr>
                  <w:r>
                    <w:rPr>
                      <w:rFonts w:hint="eastAsia"/>
                      <w:sz w:val="21"/>
                      <w:szCs w:val="21"/>
                      <w:u w:val="single"/>
                      <w:lang w:val="en-US" w:eastAsia="zh-CN"/>
                    </w:rPr>
                    <w:t>/</w:t>
                  </w:r>
                </w:p>
              </w:tc>
              <w:tc>
                <w:tcPr>
                  <w:tcW w:w="429" w:type="dxa"/>
                  <w:vAlign w:val="center"/>
                </w:tcPr>
                <w:p>
                  <w:pPr>
                    <w:spacing w:line="240" w:lineRule="auto"/>
                    <w:jc w:val="center"/>
                    <w:rPr>
                      <w:sz w:val="21"/>
                      <w:szCs w:val="21"/>
                      <w:u w:val="single"/>
                    </w:rPr>
                  </w:pPr>
                  <w:r>
                    <w:rPr>
                      <w:sz w:val="21"/>
                      <w:szCs w:val="21"/>
                      <w:u w:val="single"/>
                    </w:rPr>
                    <w:t>固体</w:t>
                  </w:r>
                </w:p>
              </w:tc>
              <w:tc>
                <w:tcPr>
                  <w:tcW w:w="680" w:type="dxa"/>
                  <w:vAlign w:val="center"/>
                </w:tcPr>
                <w:p>
                  <w:pPr>
                    <w:spacing w:line="240" w:lineRule="auto"/>
                    <w:jc w:val="center"/>
                    <w:rPr>
                      <w:rFonts w:hint="default" w:ascii="Times New Roman" w:hAnsi="Times New Roman" w:eastAsia="宋体" w:cs="Times New Roman"/>
                      <w:kern w:val="2"/>
                      <w:sz w:val="21"/>
                      <w:szCs w:val="21"/>
                      <w:u w:val="single"/>
                      <w:lang w:val="en-US" w:eastAsia="zh-CN"/>
                    </w:rPr>
                  </w:pPr>
                  <w:r>
                    <w:rPr>
                      <w:rFonts w:hint="default" w:cs="Times New Roman"/>
                      <w:kern w:val="2"/>
                      <w:sz w:val="21"/>
                      <w:szCs w:val="21"/>
                      <w:u w:val="single"/>
                      <w:lang w:val="en-US" w:eastAsia="zh-CN"/>
                    </w:rPr>
                    <w:t>2</w:t>
                  </w:r>
                </w:p>
              </w:tc>
              <w:tc>
                <w:tcPr>
                  <w:tcW w:w="688" w:type="dxa"/>
                  <w:vAlign w:val="center"/>
                </w:tcPr>
                <w:p>
                  <w:pPr>
                    <w:spacing w:line="240" w:lineRule="auto"/>
                    <w:jc w:val="center"/>
                    <w:rPr>
                      <w:rFonts w:hint="default" w:ascii="Times New Roman" w:hAnsi="Times New Roman" w:eastAsia="宋体" w:cs="Times New Roman"/>
                      <w:sz w:val="21"/>
                      <w:szCs w:val="21"/>
                      <w:u w:val="single"/>
                      <w:lang w:val="en-US" w:eastAsia="zh-CN"/>
                    </w:rPr>
                  </w:pPr>
                  <w:r>
                    <w:rPr>
                      <w:rFonts w:hint="default" w:cs="Times New Roman"/>
                      <w:sz w:val="21"/>
                      <w:szCs w:val="21"/>
                      <w:u w:val="single"/>
                      <w:lang w:val="en-US" w:eastAsia="zh-CN"/>
                    </w:rPr>
                    <w:t>/</w:t>
                  </w:r>
                </w:p>
              </w:tc>
              <w:tc>
                <w:tcPr>
                  <w:tcW w:w="400" w:type="dxa"/>
                  <w:vAlign w:val="center"/>
                </w:tcPr>
                <w:p>
                  <w:pPr>
                    <w:spacing w:line="240" w:lineRule="auto"/>
                    <w:jc w:val="center"/>
                    <w:rPr>
                      <w:rFonts w:ascii="Times New Roman" w:hAnsi="Times New Roman" w:eastAsia="宋体" w:cs="Times New Roman"/>
                      <w:sz w:val="21"/>
                      <w:szCs w:val="21"/>
                      <w:u w:val="single"/>
                    </w:rPr>
                  </w:pPr>
                  <w:r>
                    <w:rPr>
                      <w:rFonts w:ascii="Times New Roman" w:hAnsi="Times New Roman" w:eastAsia="宋体" w:cs="Times New Roman"/>
                      <w:sz w:val="21"/>
                      <w:szCs w:val="21"/>
                      <w:u w:val="single"/>
                    </w:rPr>
                    <w:t>定点托运</w:t>
                  </w:r>
                </w:p>
              </w:tc>
              <w:tc>
                <w:tcPr>
                  <w:tcW w:w="1020" w:type="dxa"/>
                  <w:vAlign w:val="center"/>
                </w:tcPr>
                <w:p>
                  <w:pPr>
                    <w:spacing w:line="240" w:lineRule="auto"/>
                    <w:jc w:val="center"/>
                    <w:rPr>
                      <w:rFonts w:ascii="Times New Roman" w:hAnsi="Times New Roman" w:eastAsia="宋体" w:cs="Times New Roman"/>
                      <w:sz w:val="21"/>
                      <w:szCs w:val="21"/>
                      <w:u w:val="single"/>
                    </w:rPr>
                  </w:pPr>
                  <w:r>
                    <w:rPr>
                      <w:rFonts w:hint="default" w:cs="Times New Roman"/>
                      <w:kern w:val="2"/>
                      <w:sz w:val="21"/>
                      <w:szCs w:val="21"/>
                      <w:u w:val="single"/>
                      <w:lang w:val="en-US" w:eastAsia="zh-CN"/>
                    </w:rPr>
                    <w:t>沉淀池沉砂</w:t>
                  </w:r>
                  <w:r>
                    <w:rPr>
                      <w:rFonts w:hint="default" w:eastAsia="宋体"/>
                      <w:kern w:val="2"/>
                      <w:sz w:val="21"/>
                      <w:szCs w:val="21"/>
                      <w:u w:val="single"/>
                      <w:lang w:val="en-US" w:eastAsia="zh-CN"/>
                    </w:rPr>
                    <w:t>定期清捞，与泥饼一同交制砖厂进行综合利用</w:t>
                  </w:r>
                </w:p>
              </w:tc>
              <w:tc>
                <w:tcPr>
                  <w:tcW w:w="771" w:type="dxa"/>
                  <w:vAlign w:val="center"/>
                </w:tcPr>
                <w:p>
                  <w:pPr>
                    <w:spacing w:line="240" w:lineRule="auto"/>
                    <w:jc w:val="center"/>
                    <w:rPr>
                      <w:rFonts w:hint="eastAsia" w:ascii="Times New Roman" w:hAnsi="Times New Roman" w:eastAsia="宋体" w:cs="Times New Roman"/>
                      <w:kern w:val="2"/>
                      <w:sz w:val="21"/>
                      <w:szCs w:val="21"/>
                      <w:u w:val="single"/>
                      <w:lang w:val="en-US" w:eastAsia="zh-CN"/>
                    </w:rPr>
                  </w:pPr>
                  <w:r>
                    <w:rPr>
                      <w:rFonts w:hint="eastAsia" w:cs="Times New Roman"/>
                      <w:kern w:val="2"/>
                      <w:sz w:val="21"/>
                      <w:szCs w:val="21"/>
                      <w:u w:val="singl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772" w:type="dxa"/>
                  <w:vAlign w:val="center"/>
                </w:tcPr>
                <w:p>
                  <w:pPr>
                    <w:spacing w:line="240" w:lineRule="auto"/>
                    <w:jc w:val="center"/>
                    <w:rPr>
                      <w:rFonts w:hint="default" w:cs="Times New Roman"/>
                      <w:kern w:val="2"/>
                      <w:sz w:val="21"/>
                      <w:szCs w:val="21"/>
                      <w:u w:val="single"/>
                      <w:lang w:val="en-US" w:eastAsia="zh-CN"/>
                    </w:rPr>
                  </w:pPr>
                  <w:r>
                    <w:rPr>
                      <w:rFonts w:hint="eastAsia" w:cs="Times New Roman"/>
                      <w:kern w:val="2"/>
                      <w:sz w:val="21"/>
                      <w:szCs w:val="21"/>
                      <w:u w:val="single"/>
                      <w:lang w:val="en-US" w:eastAsia="zh-CN"/>
                    </w:rPr>
                    <w:t>压滤机滤布</w:t>
                  </w:r>
                </w:p>
              </w:tc>
              <w:tc>
                <w:tcPr>
                  <w:tcW w:w="507" w:type="dxa"/>
                  <w:vAlign w:val="center"/>
                </w:tcPr>
                <w:p>
                  <w:pPr>
                    <w:spacing w:line="240" w:lineRule="auto"/>
                    <w:jc w:val="center"/>
                    <w:rPr>
                      <w:rFonts w:hint="default"/>
                      <w:sz w:val="21"/>
                      <w:szCs w:val="21"/>
                      <w:u w:val="single"/>
                      <w:lang w:eastAsia="zh-CN"/>
                    </w:rPr>
                  </w:pPr>
                  <w:r>
                    <w:rPr>
                      <w:rFonts w:hint="eastAsia"/>
                      <w:sz w:val="21"/>
                      <w:szCs w:val="21"/>
                      <w:u w:val="single"/>
                      <w:lang w:eastAsia="zh-CN"/>
                    </w:rPr>
                    <w:t>板框压滤机</w:t>
                  </w:r>
                </w:p>
              </w:tc>
              <w:tc>
                <w:tcPr>
                  <w:tcW w:w="429" w:type="dxa"/>
                  <w:vAlign w:val="center"/>
                </w:tcPr>
                <w:p>
                  <w:pPr>
                    <w:spacing w:line="240" w:lineRule="auto"/>
                    <w:jc w:val="center"/>
                    <w:rPr>
                      <w:sz w:val="21"/>
                      <w:szCs w:val="21"/>
                      <w:u w:val="single"/>
                    </w:rPr>
                  </w:pPr>
                  <w:r>
                    <w:rPr>
                      <w:sz w:val="21"/>
                      <w:szCs w:val="21"/>
                      <w:u w:val="single"/>
                    </w:rPr>
                    <w:t>一般固废</w:t>
                  </w:r>
                </w:p>
              </w:tc>
              <w:tc>
                <w:tcPr>
                  <w:tcW w:w="1453" w:type="dxa"/>
                  <w:vAlign w:val="center"/>
                </w:tcPr>
                <w:p>
                  <w:pPr>
                    <w:spacing w:line="240" w:lineRule="auto"/>
                    <w:jc w:val="center"/>
                    <w:rPr>
                      <w:sz w:val="21"/>
                      <w:szCs w:val="21"/>
                      <w:u w:val="single"/>
                    </w:rPr>
                  </w:pPr>
                  <w:r>
                    <w:rPr>
                      <w:sz w:val="21"/>
                      <w:szCs w:val="21"/>
                      <w:u w:val="single"/>
                    </w:rPr>
                    <w:t>（900-999-99）</w:t>
                  </w:r>
                </w:p>
              </w:tc>
              <w:tc>
                <w:tcPr>
                  <w:tcW w:w="648" w:type="dxa"/>
                  <w:vAlign w:val="center"/>
                </w:tcPr>
                <w:p>
                  <w:pPr>
                    <w:spacing w:line="240" w:lineRule="auto"/>
                    <w:jc w:val="center"/>
                    <w:rPr>
                      <w:rFonts w:hint="default"/>
                      <w:sz w:val="21"/>
                      <w:szCs w:val="21"/>
                      <w:u w:val="single"/>
                      <w:lang w:val="en-US"/>
                    </w:rPr>
                  </w:pPr>
                  <w:r>
                    <w:rPr>
                      <w:rFonts w:hint="eastAsia"/>
                      <w:sz w:val="21"/>
                      <w:szCs w:val="21"/>
                      <w:u w:val="single"/>
                      <w:lang w:val="en-US" w:eastAsia="zh-CN"/>
                    </w:rPr>
                    <w:t>/</w:t>
                  </w:r>
                </w:p>
              </w:tc>
              <w:tc>
                <w:tcPr>
                  <w:tcW w:w="429" w:type="dxa"/>
                  <w:vAlign w:val="center"/>
                </w:tcPr>
                <w:p>
                  <w:pPr>
                    <w:spacing w:line="240" w:lineRule="auto"/>
                    <w:jc w:val="center"/>
                    <w:rPr>
                      <w:sz w:val="21"/>
                      <w:szCs w:val="21"/>
                      <w:u w:val="single"/>
                    </w:rPr>
                  </w:pPr>
                  <w:r>
                    <w:rPr>
                      <w:sz w:val="21"/>
                      <w:szCs w:val="21"/>
                      <w:u w:val="single"/>
                    </w:rPr>
                    <w:t>固体</w:t>
                  </w:r>
                </w:p>
              </w:tc>
              <w:tc>
                <w:tcPr>
                  <w:tcW w:w="680" w:type="dxa"/>
                  <w:vAlign w:val="center"/>
                </w:tcPr>
                <w:p>
                  <w:pPr>
                    <w:spacing w:line="240" w:lineRule="auto"/>
                    <w:jc w:val="center"/>
                    <w:rPr>
                      <w:rFonts w:hint="default" w:cs="Times New Roman"/>
                      <w:kern w:val="2"/>
                      <w:sz w:val="21"/>
                      <w:szCs w:val="21"/>
                      <w:u w:val="single"/>
                      <w:lang w:val="en-US" w:eastAsia="zh-CN"/>
                    </w:rPr>
                  </w:pPr>
                  <w:r>
                    <w:rPr>
                      <w:rFonts w:hint="default" w:ascii="Times New Roman" w:hAnsi="Times New Roman" w:eastAsia="宋体" w:cs="Times New Roman"/>
                      <w:kern w:val="2"/>
                      <w:sz w:val="21"/>
                      <w:szCs w:val="21"/>
                      <w:u w:val="single"/>
                      <w:lang w:val="en-US" w:eastAsia="zh-CN"/>
                    </w:rPr>
                    <w:t>0.0001</w:t>
                  </w:r>
                </w:p>
              </w:tc>
              <w:tc>
                <w:tcPr>
                  <w:tcW w:w="688" w:type="dxa"/>
                  <w:vAlign w:val="center"/>
                </w:tcPr>
                <w:p>
                  <w:pPr>
                    <w:spacing w:line="240" w:lineRule="auto"/>
                    <w:jc w:val="center"/>
                    <w:rPr>
                      <w:rFonts w:hint="default" w:cs="Times New Roman"/>
                      <w:sz w:val="21"/>
                      <w:szCs w:val="21"/>
                      <w:u w:val="single"/>
                      <w:lang w:val="en-US" w:eastAsia="zh-CN"/>
                    </w:rPr>
                  </w:pPr>
                  <w:r>
                    <w:rPr>
                      <w:rFonts w:hint="eastAsia"/>
                      <w:sz w:val="21"/>
                      <w:szCs w:val="21"/>
                      <w:u w:val="single"/>
                    </w:rPr>
                    <w:t>/</w:t>
                  </w:r>
                </w:p>
              </w:tc>
              <w:tc>
                <w:tcPr>
                  <w:tcW w:w="400" w:type="dxa"/>
                  <w:vAlign w:val="center"/>
                </w:tcPr>
                <w:p>
                  <w:pPr>
                    <w:spacing w:line="240" w:lineRule="auto"/>
                    <w:jc w:val="center"/>
                    <w:rPr>
                      <w:rFonts w:ascii="Times New Roman" w:hAnsi="Times New Roman" w:eastAsia="宋体" w:cs="Times New Roman"/>
                      <w:sz w:val="21"/>
                      <w:szCs w:val="21"/>
                      <w:u w:val="single"/>
                    </w:rPr>
                  </w:pPr>
                  <w:r>
                    <w:rPr>
                      <w:sz w:val="21"/>
                      <w:szCs w:val="21"/>
                      <w:u w:val="single"/>
                    </w:rPr>
                    <w:t>垃圾桶收集</w:t>
                  </w:r>
                </w:p>
              </w:tc>
              <w:tc>
                <w:tcPr>
                  <w:tcW w:w="1020" w:type="dxa"/>
                  <w:vAlign w:val="center"/>
                </w:tcPr>
                <w:p>
                  <w:pPr>
                    <w:spacing w:line="240" w:lineRule="auto"/>
                    <w:jc w:val="center"/>
                    <w:rPr>
                      <w:rFonts w:hint="default" w:cs="Times New Roman"/>
                      <w:kern w:val="2"/>
                      <w:sz w:val="21"/>
                      <w:szCs w:val="21"/>
                      <w:u w:val="single"/>
                      <w:lang w:val="en-US" w:eastAsia="zh-CN"/>
                    </w:rPr>
                  </w:pPr>
                  <w:r>
                    <w:rPr>
                      <w:sz w:val="21"/>
                      <w:szCs w:val="21"/>
                      <w:u w:val="single"/>
                    </w:rPr>
                    <w:t>运至附近垃圾中转站</w:t>
                  </w:r>
                </w:p>
              </w:tc>
              <w:tc>
                <w:tcPr>
                  <w:tcW w:w="771" w:type="dxa"/>
                  <w:vAlign w:val="center"/>
                </w:tcPr>
                <w:p>
                  <w:pPr>
                    <w:spacing w:line="240" w:lineRule="auto"/>
                    <w:jc w:val="center"/>
                    <w:rPr>
                      <w:rFonts w:hint="default" w:cs="Times New Roman"/>
                      <w:kern w:val="2"/>
                      <w:sz w:val="21"/>
                      <w:szCs w:val="21"/>
                      <w:u w:val="single"/>
                      <w:lang w:val="en-US" w:eastAsia="zh-CN"/>
                    </w:rPr>
                  </w:pPr>
                  <w:r>
                    <w:rPr>
                      <w:rFonts w:hint="eastAsia" w:cs="Times New Roman"/>
                      <w:kern w:val="2"/>
                      <w:sz w:val="21"/>
                      <w:szCs w:val="21"/>
                      <w:u w:val="single"/>
                      <w:lang w:val="en-US" w:eastAsia="zh-CN"/>
                    </w:rPr>
                    <w:t>0.0001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72" w:type="dxa"/>
                  <w:vAlign w:val="center"/>
                </w:tcPr>
                <w:p>
                  <w:pPr>
                    <w:spacing w:line="240" w:lineRule="auto"/>
                    <w:jc w:val="center"/>
                    <w:rPr>
                      <w:sz w:val="21"/>
                      <w:szCs w:val="21"/>
                      <w:u w:val="single"/>
                    </w:rPr>
                  </w:pPr>
                  <w:r>
                    <w:rPr>
                      <w:sz w:val="21"/>
                      <w:szCs w:val="21"/>
                      <w:u w:val="single"/>
                    </w:rPr>
                    <w:t>生活垃圾</w:t>
                  </w:r>
                </w:p>
              </w:tc>
              <w:tc>
                <w:tcPr>
                  <w:tcW w:w="507" w:type="dxa"/>
                  <w:vAlign w:val="center"/>
                </w:tcPr>
                <w:p>
                  <w:pPr>
                    <w:spacing w:line="240" w:lineRule="auto"/>
                    <w:jc w:val="center"/>
                    <w:rPr>
                      <w:sz w:val="21"/>
                      <w:szCs w:val="21"/>
                      <w:u w:val="single"/>
                    </w:rPr>
                  </w:pPr>
                  <w:r>
                    <w:rPr>
                      <w:sz w:val="21"/>
                      <w:szCs w:val="21"/>
                      <w:u w:val="single"/>
                    </w:rPr>
                    <w:t>员工日常生活</w:t>
                  </w:r>
                </w:p>
              </w:tc>
              <w:tc>
                <w:tcPr>
                  <w:tcW w:w="429" w:type="dxa"/>
                  <w:vAlign w:val="center"/>
                </w:tcPr>
                <w:p>
                  <w:pPr>
                    <w:spacing w:line="240" w:lineRule="auto"/>
                    <w:jc w:val="center"/>
                    <w:rPr>
                      <w:sz w:val="21"/>
                      <w:szCs w:val="21"/>
                      <w:u w:val="single"/>
                    </w:rPr>
                  </w:pPr>
                  <w:r>
                    <w:rPr>
                      <w:sz w:val="21"/>
                      <w:szCs w:val="21"/>
                      <w:u w:val="single"/>
                    </w:rPr>
                    <w:t>一般固废</w:t>
                  </w:r>
                </w:p>
              </w:tc>
              <w:tc>
                <w:tcPr>
                  <w:tcW w:w="1453" w:type="dxa"/>
                  <w:vAlign w:val="center"/>
                </w:tcPr>
                <w:p>
                  <w:pPr>
                    <w:spacing w:line="240" w:lineRule="auto"/>
                    <w:jc w:val="center"/>
                    <w:rPr>
                      <w:kern w:val="0"/>
                      <w:sz w:val="21"/>
                      <w:szCs w:val="21"/>
                      <w:u w:val="single"/>
                    </w:rPr>
                  </w:pPr>
                  <w:r>
                    <w:rPr>
                      <w:sz w:val="21"/>
                      <w:szCs w:val="21"/>
                      <w:u w:val="single"/>
                    </w:rPr>
                    <w:t>/</w:t>
                  </w:r>
                </w:p>
              </w:tc>
              <w:tc>
                <w:tcPr>
                  <w:tcW w:w="648" w:type="dxa"/>
                  <w:vAlign w:val="center"/>
                </w:tcPr>
                <w:p>
                  <w:pPr>
                    <w:spacing w:line="240" w:lineRule="auto"/>
                    <w:jc w:val="center"/>
                    <w:rPr>
                      <w:sz w:val="21"/>
                      <w:szCs w:val="21"/>
                      <w:u w:val="single"/>
                    </w:rPr>
                  </w:pPr>
                  <w:r>
                    <w:rPr>
                      <w:sz w:val="21"/>
                      <w:szCs w:val="21"/>
                      <w:u w:val="single"/>
                    </w:rPr>
                    <w:t>生活垃圾</w:t>
                  </w:r>
                </w:p>
              </w:tc>
              <w:tc>
                <w:tcPr>
                  <w:tcW w:w="429" w:type="dxa"/>
                  <w:vAlign w:val="center"/>
                </w:tcPr>
                <w:p>
                  <w:pPr>
                    <w:spacing w:line="240" w:lineRule="auto"/>
                    <w:jc w:val="center"/>
                    <w:rPr>
                      <w:sz w:val="21"/>
                      <w:szCs w:val="21"/>
                      <w:u w:val="single"/>
                    </w:rPr>
                  </w:pPr>
                  <w:r>
                    <w:rPr>
                      <w:sz w:val="21"/>
                      <w:szCs w:val="21"/>
                      <w:u w:val="single"/>
                    </w:rPr>
                    <w:t>固态</w:t>
                  </w:r>
                </w:p>
              </w:tc>
              <w:tc>
                <w:tcPr>
                  <w:tcW w:w="680" w:type="dxa"/>
                  <w:vAlign w:val="center"/>
                </w:tcPr>
                <w:p>
                  <w:pPr>
                    <w:spacing w:line="240" w:lineRule="auto"/>
                    <w:jc w:val="center"/>
                    <w:rPr>
                      <w:rFonts w:hint="default" w:eastAsia="宋体"/>
                      <w:sz w:val="21"/>
                      <w:szCs w:val="21"/>
                      <w:u w:val="single"/>
                      <w:lang w:val="en-US" w:eastAsia="zh-CN"/>
                    </w:rPr>
                  </w:pPr>
                  <w:r>
                    <w:rPr>
                      <w:rFonts w:hint="eastAsia"/>
                      <w:sz w:val="21"/>
                      <w:szCs w:val="21"/>
                      <w:u w:val="single"/>
                      <w:lang w:val="en-US" w:eastAsia="zh-CN"/>
                    </w:rPr>
                    <w:t>1.5</w:t>
                  </w:r>
                </w:p>
              </w:tc>
              <w:tc>
                <w:tcPr>
                  <w:tcW w:w="688" w:type="dxa"/>
                  <w:vAlign w:val="center"/>
                </w:tcPr>
                <w:p>
                  <w:pPr>
                    <w:spacing w:line="240" w:lineRule="auto"/>
                    <w:jc w:val="center"/>
                    <w:rPr>
                      <w:sz w:val="21"/>
                      <w:szCs w:val="21"/>
                      <w:u w:val="single"/>
                    </w:rPr>
                  </w:pPr>
                  <w:r>
                    <w:rPr>
                      <w:rFonts w:hint="eastAsia"/>
                      <w:sz w:val="21"/>
                      <w:szCs w:val="21"/>
                      <w:u w:val="single"/>
                    </w:rPr>
                    <w:t>/</w:t>
                  </w:r>
                </w:p>
              </w:tc>
              <w:tc>
                <w:tcPr>
                  <w:tcW w:w="400" w:type="dxa"/>
                  <w:vAlign w:val="center"/>
                </w:tcPr>
                <w:p>
                  <w:pPr>
                    <w:spacing w:line="240" w:lineRule="auto"/>
                    <w:jc w:val="center"/>
                    <w:rPr>
                      <w:sz w:val="21"/>
                      <w:szCs w:val="21"/>
                      <w:u w:val="single"/>
                    </w:rPr>
                  </w:pPr>
                  <w:r>
                    <w:rPr>
                      <w:sz w:val="21"/>
                      <w:szCs w:val="21"/>
                      <w:u w:val="single"/>
                    </w:rPr>
                    <w:t>垃圾桶收集</w:t>
                  </w:r>
                </w:p>
              </w:tc>
              <w:tc>
                <w:tcPr>
                  <w:tcW w:w="1020" w:type="dxa"/>
                  <w:vAlign w:val="center"/>
                </w:tcPr>
                <w:p>
                  <w:pPr>
                    <w:spacing w:line="240" w:lineRule="auto"/>
                    <w:jc w:val="center"/>
                    <w:rPr>
                      <w:sz w:val="21"/>
                      <w:szCs w:val="21"/>
                      <w:u w:val="single"/>
                    </w:rPr>
                  </w:pPr>
                  <w:r>
                    <w:rPr>
                      <w:sz w:val="21"/>
                      <w:szCs w:val="21"/>
                      <w:u w:val="single"/>
                    </w:rPr>
                    <w:t>运至附近垃圾中转站</w:t>
                  </w:r>
                </w:p>
              </w:tc>
              <w:tc>
                <w:tcPr>
                  <w:tcW w:w="771" w:type="dxa"/>
                  <w:vAlign w:val="center"/>
                </w:tcPr>
                <w:p>
                  <w:pPr>
                    <w:spacing w:line="240" w:lineRule="auto"/>
                    <w:jc w:val="center"/>
                    <w:rPr>
                      <w:rFonts w:hint="default" w:eastAsia="宋体"/>
                      <w:sz w:val="21"/>
                      <w:szCs w:val="21"/>
                      <w:u w:val="single"/>
                      <w:lang w:val="en-US" w:eastAsia="zh-CN"/>
                    </w:rPr>
                  </w:pPr>
                  <w:r>
                    <w:rPr>
                      <w:rFonts w:hint="eastAsia"/>
                      <w:sz w:val="21"/>
                      <w:szCs w:val="21"/>
                      <w:u w:val="singl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72" w:type="dxa"/>
                  <w:vAlign w:val="center"/>
                </w:tcPr>
                <w:p>
                  <w:pPr>
                    <w:spacing w:line="240" w:lineRule="auto"/>
                    <w:jc w:val="center"/>
                    <w:rPr>
                      <w:rFonts w:hint="eastAsia" w:eastAsia="宋体"/>
                      <w:sz w:val="21"/>
                      <w:szCs w:val="21"/>
                      <w:u w:val="single"/>
                      <w:lang w:eastAsia="zh-CN"/>
                    </w:rPr>
                  </w:pPr>
                  <w:r>
                    <w:rPr>
                      <w:sz w:val="21"/>
                      <w:szCs w:val="21"/>
                      <w:u w:val="single"/>
                    </w:rPr>
                    <w:t>废机油、废润滑油</w:t>
                  </w:r>
                  <w:r>
                    <w:rPr>
                      <w:rFonts w:hint="eastAsia"/>
                      <w:sz w:val="21"/>
                      <w:szCs w:val="21"/>
                      <w:u w:val="single"/>
                      <w:lang w:eastAsia="zh-CN"/>
                    </w:rPr>
                    <w:t>、废含油抹布</w:t>
                  </w:r>
                </w:p>
              </w:tc>
              <w:tc>
                <w:tcPr>
                  <w:tcW w:w="507" w:type="dxa"/>
                  <w:vAlign w:val="center"/>
                </w:tcPr>
                <w:p>
                  <w:pPr>
                    <w:spacing w:line="240" w:lineRule="auto"/>
                    <w:jc w:val="center"/>
                    <w:rPr>
                      <w:sz w:val="21"/>
                      <w:szCs w:val="21"/>
                      <w:u w:val="single"/>
                    </w:rPr>
                  </w:pPr>
                  <w:r>
                    <w:rPr>
                      <w:sz w:val="21"/>
                      <w:szCs w:val="21"/>
                      <w:u w:val="single"/>
                    </w:rPr>
                    <w:t>机械日常保养维护</w:t>
                  </w:r>
                </w:p>
              </w:tc>
              <w:tc>
                <w:tcPr>
                  <w:tcW w:w="429" w:type="dxa"/>
                  <w:vAlign w:val="center"/>
                </w:tcPr>
                <w:p>
                  <w:pPr>
                    <w:spacing w:line="240" w:lineRule="auto"/>
                    <w:jc w:val="center"/>
                    <w:rPr>
                      <w:sz w:val="21"/>
                      <w:szCs w:val="21"/>
                      <w:u w:val="single"/>
                    </w:rPr>
                  </w:pPr>
                  <w:r>
                    <w:rPr>
                      <w:sz w:val="21"/>
                      <w:szCs w:val="21"/>
                      <w:u w:val="single"/>
                    </w:rPr>
                    <w:t>危险废物</w:t>
                  </w:r>
                </w:p>
              </w:tc>
              <w:tc>
                <w:tcPr>
                  <w:tcW w:w="1453" w:type="dxa"/>
                  <w:vAlign w:val="center"/>
                </w:tcPr>
                <w:p>
                  <w:pPr>
                    <w:spacing w:line="240" w:lineRule="auto"/>
                    <w:jc w:val="center"/>
                    <w:rPr>
                      <w:kern w:val="0"/>
                      <w:sz w:val="21"/>
                      <w:szCs w:val="21"/>
                      <w:u w:val="single"/>
                    </w:rPr>
                  </w:pPr>
                  <w:r>
                    <w:rPr>
                      <w:kern w:val="0"/>
                      <w:sz w:val="21"/>
                      <w:szCs w:val="21"/>
                      <w:u w:val="single"/>
                    </w:rPr>
                    <w:t>HW08，900-249-08</w:t>
                  </w:r>
                </w:p>
              </w:tc>
              <w:tc>
                <w:tcPr>
                  <w:tcW w:w="648" w:type="dxa"/>
                  <w:vAlign w:val="center"/>
                </w:tcPr>
                <w:p>
                  <w:pPr>
                    <w:spacing w:line="240" w:lineRule="auto"/>
                    <w:jc w:val="center"/>
                    <w:rPr>
                      <w:sz w:val="21"/>
                      <w:szCs w:val="21"/>
                      <w:u w:val="single"/>
                    </w:rPr>
                  </w:pPr>
                  <w:r>
                    <w:rPr>
                      <w:sz w:val="21"/>
                      <w:szCs w:val="21"/>
                      <w:u w:val="single"/>
                    </w:rPr>
                    <w:t>废机油、废润滑油</w:t>
                  </w:r>
                </w:p>
              </w:tc>
              <w:tc>
                <w:tcPr>
                  <w:tcW w:w="429" w:type="dxa"/>
                  <w:vAlign w:val="center"/>
                </w:tcPr>
                <w:p>
                  <w:pPr>
                    <w:spacing w:line="240" w:lineRule="auto"/>
                    <w:jc w:val="center"/>
                    <w:rPr>
                      <w:sz w:val="21"/>
                      <w:szCs w:val="21"/>
                      <w:u w:val="single"/>
                    </w:rPr>
                  </w:pPr>
                  <w:r>
                    <w:rPr>
                      <w:sz w:val="21"/>
                      <w:szCs w:val="21"/>
                      <w:u w:val="single"/>
                    </w:rPr>
                    <w:t>固态</w:t>
                  </w:r>
                </w:p>
              </w:tc>
              <w:tc>
                <w:tcPr>
                  <w:tcW w:w="680" w:type="dxa"/>
                  <w:vAlign w:val="center"/>
                </w:tcPr>
                <w:p>
                  <w:pPr>
                    <w:spacing w:line="240" w:lineRule="auto"/>
                    <w:jc w:val="center"/>
                    <w:rPr>
                      <w:sz w:val="21"/>
                      <w:szCs w:val="21"/>
                      <w:u w:val="single"/>
                    </w:rPr>
                  </w:pPr>
                  <w:r>
                    <w:rPr>
                      <w:sz w:val="21"/>
                      <w:szCs w:val="21"/>
                      <w:u w:val="single"/>
                    </w:rPr>
                    <w:t>0.2</w:t>
                  </w:r>
                </w:p>
              </w:tc>
              <w:tc>
                <w:tcPr>
                  <w:tcW w:w="688" w:type="dxa"/>
                  <w:vAlign w:val="center"/>
                </w:tcPr>
                <w:p>
                  <w:pPr>
                    <w:spacing w:line="240" w:lineRule="auto"/>
                    <w:jc w:val="center"/>
                    <w:rPr>
                      <w:sz w:val="21"/>
                      <w:szCs w:val="21"/>
                      <w:u w:val="single"/>
                    </w:rPr>
                  </w:pPr>
                  <w:r>
                    <w:rPr>
                      <w:rFonts w:hint="eastAsia"/>
                      <w:sz w:val="21"/>
                      <w:szCs w:val="21"/>
                      <w:u w:val="single"/>
                    </w:rPr>
                    <w:t>T,I</w:t>
                  </w:r>
                </w:p>
              </w:tc>
              <w:tc>
                <w:tcPr>
                  <w:tcW w:w="400" w:type="dxa"/>
                  <w:vAlign w:val="center"/>
                </w:tcPr>
                <w:p>
                  <w:pPr>
                    <w:spacing w:line="240" w:lineRule="auto"/>
                    <w:jc w:val="center"/>
                    <w:rPr>
                      <w:sz w:val="21"/>
                      <w:szCs w:val="21"/>
                      <w:u w:val="single"/>
                    </w:rPr>
                  </w:pPr>
                  <w:r>
                    <w:rPr>
                      <w:sz w:val="21"/>
                      <w:szCs w:val="21"/>
                      <w:u w:val="single"/>
                    </w:rPr>
                    <w:t>危险废物暂存间</w:t>
                  </w:r>
                </w:p>
              </w:tc>
              <w:tc>
                <w:tcPr>
                  <w:tcW w:w="1020" w:type="dxa"/>
                  <w:vAlign w:val="center"/>
                </w:tcPr>
                <w:p>
                  <w:pPr>
                    <w:spacing w:line="240" w:lineRule="auto"/>
                    <w:jc w:val="center"/>
                    <w:rPr>
                      <w:sz w:val="21"/>
                      <w:szCs w:val="21"/>
                      <w:u w:val="single"/>
                    </w:rPr>
                  </w:pPr>
                  <w:r>
                    <w:rPr>
                      <w:sz w:val="21"/>
                      <w:szCs w:val="21"/>
                      <w:u w:val="single"/>
                    </w:rPr>
                    <w:t>送至有资质的单位处置</w:t>
                  </w:r>
                </w:p>
              </w:tc>
              <w:tc>
                <w:tcPr>
                  <w:tcW w:w="771" w:type="dxa"/>
                  <w:vAlign w:val="center"/>
                </w:tcPr>
                <w:p>
                  <w:pPr>
                    <w:spacing w:line="240" w:lineRule="auto"/>
                    <w:jc w:val="center"/>
                    <w:rPr>
                      <w:sz w:val="21"/>
                      <w:szCs w:val="21"/>
                      <w:u w:val="single"/>
                    </w:rPr>
                  </w:pPr>
                  <w:r>
                    <w:rPr>
                      <w:sz w:val="21"/>
                      <w:szCs w:val="21"/>
                      <w:u w:val="single"/>
                    </w:rPr>
                    <w:t>0.2</w:t>
                  </w:r>
                </w:p>
              </w:tc>
            </w:tr>
          </w:tbl>
          <w:p>
            <w:pPr>
              <w:wordWrap w:val="0"/>
              <w:topLinePunct/>
              <w:adjustRightInd w:val="0"/>
              <w:snapToGrid w:val="0"/>
              <w:ind w:firstLine="481" w:firstLineChars="200"/>
              <w:rPr>
                <w:b/>
                <w:bCs/>
                <w:kern w:val="0"/>
              </w:rPr>
            </w:pPr>
            <w:bookmarkStart w:id="96" w:name="_Toc6950"/>
            <w:r>
              <w:rPr>
                <w:b/>
                <w:bCs/>
                <w:kern w:val="0"/>
              </w:rPr>
              <w:t>固废管理要求：</w:t>
            </w:r>
          </w:p>
          <w:p>
            <w:pPr>
              <w:wordWrap w:val="0"/>
              <w:topLinePunct/>
              <w:adjustRightInd w:val="0"/>
              <w:snapToGrid w:val="0"/>
              <w:ind w:firstLine="480" w:firstLineChars="200"/>
              <w:rPr>
                <w:kern w:val="0"/>
              </w:rPr>
            </w:pPr>
            <w:r>
              <w:rPr>
                <w:kern w:val="0"/>
              </w:rPr>
              <w:t>建设项目需强化废物产生、收集、贮运各环节的管理，杜绝固废在</w:t>
            </w:r>
            <w:r>
              <w:t>厂房</w:t>
            </w:r>
            <w:r>
              <w:rPr>
                <w:kern w:val="0"/>
              </w:rPr>
              <w:t>内的散失、渗漏。做好固体废物在</w:t>
            </w:r>
            <w:r>
              <w:t>厂房</w:t>
            </w:r>
            <w:r>
              <w:rPr>
                <w:kern w:val="0"/>
              </w:rPr>
              <w:t>内的收集和储存相关防护工作，收集后进行有效处置或者回用。建立完善的规章制度，以降低固体废物散落对周围环境的影响。本项目一般固废间设置在包装材料库中，符合一般固废管理要求。</w:t>
            </w:r>
          </w:p>
          <w:p>
            <w:pPr>
              <w:wordWrap w:val="0"/>
              <w:topLinePunct/>
              <w:adjustRightInd w:val="0"/>
              <w:snapToGrid w:val="0"/>
              <w:ind w:firstLine="480" w:firstLineChars="200"/>
              <w:rPr>
                <w:kern w:val="0"/>
                <w:u w:val="single" w:color="auto"/>
              </w:rPr>
            </w:pPr>
            <w:r>
              <w:rPr>
                <w:bCs/>
                <w:kern w:val="0"/>
                <w:u w:val="single" w:color="auto"/>
              </w:rPr>
              <w:t>本项目产生的危险废物为</w:t>
            </w:r>
            <w:r>
              <w:rPr>
                <w:rFonts w:hint="eastAsia"/>
                <w:bCs/>
                <w:kern w:val="0"/>
                <w:u w:val="single" w:color="auto"/>
              </w:rPr>
              <w:t>废机油</w:t>
            </w:r>
            <w:r>
              <w:rPr>
                <w:rFonts w:hint="eastAsia"/>
                <w:bCs/>
                <w:kern w:val="0"/>
                <w:u w:val="single" w:color="auto"/>
                <w:lang w:eastAsia="zh-CN"/>
              </w:rPr>
              <w:t>、</w:t>
            </w:r>
            <w:r>
              <w:rPr>
                <w:rFonts w:hint="eastAsia"/>
                <w:bCs/>
                <w:kern w:val="0"/>
                <w:u w:val="single" w:color="auto"/>
              </w:rPr>
              <w:t>润滑油</w:t>
            </w:r>
            <w:r>
              <w:rPr>
                <w:rFonts w:hint="eastAsia" w:ascii="Times New Roman" w:hAnsi="Times New Roman" w:eastAsia="宋体" w:cs="Times New Roman"/>
                <w:bCs/>
                <w:kern w:val="0"/>
                <w:sz w:val="24"/>
                <w:szCs w:val="24"/>
                <w:u w:val="single" w:color="auto"/>
                <w:lang w:eastAsia="zh-CN"/>
              </w:rPr>
              <w:t>和废含油抹布</w:t>
            </w:r>
            <w:r>
              <w:rPr>
                <w:bCs/>
                <w:kern w:val="0"/>
                <w:u w:val="single" w:color="auto"/>
              </w:rPr>
              <w:t>，</w:t>
            </w:r>
            <w:r>
              <w:rPr>
                <w:rFonts w:hint="eastAsia"/>
                <w:bCs/>
                <w:kern w:val="0"/>
                <w:u w:val="single" w:color="auto"/>
              </w:rPr>
              <w:t>应</w:t>
            </w:r>
            <w:r>
              <w:rPr>
                <w:bCs/>
                <w:kern w:val="0"/>
                <w:u w:val="single" w:color="auto"/>
              </w:rPr>
              <w:t>暂存于危废间，危废间需防腐防渗，</w:t>
            </w:r>
            <w:r>
              <w:rPr>
                <w:kern w:val="0"/>
                <w:u w:val="single" w:color="auto"/>
              </w:rPr>
              <w:t>按照《危险废物污染防治技术政策》和《危险废物贮存和污染控制标准》(GB18597-20</w:t>
            </w:r>
            <w:r>
              <w:rPr>
                <w:rFonts w:hint="eastAsia"/>
                <w:kern w:val="0"/>
                <w:u w:val="single" w:color="auto"/>
              </w:rPr>
              <w:t>23）</w:t>
            </w:r>
            <w:r>
              <w:rPr>
                <w:kern w:val="0"/>
                <w:u w:val="single" w:color="auto"/>
              </w:rPr>
              <w:t>要求：危险废物的临时贮存需设置专门的储存厂房，采用密闭式贮存。在其收集、贮存、处置方面须采取如下措施：</w:t>
            </w:r>
          </w:p>
          <w:p>
            <w:pPr>
              <w:numPr>
                <w:ilvl w:val="0"/>
                <w:numId w:val="9"/>
              </w:numPr>
              <w:tabs>
                <w:tab w:val="left" w:pos="885"/>
              </w:tabs>
              <w:wordWrap w:val="0"/>
              <w:topLinePunct/>
              <w:adjustRightInd w:val="0"/>
              <w:snapToGrid w:val="0"/>
              <w:ind w:left="0" w:firstLine="480" w:firstLineChars="200"/>
              <w:rPr>
                <w:kern w:val="0"/>
                <w:u w:val="single" w:color="auto"/>
              </w:rPr>
            </w:pPr>
            <w:r>
              <w:rPr>
                <w:kern w:val="0"/>
                <w:u w:val="single" w:color="auto"/>
              </w:rPr>
              <w:t>收集和贮存：本次环评建议在</w:t>
            </w:r>
            <w:r>
              <w:rPr>
                <w:rFonts w:hint="eastAsia"/>
                <w:kern w:val="0"/>
                <w:u w:val="single" w:color="auto"/>
              </w:rPr>
              <w:t>仓库右侧</w:t>
            </w:r>
            <w:r>
              <w:rPr>
                <w:kern w:val="0"/>
                <w:u w:val="single" w:color="auto"/>
              </w:rPr>
              <w:t>设置危废间（不小于</w:t>
            </w:r>
            <w:r>
              <w:rPr>
                <w:rFonts w:hint="eastAsia"/>
                <w:kern w:val="0"/>
                <w:u w:val="single" w:color="auto"/>
              </w:rPr>
              <w:t>2</w:t>
            </w:r>
            <w:r>
              <w:rPr>
                <w:kern w:val="0"/>
                <w:u w:val="single" w:color="auto"/>
              </w:rPr>
              <w:t>m</w:t>
            </w:r>
            <w:r>
              <w:rPr>
                <w:kern w:val="0"/>
                <w:u w:val="single" w:color="auto"/>
                <w:vertAlign w:val="superscript"/>
              </w:rPr>
              <w:t>2</w:t>
            </w:r>
            <w:r>
              <w:rPr>
                <w:kern w:val="0"/>
                <w:u w:val="single" w:color="auto"/>
              </w:rPr>
              <w:t>），废物的收集和贮存严格按照《危险废物贮存和污染控制标准》(GB18597-20</w:t>
            </w:r>
            <w:r>
              <w:rPr>
                <w:rFonts w:hint="eastAsia"/>
                <w:kern w:val="0"/>
                <w:u w:val="single" w:color="auto"/>
              </w:rPr>
              <w:t>23）</w:t>
            </w:r>
            <w:r>
              <w:rPr>
                <w:kern w:val="0"/>
                <w:u w:val="single" w:color="auto"/>
              </w:rPr>
              <w:t>要求进行分类收集，根据危险废物的性质分类贮存于危险废物暂存间(防渗、防漏、防遗撒等方面的工程措施符合《危险废物贮存和污染控制标准》(GB18597-20</w:t>
            </w:r>
            <w:r>
              <w:rPr>
                <w:rFonts w:hint="eastAsia"/>
                <w:kern w:val="0"/>
                <w:u w:val="single" w:color="auto"/>
              </w:rPr>
              <w:t>23）</w:t>
            </w:r>
            <w:r>
              <w:rPr>
                <w:kern w:val="0"/>
                <w:u w:val="single" w:color="auto"/>
              </w:rPr>
              <w:t>。</w:t>
            </w:r>
          </w:p>
          <w:p>
            <w:pPr>
              <w:numPr>
                <w:ilvl w:val="0"/>
                <w:numId w:val="9"/>
              </w:numPr>
              <w:tabs>
                <w:tab w:val="left" w:pos="885"/>
              </w:tabs>
              <w:wordWrap w:val="0"/>
              <w:topLinePunct/>
              <w:adjustRightInd w:val="0"/>
              <w:snapToGrid w:val="0"/>
              <w:ind w:left="0" w:firstLine="480" w:firstLineChars="200"/>
              <w:rPr>
                <w:kern w:val="0"/>
                <w:u w:val="single" w:color="auto"/>
              </w:rPr>
            </w:pPr>
            <w:r>
              <w:rPr>
                <w:kern w:val="0"/>
                <w:u w:val="single" w:color="auto"/>
              </w:rPr>
              <w:t>转移：危险废物转移过程中严格执行《危险废物转移联单管理办法》，防止危险废物在转移过程中污染环境。</w:t>
            </w:r>
          </w:p>
          <w:p>
            <w:pPr>
              <w:wordWrap w:val="0"/>
              <w:topLinePunct/>
              <w:adjustRightInd w:val="0"/>
              <w:snapToGrid w:val="0"/>
              <w:ind w:firstLine="480" w:firstLineChars="200"/>
              <w:rPr>
                <w:b/>
                <w:kern w:val="0"/>
                <w:u w:val="single" w:color="auto"/>
              </w:rPr>
            </w:pPr>
            <w:r>
              <w:rPr>
                <w:kern w:val="0"/>
                <w:u w:val="single" w:color="auto"/>
              </w:rPr>
              <w:t>3、处置：本项目危险废物须收集暂存于危废间后交由有资质单位处置。</w:t>
            </w:r>
          </w:p>
          <w:p>
            <w:pPr>
              <w:wordWrap/>
              <w:topLinePunct w:val="0"/>
              <w:adjustRightInd/>
              <w:snapToGrid/>
              <w:ind w:firstLine="480" w:firstLineChars="0"/>
              <w:rPr>
                <w:rFonts w:hint="eastAsia" w:eastAsia="宋体"/>
                <w:b/>
                <w:u w:val="single" w:color="auto"/>
                <w:lang w:val="en-US" w:eastAsia="zh-CN"/>
              </w:rPr>
            </w:pPr>
            <w:r>
              <w:rPr>
                <w:rFonts w:hint="eastAsia"/>
                <w:b w:val="0"/>
                <w:bCs/>
                <w:u w:val="single" w:color="auto"/>
                <w:lang w:val="en-US" w:eastAsia="zh-CN"/>
              </w:rPr>
              <w:t>4、</w:t>
            </w:r>
            <w:r>
              <w:rPr>
                <w:rFonts w:hint="default" w:ascii="Times New Roman" w:hAnsi="Times New Roman" w:eastAsia="宋体" w:cs="Times New Roman"/>
                <w:color w:val="auto"/>
                <w:sz w:val="24"/>
                <w:u w:val="single" w:color="auto"/>
              </w:rPr>
              <w:t>建立环境管理台账</w:t>
            </w:r>
            <w:r>
              <w:rPr>
                <w:rFonts w:hint="eastAsia" w:cs="Times New Roman"/>
                <w:color w:val="auto"/>
                <w:sz w:val="24"/>
                <w:u w:val="single" w:color="auto"/>
                <w:lang w:eastAsia="zh-CN"/>
              </w:rPr>
              <w:t>：</w:t>
            </w:r>
            <w:r>
              <w:rPr>
                <w:rFonts w:hint="default" w:ascii="Times New Roman" w:hAnsi="Times New Roman" w:eastAsia="宋体" w:cs="Times New Roman"/>
                <w:color w:val="auto"/>
                <w:sz w:val="24"/>
                <w:u w:val="single" w:color="auto"/>
              </w:rPr>
              <w:t>环境管理台账，指排污单位根据排污许可证的规定，对自行监测、落实各项环境管理要求等行为的具体记录。排污单位应建立环境管理台账记录制度，设置专职人员进行台账的记录、整理、维护和管理，并对环境管理台账的真实性、完整性和规范性负责。环境管理台账的编制要求按照《排污单位环境管理台账及排污许可证执行报告技术规范总则(试行)》（HJ944-2018）执行，该技术规范规定了排污单位环境管理台账记录形式、记录内容、记录频次和记录保存的一般要求。环境管理台账记录形式分为电子台账和纸质台账两种形式，保存时间原则上不低于3年。</w:t>
            </w:r>
            <w:r>
              <w:rPr>
                <w:rFonts w:hint="default" w:ascii="Times New Roman" w:hAnsi="Times New Roman" w:eastAsia="宋体" w:cs="Times New Roman"/>
                <w:color w:val="auto"/>
                <w:u w:val="single" w:color="auto"/>
              </w:rPr>
              <w:t>环境管理台账记录内容包括基本信息、生产设施运行管理信息、污染防治设施运行管理信息、监测记录信息及其他环境管理信息等。生产设施、污染防治设施、排放口编码应与排污许可中载明的编码一致。记录频次和记录内容要满足排污许可证的各项环境管理要求。</w:t>
            </w:r>
          </w:p>
          <w:p>
            <w:pPr>
              <w:wordWrap w:val="0"/>
              <w:topLinePunct/>
              <w:adjustRightInd w:val="0"/>
              <w:snapToGrid w:val="0"/>
              <w:ind w:firstLine="481" w:firstLineChars="200"/>
              <w:rPr>
                <w:kern w:val="0"/>
              </w:rPr>
            </w:pPr>
            <w:r>
              <w:rPr>
                <w:b/>
              </w:rPr>
              <w:t>4.2.5</w:t>
            </w:r>
            <w:r>
              <w:rPr>
                <w:b/>
                <w:kern w:val="0"/>
              </w:rPr>
              <w:t>生态环境</w:t>
            </w:r>
          </w:p>
          <w:p>
            <w:pPr>
              <w:pStyle w:val="42"/>
              <w:spacing w:line="360" w:lineRule="auto"/>
              <w:rPr>
                <w:rFonts w:hint="eastAsia" w:eastAsia="宋体"/>
                <w:kern w:val="0"/>
                <w:lang w:eastAsia="zh-CN"/>
              </w:rPr>
            </w:pPr>
            <w:r>
              <w:rPr>
                <w:rFonts w:hint="eastAsia"/>
                <w:kern w:val="0"/>
                <w:lang w:eastAsia="zh-CN"/>
              </w:rPr>
              <w:t>①用地范围内</w:t>
            </w:r>
          </w:p>
          <w:p>
            <w:pPr>
              <w:pStyle w:val="42"/>
              <w:spacing w:line="360" w:lineRule="auto"/>
              <w:rPr>
                <w:bCs/>
              </w:rPr>
            </w:pPr>
            <w:r>
              <w:rPr>
                <w:kern w:val="0"/>
              </w:rPr>
              <w:t>本项目位于</w:t>
            </w:r>
            <w:r>
              <w:t>湖南省</w:t>
            </w:r>
            <w:r>
              <w:rPr>
                <w:rFonts w:hint="eastAsia"/>
              </w:rPr>
              <w:t>怀化市辰溪县火马冲镇沙堆村</w:t>
            </w:r>
            <w:r>
              <w:rPr>
                <w:bCs/>
                <w:kern w:val="0"/>
              </w:rPr>
              <w:t>，</w:t>
            </w:r>
            <w:r>
              <w:rPr>
                <w:bCs/>
              </w:rPr>
              <w:t>用地范围内无生态环境保护目标。</w:t>
            </w:r>
          </w:p>
          <w:p>
            <w:pPr>
              <w:pStyle w:val="34"/>
              <w:numPr>
                <w:ilvl w:val="2"/>
                <w:numId w:val="0"/>
              </w:numPr>
              <w:ind w:firstLine="480" w:firstLineChars="200"/>
              <w:rPr>
                <w:rFonts w:hint="default" w:eastAsia="宋体"/>
                <w:b w:val="0"/>
                <w:bCs/>
                <w:lang w:val="en-US" w:eastAsia="zh-CN"/>
              </w:rPr>
            </w:pPr>
            <w:r>
              <w:rPr>
                <w:rFonts w:hint="default"/>
                <w:b w:val="0"/>
                <w:bCs/>
                <w:lang w:eastAsia="zh-CN"/>
              </w:rPr>
              <w:t>②</w:t>
            </w:r>
            <w:r>
              <w:rPr>
                <w:rFonts w:hint="eastAsia"/>
                <w:b w:val="0"/>
                <w:bCs/>
                <w:lang w:val="en-US" w:eastAsia="zh-CN"/>
              </w:rPr>
              <w:t>对周边</w:t>
            </w:r>
            <w:r>
              <w:rPr>
                <w:rFonts w:hint="default"/>
                <w:b w:val="0"/>
                <w:bCs/>
                <w:lang w:eastAsia="zh-CN"/>
              </w:rPr>
              <w:t>敏感区</w:t>
            </w:r>
            <w:r>
              <w:rPr>
                <w:rFonts w:hint="eastAsia"/>
                <w:b w:val="0"/>
                <w:bCs/>
                <w:lang w:val="en-US" w:eastAsia="zh-CN"/>
              </w:rPr>
              <w:t>的影响分析</w:t>
            </w:r>
          </w:p>
          <w:p>
            <w:pPr>
              <w:pStyle w:val="34"/>
              <w:numPr>
                <w:ilvl w:val="2"/>
                <w:numId w:val="0"/>
              </w:numPr>
              <w:ind w:firstLine="480" w:firstLineChars="200"/>
              <w:jc w:val="both"/>
              <w:rPr>
                <w:rFonts w:hint="eastAsia"/>
                <w:b w:val="0"/>
                <w:bCs w:val="0"/>
                <w:highlight w:val="none"/>
                <w:lang w:val="en-US" w:eastAsia="zh-CN"/>
              </w:rPr>
            </w:pPr>
            <w:r>
              <w:rPr>
                <w:rFonts w:hint="eastAsia" w:ascii="Times New Roman" w:hAnsi="Times New Roman" w:eastAsia="宋体" w:cs="Times New Roman"/>
                <w:b w:val="0"/>
                <w:bCs/>
                <w:kern w:val="2"/>
              </w:rPr>
              <w:t>其中</w:t>
            </w:r>
            <w:r>
              <w:rPr>
                <w:rFonts w:hint="eastAsia" w:ascii="Times New Roman" w:hAnsi="Times New Roman" w:eastAsia="宋体" w:cs="Times New Roman"/>
                <w:b w:val="0"/>
                <w:bCs/>
                <w:sz w:val="24"/>
                <w:szCs w:val="24"/>
              </w:rPr>
              <w:t>沅水辰溪段鲌类黄颡鱼国家级水产种质资源保护区</w:t>
            </w:r>
            <w:r>
              <w:rPr>
                <w:rFonts w:hint="eastAsia" w:cs="Times New Roman"/>
                <w:b w:val="0"/>
                <w:bCs/>
                <w:sz w:val="24"/>
                <w:szCs w:val="24"/>
                <w:lang w:eastAsia="zh-CN"/>
              </w:rPr>
              <w:t>核心区及</w:t>
            </w:r>
            <w:r>
              <w:rPr>
                <w:rFonts w:hint="eastAsia" w:ascii="Times New Roman" w:hAnsi="Times New Roman" w:eastAsia="宋体" w:cs="Times New Roman"/>
                <w:b w:val="0"/>
                <w:bCs/>
                <w:kern w:val="2"/>
                <w:sz w:val="24"/>
                <w:szCs w:val="24"/>
                <w:u w:val="none"/>
                <w:lang w:val="en-US" w:eastAsia="zh-CN" w:bidi="ar-SA"/>
              </w:rPr>
              <w:t>沅水特有鱼类国家级水产种质资源保护区实验区</w:t>
            </w:r>
            <w:r>
              <w:rPr>
                <w:rFonts w:hint="eastAsia" w:cs="Times New Roman"/>
                <w:b w:val="0"/>
                <w:bCs/>
                <w:sz w:val="24"/>
                <w:szCs w:val="24"/>
                <w:lang w:eastAsia="zh-CN"/>
              </w:rPr>
              <w:t>距项目地北面</w:t>
            </w:r>
            <w:r>
              <w:rPr>
                <w:rFonts w:hint="eastAsia" w:cs="Times New Roman"/>
                <w:b w:val="0"/>
                <w:bCs/>
                <w:sz w:val="24"/>
                <w:szCs w:val="24"/>
                <w:lang w:val="en-US" w:eastAsia="zh-CN"/>
              </w:rPr>
              <w:t>1m</w:t>
            </w:r>
            <w:r>
              <w:rPr>
                <w:rFonts w:hint="eastAsia" w:ascii="Times New Roman" w:hAnsi="Times New Roman" w:eastAsia="宋体" w:cs="Times New Roman"/>
                <w:b w:val="0"/>
                <w:bCs/>
                <w:kern w:val="2"/>
              </w:rPr>
              <w:t>，辰溪县二水厂</w:t>
            </w:r>
            <w:r>
              <w:rPr>
                <w:rFonts w:hint="eastAsia" w:ascii="Times New Roman" w:hAnsi="Times New Roman" w:eastAsia="宋体" w:cs="Times New Roman"/>
                <w:b w:val="0"/>
                <w:bCs/>
                <w:kern w:val="2"/>
                <w:lang w:eastAsia="zh-CN"/>
              </w:rPr>
              <w:t>规划</w:t>
            </w:r>
            <w:r>
              <w:rPr>
                <w:rFonts w:hint="eastAsia" w:ascii="Times New Roman" w:hAnsi="Times New Roman" w:eastAsia="宋体" w:cs="Times New Roman"/>
                <w:b w:val="0"/>
                <w:bCs/>
                <w:kern w:val="2"/>
              </w:rPr>
              <w:t>饮用水源取水口距项目地</w:t>
            </w:r>
            <w:r>
              <w:rPr>
                <w:rFonts w:hint="eastAsia" w:cs="Times New Roman"/>
                <w:b w:val="0"/>
                <w:bCs/>
                <w:kern w:val="2"/>
                <w:lang w:eastAsia="zh-CN"/>
              </w:rPr>
              <w:t>北侧厂界直线距离</w:t>
            </w:r>
            <w:r>
              <w:rPr>
                <w:rFonts w:hint="eastAsia" w:ascii="Times New Roman" w:hAnsi="Times New Roman" w:eastAsia="宋体" w:cs="Times New Roman"/>
                <w:b w:val="0"/>
                <w:bCs/>
                <w:kern w:val="2"/>
              </w:rPr>
              <w:t>200m，</w:t>
            </w:r>
            <w:r>
              <w:rPr>
                <w:rFonts w:hint="eastAsia" w:ascii="Times New Roman" w:hAnsi="Times New Roman" w:eastAsia="宋体" w:cs="Times New Roman"/>
                <w:b w:val="0"/>
                <w:bCs/>
                <w:i w:val="0"/>
                <w:iCs w:val="0"/>
                <w:caps w:val="0"/>
                <w:spacing w:val="0"/>
                <w:sz w:val="24"/>
                <w:szCs w:val="24"/>
                <w:shd w:val="clear"/>
              </w:rPr>
              <w:t>辰溪县佳润生活服务有限公司</w:t>
            </w:r>
            <w:r>
              <w:rPr>
                <w:rFonts w:hint="eastAsia"/>
                <w:b w:val="0"/>
                <w:bCs/>
                <w:lang w:val="en-US" w:eastAsia="zh-CN"/>
              </w:rPr>
              <w:t>于2021年11月</w:t>
            </w:r>
            <w:r>
              <w:rPr>
                <w:rFonts w:hint="eastAsia"/>
                <w:b w:val="0"/>
                <w:bCs/>
                <w:color w:val="auto"/>
                <w:sz w:val="24"/>
              </w:rPr>
              <w:t>委托</w:t>
            </w:r>
            <w:r>
              <w:rPr>
                <w:rFonts w:hint="eastAsia" w:ascii="Times New Roman" w:hAnsi="Times New Roman" w:eastAsia="宋体" w:cs="Times New Roman"/>
                <w:b w:val="0"/>
                <w:bCs/>
                <w:i w:val="0"/>
                <w:iCs w:val="0"/>
                <w:caps w:val="0"/>
                <w:spacing w:val="0"/>
                <w:sz w:val="24"/>
                <w:szCs w:val="24"/>
                <w:shd w:val="clear"/>
              </w:rPr>
              <w:t>湖南新瑞智环境科技有限责任公司</w:t>
            </w:r>
            <w:r>
              <w:rPr>
                <w:rFonts w:hint="eastAsia"/>
                <w:b w:val="0"/>
                <w:bCs/>
                <w:sz w:val="24"/>
              </w:rPr>
              <w:t>编制完成了《</w:t>
            </w:r>
            <w:r>
              <w:rPr>
                <w:rFonts w:hint="eastAsia" w:ascii="Times New Roman" w:hAnsi="Times New Roman" w:eastAsia="宋体" w:cs="Times New Roman"/>
                <w:b w:val="0"/>
                <w:bCs/>
                <w:i w:val="0"/>
                <w:iCs w:val="0"/>
                <w:caps w:val="0"/>
                <w:spacing w:val="0"/>
                <w:sz w:val="24"/>
                <w:szCs w:val="24"/>
                <w:shd w:val="clear"/>
              </w:rPr>
              <w:t>辰溪县第二水厂供水工程项目</w:t>
            </w:r>
            <w:r>
              <w:rPr>
                <w:rFonts w:hint="eastAsia"/>
                <w:b w:val="0"/>
                <w:bCs/>
                <w:sz w:val="24"/>
              </w:rPr>
              <w:t>环境影响报告表》</w:t>
            </w:r>
            <w:r>
              <w:rPr>
                <w:rFonts w:hint="eastAsia"/>
                <w:b w:val="0"/>
                <w:bCs/>
                <w:color w:val="auto"/>
                <w:sz w:val="24"/>
              </w:rPr>
              <w:t>，并于20</w:t>
            </w:r>
            <w:r>
              <w:rPr>
                <w:rFonts w:hint="eastAsia"/>
                <w:b w:val="0"/>
                <w:bCs/>
                <w:color w:val="auto"/>
                <w:sz w:val="24"/>
                <w:lang w:val="en-US" w:eastAsia="zh-CN"/>
              </w:rPr>
              <w:t>21</w:t>
            </w:r>
            <w:r>
              <w:rPr>
                <w:rFonts w:hint="eastAsia"/>
                <w:b w:val="0"/>
                <w:bCs/>
                <w:color w:val="auto"/>
                <w:sz w:val="24"/>
              </w:rPr>
              <w:t>年1</w:t>
            </w:r>
            <w:r>
              <w:rPr>
                <w:rFonts w:hint="eastAsia"/>
                <w:b w:val="0"/>
                <w:bCs/>
                <w:color w:val="auto"/>
                <w:sz w:val="24"/>
                <w:lang w:val="en-US" w:eastAsia="zh-CN"/>
              </w:rPr>
              <w:t>2</w:t>
            </w:r>
            <w:r>
              <w:rPr>
                <w:rFonts w:hint="eastAsia"/>
                <w:b w:val="0"/>
                <w:bCs/>
                <w:color w:val="auto"/>
                <w:sz w:val="24"/>
              </w:rPr>
              <w:t>月1</w:t>
            </w:r>
            <w:r>
              <w:rPr>
                <w:rFonts w:hint="eastAsia"/>
                <w:b w:val="0"/>
                <w:bCs/>
                <w:color w:val="auto"/>
                <w:sz w:val="24"/>
                <w:lang w:val="en-US" w:eastAsia="zh-CN"/>
              </w:rPr>
              <w:t>4</w:t>
            </w:r>
            <w:r>
              <w:rPr>
                <w:rFonts w:hint="eastAsia"/>
                <w:b w:val="0"/>
                <w:bCs/>
                <w:color w:val="auto"/>
                <w:sz w:val="24"/>
              </w:rPr>
              <w:t>日获</w:t>
            </w:r>
            <w:r>
              <w:rPr>
                <w:rFonts w:hint="eastAsia"/>
                <w:b w:val="0"/>
                <w:bCs/>
                <w:color w:val="auto"/>
                <w:sz w:val="24"/>
                <w:lang w:eastAsia="zh-CN"/>
              </w:rPr>
              <w:t>怀化市生态环境局辰溪分局</w:t>
            </w:r>
            <w:r>
              <w:rPr>
                <w:rFonts w:hint="eastAsia"/>
                <w:b w:val="0"/>
                <w:bCs/>
                <w:color w:val="auto"/>
                <w:sz w:val="24"/>
              </w:rPr>
              <w:t>批复（</w:t>
            </w:r>
            <w:r>
              <w:rPr>
                <w:rFonts w:hint="eastAsia"/>
                <w:b w:val="0"/>
                <w:bCs/>
                <w:color w:val="auto"/>
                <w:sz w:val="24"/>
                <w:lang w:eastAsia="zh-CN"/>
              </w:rPr>
              <w:t>怀辰环评</w:t>
            </w:r>
            <w:r>
              <w:rPr>
                <w:rFonts w:hint="eastAsia"/>
                <w:b w:val="0"/>
                <w:bCs/>
                <w:color w:val="auto"/>
                <w:sz w:val="24"/>
              </w:rPr>
              <w:t>[20</w:t>
            </w:r>
            <w:r>
              <w:rPr>
                <w:rFonts w:hint="eastAsia"/>
                <w:b w:val="0"/>
                <w:bCs/>
                <w:color w:val="auto"/>
                <w:sz w:val="24"/>
                <w:lang w:val="en-US" w:eastAsia="zh-CN"/>
              </w:rPr>
              <w:t>21</w:t>
            </w:r>
            <w:r>
              <w:rPr>
                <w:rFonts w:hint="eastAsia"/>
                <w:b w:val="0"/>
                <w:bCs/>
                <w:color w:val="auto"/>
                <w:sz w:val="24"/>
              </w:rPr>
              <w:t>]</w:t>
            </w:r>
            <w:r>
              <w:rPr>
                <w:rFonts w:hint="eastAsia"/>
                <w:b w:val="0"/>
                <w:bCs/>
                <w:color w:val="auto"/>
                <w:sz w:val="24"/>
                <w:lang w:val="en-US" w:eastAsia="zh-CN"/>
              </w:rPr>
              <w:t>16</w:t>
            </w:r>
            <w:r>
              <w:rPr>
                <w:rFonts w:hint="eastAsia"/>
                <w:b w:val="0"/>
                <w:bCs/>
                <w:color w:val="auto"/>
                <w:sz w:val="24"/>
              </w:rPr>
              <w:t>号）</w:t>
            </w:r>
            <w:r>
              <w:rPr>
                <w:rFonts w:hint="eastAsia"/>
                <w:b w:val="0"/>
                <w:bCs/>
                <w:color w:val="auto"/>
                <w:sz w:val="24"/>
                <w:highlight w:val="none"/>
              </w:rPr>
              <w:t>（见附件</w:t>
            </w:r>
            <w:r>
              <w:rPr>
                <w:rFonts w:hint="eastAsia"/>
                <w:b w:val="0"/>
                <w:bCs/>
                <w:color w:val="auto"/>
                <w:sz w:val="24"/>
                <w:highlight w:val="none"/>
                <w:lang w:eastAsia="zh-CN"/>
              </w:rPr>
              <w:t>8</w:t>
            </w:r>
            <w:r>
              <w:rPr>
                <w:rFonts w:hint="eastAsia"/>
                <w:b w:val="0"/>
                <w:bCs/>
                <w:color w:val="auto"/>
                <w:sz w:val="24"/>
                <w:highlight w:val="none"/>
              </w:rPr>
              <w:t>）</w:t>
            </w:r>
            <w:r>
              <w:rPr>
                <w:rFonts w:hint="eastAsia"/>
                <w:b w:val="0"/>
                <w:bCs/>
                <w:color w:val="auto"/>
                <w:sz w:val="24"/>
                <w:highlight w:val="none"/>
                <w:lang w:eastAsia="zh-CN"/>
              </w:rPr>
              <w:t>，同意该取水口调整为饮用水源取水口</w:t>
            </w:r>
            <w:r>
              <w:rPr>
                <w:rFonts w:hint="eastAsia"/>
                <w:b w:val="0"/>
                <w:bCs/>
                <w:color w:val="auto"/>
                <w:sz w:val="24"/>
                <w:lang w:eastAsia="zh-CN"/>
              </w:rPr>
              <w:t>。</w:t>
            </w:r>
            <w:r>
              <w:rPr>
                <w:rFonts w:hint="eastAsia"/>
                <w:b w:val="0"/>
                <w:bCs/>
                <w:color w:val="auto"/>
                <w:sz w:val="24"/>
                <w:u w:val="single"/>
                <w:lang w:eastAsia="zh-CN"/>
              </w:rPr>
              <w:t>因辰溪县二水厂</w:t>
            </w:r>
            <w:r>
              <w:rPr>
                <w:rFonts w:hint="eastAsia"/>
                <w:b w:val="0"/>
                <w:bCs/>
                <w:u w:val="single"/>
                <w:lang w:val="en-US" w:eastAsia="zh-CN"/>
              </w:rPr>
              <w:t>还未正式投入运行，故取水口为目前规划的饮用水源取水口，还未划分为饮用水源保护区，根据辰溪县经济建设投资有限公司《关于辰溪佳润公司二水厂滩头取水点的函》（见附件</w:t>
            </w:r>
            <w:r>
              <w:rPr>
                <w:rFonts w:hint="eastAsia"/>
                <w:b w:val="0"/>
                <w:bCs/>
                <w:highlight w:val="none"/>
                <w:u w:val="single"/>
                <w:lang w:val="en-US" w:eastAsia="zh-CN"/>
              </w:rPr>
              <w:t>11</w:t>
            </w:r>
            <w:r>
              <w:rPr>
                <w:rFonts w:hint="eastAsia"/>
                <w:b w:val="0"/>
                <w:bCs/>
                <w:u w:val="single"/>
                <w:lang w:val="en-US" w:eastAsia="zh-CN"/>
              </w:rPr>
              <w:t>）</w:t>
            </w:r>
            <w:r>
              <w:rPr>
                <w:rFonts w:hint="eastAsia"/>
                <w:b w:val="0"/>
                <w:bCs/>
                <w:highlight w:val="none"/>
                <w:u w:val="single"/>
                <w:lang w:val="en-US" w:eastAsia="zh-CN"/>
              </w:rPr>
              <w:t>、辰溪县砂石有限责任公司的承诺书（见附件12）</w:t>
            </w:r>
            <w:r>
              <w:rPr>
                <w:rFonts w:hint="eastAsia"/>
                <w:b w:val="0"/>
                <w:bCs w:val="0"/>
                <w:highlight w:val="none"/>
                <w:u w:val="single"/>
                <w:lang w:val="en-US" w:eastAsia="zh-CN"/>
              </w:rPr>
              <w:t>以及辰溪县人民政府专题会议纪要（见附件13），</w:t>
            </w:r>
            <w:r>
              <w:rPr>
                <w:rFonts w:hint="eastAsia"/>
                <w:b w:val="0"/>
                <w:bCs/>
                <w:highlight w:val="none"/>
                <w:u w:val="single"/>
                <w:lang w:val="en-US" w:eastAsia="zh-CN"/>
              </w:rPr>
              <w:t>辰溪县佳润生活服务有限公司二水厂处于建设期，尚未启动生产经营，如辰溪县佳润生活服务有限公司二水厂开始经营生产，火马冲广润砂石集散中心将无条件拆除或搬离</w:t>
            </w:r>
            <w:r>
              <w:rPr>
                <w:rFonts w:hint="eastAsia"/>
                <w:b w:val="0"/>
                <w:bCs w:val="0"/>
                <w:highlight w:val="none"/>
                <w:u w:val="single"/>
                <w:lang w:val="en-US" w:eastAsia="zh-CN"/>
              </w:rPr>
              <w:t>，且要求本项目经营期限截止2025年12月31日。</w:t>
            </w:r>
          </w:p>
          <w:p>
            <w:pPr>
              <w:pStyle w:val="34"/>
              <w:numPr>
                <w:ilvl w:val="2"/>
                <w:numId w:val="0"/>
              </w:numPr>
              <w:ind w:firstLine="480" w:firstLineChars="200"/>
              <w:jc w:val="both"/>
              <w:rPr>
                <w:rFonts w:hint="eastAsia" w:ascii="Times New Roman" w:hAnsi="Times New Roman" w:eastAsia="宋体" w:cs="Times New Roman"/>
                <w:b w:val="0"/>
                <w:kern w:val="0"/>
                <w:sz w:val="24"/>
                <w:szCs w:val="24"/>
                <w:u w:val="none"/>
                <w:lang w:val="en-US" w:eastAsia="zh-CN" w:bidi="ar"/>
              </w:rPr>
            </w:pPr>
            <w:r>
              <w:rPr>
                <w:rFonts w:hint="eastAsia" w:ascii="Times New Roman" w:hAnsi="Times New Roman" w:eastAsia="宋体" w:cs="Times New Roman"/>
                <w:b w:val="0"/>
                <w:kern w:val="0"/>
                <w:lang w:eastAsia="zh-CN" w:bidi="ar"/>
              </w:rPr>
              <w:t>项目用地虽在沅水河道管理范围内，但不占用沅水水域，不在</w:t>
            </w:r>
            <w:r>
              <w:rPr>
                <w:rFonts w:hint="eastAsia" w:ascii="Times New Roman" w:hAnsi="Times New Roman" w:eastAsia="宋体" w:cs="Times New Roman"/>
                <w:b w:val="0"/>
                <w:kern w:val="0"/>
                <w:sz w:val="24"/>
                <w:szCs w:val="24"/>
                <w:lang w:bidi="ar"/>
              </w:rPr>
              <w:t>沅水辰溪段鲌类黄颡鱼国家级水产种质资源保护区</w:t>
            </w:r>
            <w:r>
              <w:rPr>
                <w:rFonts w:hint="eastAsia" w:ascii="Times New Roman" w:hAnsi="Times New Roman" w:eastAsia="宋体" w:cs="Times New Roman"/>
                <w:b w:val="0"/>
                <w:kern w:val="0"/>
                <w:sz w:val="24"/>
                <w:szCs w:val="24"/>
                <w:lang w:eastAsia="zh-CN" w:bidi="ar"/>
              </w:rPr>
              <w:t>核心区及</w:t>
            </w:r>
            <w:r>
              <w:rPr>
                <w:rFonts w:hint="eastAsia" w:ascii="Times New Roman" w:hAnsi="Times New Roman" w:eastAsia="宋体" w:cs="Times New Roman"/>
                <w:b w:val="0"/>
                <w:kern w:val="0"/>
                <w:sz w:val="24"/>
                <w:szCs w:val="24"/>
                <w:u w:val="none"/>
                <w:lang w:val="en-US" w:eastAsia="zh-CN" w:bidi="ar"/>
              </w:rPr>
              <w:t>沅水特有鱼类国家级水产种质资源保护区实验区内，不会损害</w:t>
            </w:r>
            <w:r>
              <w:rPr>
                <w:rFonts w:hint="eastAsia" w:ascii="Times New Roman" w:hAnsi="Times New Roman" w:eastAsia="宋体" w:cs="Times New Roman"/>
                <w:b w:val="0"/>
                <w:kern w:val="0"/>
                <w:sz w:val="24"/>
                <w:szCs w:val="24"/>
                <w:lang w:bidi="ar"/>
              </w:rPr>
              <w:t>沅水辰溪段鲌类黄颡鱼国家级水产种质资源保护区</w:t>
            </w:r>
            <w:r>
              <w:rPr>
                <w:rFonts w:hint="eastAsia" w:ascii="Times New Roman" w:hAnsi="Times New Roman" w:eastAsia="宋体" w:cs="Times New Roman"/>
                <w:b w:val="0"/>
                <w:kern w:val="0"/>
                <w:sz w:val="24"/>
                <w:szCs w:val="24"/>
                <w:lang w:eastAsia="zh-CN" w:bidi="ar"/>
              </w:rPr>
              <w:t>及</w:t>
            </w:r>
            <w:r>
              <w:rPr>
                <w:rFonts w:hint="eastAsia" w:ascii="Times New Roman" w:hAnsi="Times New Roman" w:eastAsia="宋体" w:cs="Times New Roman"/>
                <w:b w:val="0"/>
                <w:kern w:val="0"/>
                <w:sz w:val="24"/>
                <w:szCs w:val="24"/>
                <w:u w:val="none"/>
                <w:lang w:val="en-US" w:eastAsia="zh-CN" w:bidi="ar"/>
              </w:rPr>
              <w:t>沅水特有鱼类国家级水产种质资源保护区功能。</w:t>
            </w:r>
          </w:p>
          <w:p>
            <w:pPr>
              <w:pStyle w:val="34"/>
              <w:numPr>
                <w:ilvl w:val="2"/>
                <w:numId w:val="0"/>
              </w:numPr>
              <w:ind w:firstLine="480" w:firstLineChars="200"/>
              <w:jc w:val="both"/>
            </w:pPr>
            <w:r>
              <w:rPr>
                <w:rFonts w:hint="eastAsia"/>
                <w:b w:val="0"/>
                <w:bCs/>
                <w:kern w:val="0"/>
                <w:u w:val="single"/>
                <w:lang w:bidi="ar"/>
              </w:rPr>
              <w:t>本项目营运期产生的生产</w:t>
            </w:r>
            <w:r>
              <w:rPr>
                <w:rFonts w:hint="eastAsia"/>
                <w:b w:val="0"/>
                <w:bCs/>
                <w:kern w:val="0"/>
                <w:u w:val="single"/>
                <w:lang w:eastAsia="zh-CN" w:bidi="ar"/>
              </w:rPr>
              <w:t>工艺</w:t>
            </w:r>
            <w:r>
              <w:rPr>
                <w:rFonts w:hint="eastAsia"/>
                <w:b w:val="0"/>
                <w:bCs/>
                <w:kern w:val="0"/>
                <w:u w:val="single"/>
                <w:lang w:bidi="ar"/>
              </w:rPr>
              <w:t>废水经</w:t>
            </w:r>
            <w:r>
              <w:rPr>
                <w:b w:val="0"/>
                <w:bCs/>
                <w:kern w:val="0"/>
                <w:u w:val="single"/>
                <w:lang w:bidi="ar"/>
              </w:rPr>
              <w:t>废水处理系统</w:t>
            </w:r>
            <w:r>
              <w:rPr>
                <w:rFonts w:hint="eastAsia"/>
                <w:b w:val="0"/>
                <w:bCs/>
                <w:kern w:val="0"/>
                <w:u w:val="single"/>
                <w:lang w:bidi="ar"/>
              </w:rPr>
              <w:t>处理后回用于生产</w:t>
            </w:r>
            <w:r>
              <w:rPr>
                <w:b w:val="0"/>
                <w:bCs/>
                <w:kern w:val="0"/>
                <w:u w:val="single"/>
                <w:lang w:bidi="ar"/>
              </w:rPr>
              <w:t>；</w:t>
            </w:r>
            <w:r>
              <w:rPr>
                <w:rFonts w:hint="eastAsia" w:ascii="Times New Roman" w:hAnsi="Times New Roman" w:eastAsia="宋体" w:cs="Times New Roman"/>
                <w:b w:val="0"/>
                <w:bCs/>
                <w:kern w:val="0"/>
                <w:sz w:val="24"/>
                <w:szCs w:val="24"/>
                <w:u w:val="single"/>
                <w:lang w:eastAsia="zh-CN" w:bidi="ar"/>
              </w:rPr>
              <w:t>洗车废水经洗车平台沉淀池处理后回用于</w:t>
            </w:r>
            <w:r>
              <w:rPr>
                <w:rFonts w:hint="eastAsia" w:cs="Times New Roman"/>
                <w:b w:val="0"/>
                <w:bCs/>
                <w:kern w:val="0"/>
                <w:sz w:val="24"/>
                <w:szCs w:val="24"/>
                <w:u w:val="single"/>
                <w:lang w:eastAsia="zh-CN" w:bidi="ar"/>
              </w:rPr>
              <w:t>车辆轮胎清洗</w:t>
            </w:r>
            <w:r>
              <w:rPr>
                <w:rFonts w:hint="eastAsia" w:ascii="Times New Roman" w:hAnsi="Times New Roman" w:eastAsia="宋体" w:cs="Times New Roman"/>
                <w:b w:val="0"/>
                <w:bCs/>
                <w:kern w:val="0"/>
                <w:sz w:val="24"/>
                <w:szCs w:val="24"/>
                <w:u w:val="single"/>
                <w:lang w:eastAsia="zh-CN" w:bidi="ar"/>
              </w:rPr>
              <w:t>；</w:t>
            </w:r>
            <w:r>
              <w:rPr>
                <w:b w:val="0"/>
                <w:bCs/>
                <w:kern w:val="0"/>
                <w:u w:val="single"/>
                <w:lang w:bidi="ar"/>
              </w:rPr>
              <w:t>生活污水经</w:t>
            </w:r>
            <w:r>
              <w:rPr>
                <w:rFonts w:hint="eastAsia"/>
                <w:b w:val="0"/>
                <w:bCs/>
                <w:kern w:val="0"/>
                <w:u w:val="single"/>
                <w:lang w:bidi="ar"/>
              </w:rPr>
              <w:t>隔油</w:t>
            </w:r>
            <w:r>
              <w:rPr>
                <w:b w:val="0"/>
                <w:bCs/>
                <w:kern w:val="0"/>
                <w:u w:val="single"/>
                <w:lang w:bidi="ar"/>
              </w:rPr>
              <w:t>化粪池处理用于周边林地、</w:t>
            </w:r>
            <w:r>
              <w:rPr>
                <w:rFonts w:hint="eastAsia"/>
                <w:b w:val="0"/>
                <w:bCs/>
                <w:kern w:val="0"/>
                <w:u w:val="single"/>
                <w:lang w:bidi="ar"/>
              </w:rPr>
              <w:t>菜地</w:t>
            </w:r>
            <w:r>
              <w:rPr>
                <w:b w:val="0"/>
                <w:bCs/>
                <w:kern w:val="0"/>
                <w:u w:val="single"/>
                <w:lang w:bidi="ar"/>
              </w:rPr>
              <w:t>浇灌，不外排</w:t>
            </w:r>
            <w:r>
              <w:rPr>
                <w:rFonts w:hint="eastAsia"/>
                <w:b w:val="0"/>
                <w:bCs/>
                <w:kern w:val="0"/>
                <w:u w:val="single"/>
                <w:lang w:bidi="ar"/>
              </w:rPr>
              <w:t>；初期</w:t>
            </w:r>
            <w:r>
              <w:rPr>
                <w:b w:val="0"/>
                <w:bCs/>
                <w:kern w:val="0"/>
                <w:u w:val="single"/>
                <w:lang w:bidi="ar"/>
              </w:rPr>
              <w:t>雨水</w:t>
            </w:r>
            <w:r>
              <w:rPr>
                <w:rFonts w:ascii="Times New Roman" w:hAnsi="Times New Roman" w:eastAsia="宋体" w:cs="Times New Roman"/>
                <w:b w:val="0"/>
                <w:bCs/>
                <w:kern w:val="0"/>
                <w:sz w:val="24"/>
                <w:szCs w:val="24"/>
                <w:u w:val="single"/>
                <w:lang w:bidi="ar"/>
              </w:rPr>
              <w:t>通过截排水沟将</w:t>
            </w:r>
            <w:r>
              <w:rPr>
                <w:rFonts w:hint="default" w:ascii="Times New Roman" w:hAnsi="Times New Roman" w:eastAsia="宋体" w:cs="Times New Roman"/>
                <w:b w:val="0"/>
                <w:bCs/>
                <w:kern w:val="0"/>
                <w:sz w:val="24"/>
                <w:szCs w:val="24"/>
                <w:u w:val="single"/>
                <w:lang w:bidi="ar"/>
              </w:rPr>
              <w:t>厂区</w:t>
            </w:r>
            <w:r>
              <w:rPr>
                <w:rFonts w:ascii="Times New Roman" w:hAnsi="Times New Roman" w:eastAsia="宋体" w:cs="Times New Roman"/>
                <w:b w:val="0"/>
                <w:bCs/>
                <w:kern w:val="0"/>
                <w:sz w:val="24"/>
                <w:szCs w:val="24"/>
                <w:u w:val="single"/>
                <w:lang w:bidi="ar"/>
              </w:rPr>
              <w:t>汇集的地表径流收集至</w:t>
            </w:r>
            <w:r>
              <w:rPr>
                <w:rFonts w:hint="eastAsia"/>
                <w:b w:val="0"/>
                <w:bCs/>
                <w:kern w:val="0"/>
                <w:u w:val="single"/>
                <w:lang w:bidi="ar"/>
              </w:rPr>
              <w:t>初期雨水收集池</w:t>
            </w:r>
            <w:r>
              <w:rPr>
                <w:b w:val="0"/>
                <w:bCs/>
                <w:kern w:val="0"/>
                <w:u w:val="single"/>
                <w:lang w:bidi="ar"/>
              </w:rPr>
              <w:t>沉淀后回用于厂区降尘洒水</w:t>
            </w:r>
            <w:r>
              <w:rPr>
                <w:rFonts w:hint="eastAsia"/>
                <w:b w:val="0"/>
                <w:bCs/>
                <w:kern w:val="0"/>
                <w:u w:val="single"/>
                <w:lang w:eastAsia="zh-CN" w:bidi="ar"/>
              </w:rPr>
              <w:t>。且应加强管理，合理安排生产时间</w:t>
            </w:r>
            <w:r>
              <w:rPr>
                <w:rFonts w:hint="default" w:eastAsia="宋体"/>
                <w:b w:val="0"/>
                <w:bCs/>
                <w:kern w:val="0"/>
                <w:u w:val="single"/>
                <w:lang w:eastAsia="zh-CN" w:bidi="ar"/>
              </w:rPr>
              <w:t>，</w:t>
            </w:r>
            <w:r>
              <w:rPr>
                <w:rFonts w:hint="default" w:ascii="Times New Roman" w:hAnsi="Times New Roman" w:eastAsia="宋体" w:cs="Times New Roman"/>
                <w:b w:val="0"/>
                <w:bCs/>
                <w:kern w:val="0"/>
                <w:sz w:val="24"/>
                <w:szCs w:val="24"/>
                <w:u w:val="single"/>
                <w:lang w:val="en-US" w:eastAsia="zh-CN" w:bidi="ar"/>
              </w:rPr>
              <w:t>生活垃圾等其他固废不得倾倒入河流中</w:t>
            </w:r>
            <w:r>
              <w:rPr>
                <w:rFonts w:hint="eastAsia" w:cs="Times New Roman"/>
                <w:b w:val="0"/>
                <w:bCs/>
                <w:kern w:val="0"/>
                <w:sz w:val="24"/>
                <w:szCs w:val="24"/>
                <w:u w:val="single"/>
                <w:lang w:val="en-US" w:eastAsia="zh-CN" w:bidi="ar"/>
              </w:rPr>
              <w:t>。本项目服务期满后，将完全拆除和搬离，对场地内进行清理及生态修复。</w:t>
            </w:r>
            <w:r>
              <w:rPr>
                <w:rFonts w:hint="eastAsia"/>
                <w:b w:val="0"/>
                <w:bCs/>
                <w:kern w:val="0"/>
                <w:u w:val="single"/>
                <w:lang w:eastAsia="zh-CN" w:bidi="ar"/>
              </w:rPr>
              <w:t>采取上述措施后，项目</w:t>
            </w:r>
            <w:r>
              <w:rPr>
                <w:rFonts w:hint="eastAsia"/>
                <w:b w:val="0"/>
                <w:bCs/>
                <w:kern w:val="2"/>
                <w:u w:val="single"/>
              </w:rPr>
              <w:t>对</w:t>
            </w:r>
            <w:r>
              <w:rPr>
                <w:rFonts w:hint="default" w:cs="Times New Roman"/>
                <w:b w:val="0"/>
                <w:bCs/>
                <w:sz w:val="24"/>
                <w:szCs w:val="24"/>
                <w:u w:val="single"/>
                <w:lang w:val="en-US" w:eastAsia="zh-CN"/>
              </w:rPr>
              <w:t>辰溪县二水厂</w:t>
            </w:r>
            <w:r>
              <w:rPr>
                <w:rFonts w:hint="eastAsia" w:cs="Times New Roman"/>
                <w:b w:val="0"/>
                <w:bCs/>
                <w:sz w:val="24"/>
                <w:szCs w:val="24"/>
                <w:u w:val="single"/>
                <w:lang w:val="en-US" w:eastAsia="zh-CN"/>
              </w:rPr>
              <w:t>规划</w:t>
            </w:r>
            <w:r>
              <w:rPr>
                <w:rFonts w:hint="default" w:cs="Times New Roman"/>
                <w:b w:val="0"/>
                <w:bCs/>
                <w:sz w:val="24"/>
                <w:szCs w:val="24"/>
                <w:u w:val="single"/>
                <w:lang w:val="en-US" w:eastAsia="zh-CN"/>
              </w:rPr>
              <w:t>饮用水源取水口</w:t>
            </w:r>
            <w:r>
              <w:rPr>
                <w:rFonts w:hint="eastAsia" w:cs="Times New Roman"/>
                <w:b w:val="0"/>
                <w:bCs/>
                <w:sz w:val="24"/>
                <w:szCs w:val="24"/>
                <w:u w:val="single"/>
                <w:lang w:val="en-US" w:eastAsia="zh-CN"/>
              </w:rPr>
              <w:t>、</w:t>
            </w:r>
            <w:r>
              <w:rPr>
                <w:rFonts w:hint="default" w:ascii="Times New Roman" w:hAnsi="Times New Roman" w:eastAsia="宋体" w:cs="Times New Roman"/>
                <w:b w:val="0"/>
                <w:bCs/>
                <w:sz w:val="24"/>
                <w:szCs w:val="24"/>
                <w:u w:val="single"/>
              </w:rPr>
              <w:t>沅水辰溪段鲌类黄颡鱼国家级水产种质资源保护区</w:t>
            </w:r>
            <w:r>
              <w:rPr>
                <w:rFonts w:hint="eastAsia" w:cs="Times New Roman"/>
                <w:b w:val="0"/>
                <w:bCs/>
                <w:sz w:val="24"/>
                <w:szCs w:val="24"/>
                <w:u w:val="single"/>
                <w:lang w:eastAsia="zh-CN"/>
              </w:rPr>
              <w:t>核心区及</w:t>
            </w:r>
            <w:r>
              <w:rPr>
                <w:rFonts w:hint="eastAsia" w:ascii="宋体" w:hAnsi="宋体" w:eastAsia="宋体" w:cs="Times New Roman"/>
                <w:b w:val="0"/>
                <w:bCs/>
                <w:kern w:val="2"/>
                <w:sz w:val="24"/>
                <w:szCs w:val="24"/>
                <w:u w:val="single"/>
                <w:lang w:val="en-US" w:eastAsia="zh-CN" w:bidi="ar-SA"/>
              </w:rPr>
              <w:t>沅水特有鱼类国家级水产种质资源保护区实验区</w:t>
            </w:r>
            <w:r>
              <w:rPr>
                <w:rFonts w:hint="eastAsia" w:ascii="宋体" w:hAnsi="宋体" w:cs="Times New Roman"/>
                <w:b w:val="0"/>
                <w:bCs/>
                <w:kern w:val="2"/>
                <w:sz w:val="24"/>
                <w:szCs w:val="24"/>
                <w:u w:val="single"/>
                <w:lang w:val="en-US" w:eastAsia="zh-CN" w:bidi="ar-SA"/>
              </w:rPr>
              <w:t>水质基本无影响</w:t>
            </w:r>
            <w:r>
              <w:rPr>
                <w:rFonts w:hint="eastAsia"/>
                <w:b w:val="0"/>
                <w:bCs/>
                <w:kern w:val="2"/>
                <w:u w:val="single"/>
                <w:lang w:eastAsia="zh-CN"/>
              </w:rPr>
              <w:t>。</w:t>
            </w:r>
          </w:p>
          <w:p>
            <w:pPr>
              <w:pStyle w:val="34"/>
              <w:numPr>
                <w:ilvl w:val="2"/>
                <w:numId w:val="0"/>
              </w:numPr>
              <w:ind w:firstLine="481" w:firstLineChars="200"/>
            </w:pPr>
            <w:r>
              <w:t>4.2.</w:t>
            </w:r>
            <w:r>
              <w:rPr>
                <w:rFonts w:hint="eastAsia"/>
              </w:rPr>
              <w:t>6</w:t>
            </w:r>
            <w:r>
              <w:t>地下水、土壤</w:t>
            </w:r>
            <w:bookmarkEnd w:id="96"/>
          </w:p>
          <w:p>
            <w:pPr>
              <w:ind w:firstLine="481" w:firstLineChars="200"/>
              <w:rPr>
                <w:bCs/>
              </w:rPr>
            </w:pPr>
            <w:r>
              <w:rPr>
                <w:b/>
                <w:bCs/>
              </w:rPr>
              <w:t>1、污染源分析</w:t>
            </w:r>
          </w:p>
          <w:p>
            <w:pPr>
              <w:ind w:firstLine="480" w:firstLineChars="200"/>
            </w:pPr>
            <w:r>
              <w:t>（1）废水的渗漏对地下水、土壤的影响</w:t>
            </w:r>
          </w:p>
          <w:p>
            <w:pPr>
              <w:ind w:firstLine="480" w:firstLineChars="200"/>
            </w:pPr>
            <w:r>
              <w:t>本项目地下水环境的保护应以</w:t>
            </w:r>
            <w:r>
              <w:rPr>
                <w:rFonts w:hint="eastAsia"/>
              </w:rPr>
              <w:t>危废暂存间、隔油</w:t>
            </w:r>
            <w:r>
              <w:t>化粪池、沉淀池防渗等主动性措施为主要保护手段，使污染源的渗漏达到最小程度。经采取分区防渗的治理措施处理后，可防止项目产生的污水渗入地下污染项目所在地区地下水环境质量。经过防渗处理措施后，项目排水对项目所在地区地下水环境质量影响不大。</w:t>
            </w:r>
          </w:p>
          <w:p>
            <w:pPr>
              <w:ind w:firstLine="480" w:firstLineChars="200"/>
            </w:pPr>
            <w:r>
              <w:t>（2）固体废物对土壤、地下水水质的影响</w:t>
            </w:r>
          </w:p>
          <w:p>
            <w:pPr>
              <w:ind w:firstLine="480" w:firstLineChars="200"/>
            </w:pPr>
            <w:r>
              <w:t>本项目固体废物均得到妥善的处理处置，本项目固废对土壤和地下水的影响是极小的，不会改变该地区地下水和土壤质量类别。</w:t>
            </w:r>
          </w:p>
          <w:p>
            <w:pPr>
              <w:ind w:firstLine="481" w:firstLineChars="200"/>
              <w:rPr>
                <w:b/>
                <w:bCs/>
              </w:rPr>
            </w:pPr>
            <w:r>
              <w:rPr>
                <w:b/>
                <w:bCs/>
              </w:rPr>
              <w:t>2、防控措施</w:t>
            </w:r>
          </w:p>
          <w:p>
            <w:pPr>
              <w:ind w:firstLine="480" w:firstLineChars="200"/>
            </w:pPr>
            <w:r>
              <w:t>为了有效减小项目对地下水及土壤的影响，建设单位应主要从防渗角度完善环境保护措施，将厂区划分为重点防渗区、一般防渗区和简单防渗区。重点污染防治区主要包括</w:t>
            </w:r>
            <w:r>
              <w:rPr>
                <w:rFonts w:hint="eastAsia"/>
              </w:rPr>
              <w:t>危废暂存间</w:t>
            </w:r>
            <w:r>
              <w:t>；一般污染防治区主要包括生产车间区域</w:t>
            </w:r>
            <w:r>
              <w:rPr>
                <w:rFonts w:hint="eastAsia"/>
              </w:rPr>
              <w:t>、隔油</w:t>
            </w:r>
            <w:r>
              <w:t>化粪池、沉淀池等区域；简单防渗区主要是指办公</w:t>
            </w:r>
            <w:r>
              <w:rPr>
                <w:rFonts w:hint="eastAsia"/>
              </w:rPr>
              <w:t>用房</w:t>
            </w:r>
            <w:r>
              <w:t>等。</w:t>
            </w:r>
            <w:r>
              <w:rPr>
                <w:rFonts w:hint="eastAsia"/>
                <w:u w:val="single"/>
                <w:lang w:eastAsia="zh-CN"/>
              </w:rPr>
              <w:t>目前厂区仅办公用房区域已采取了一般地面硬化措施，厂区周边已设置截排水沟。</w:t>
            </w:r>
          </w:p>
          <w:p>
            <w:pPr>
              <w:ind w:firstLine="480" w:firstLineChars="200"/>
            </w:pPr>
            <w:r>
              <w:t>各分区可参照《环境影响评价技术导则 地下水环境（HJ610-2016）》，防渗要求如下：</w:t>
            </w:r>
          </w:p>
          <w:p>
            <w:pPr>
              <w:ind w:firstLine="480" w:firstLineChars="200"/>
            </w:pPr>
            <w:r>
              <w:t>①对于重点防渗区，防渗技术要求为：等效黏土防渗层Mb≥6.0m，K≤1×10</w:t>
            </w:r>
            <w:r>
              <w:rPr>
                <w:vertAlign w:val="superscript"/>
              </w:rPr>
              <w:t>-7</w:t>
            </w:r>
            <w:r>
              <w:t>cm/s；或参照GB18598执行。</w:t>
            </w:r>
          </w:p>
          <w:p>
            <w:pPr>
              <w:ind w:firstLine="480" w:firstLineChars="200"/>
            </w:pPr>
            <w:r>
              <w:t>②对于一般防渗区，防渗技术要求为：等效黏土防渗层Mb≥1.5m，K≤1×10</w:t>
            </w:r>
            <w:r>
              <w:rPr>
                <w:vertAlign w:val="superscript"/>
              </w:rPr>
              <w:t>-7</w:t>
            </w:r>
            <w:r>
              <w:t>cm/s；或参照GB16889执行。</w:t>
            </w:r>
          </w:p>
          <w:p>
            <w:pPr>
              <w:ind w:firstLine="480" w:firstLineChars="200"/>
            </w:pPr>
            <w:r>
              <w:t>③对于简单防渗区，防渗技术要求为：一般地面水泥硬化。</w:t>
            </w:r>
          </w:p>
          <w:p>
            <w:pPr>
              <w:pStyle w:val="34"/>
              <w:numPr>
                <w:ilvl w:val="2"/>
                <w:numId w:val="0"/>
              </w:numPr>
              <w:ind w:firstLine="481" w:firstLineChars="200"/>
            </w:pPr>
            <w:bookmarkStart w:id="97" w:name="_Toc30727"/>
            <w:r>
              <w:t>4.2.</w:t>
            </w:r>
            <w:r>
              <w:rPr>
                <w:rFonts w:hint="eastAsia"/>
              </w:rPr>
              <w:t>7</w:t>
            </w:r>
            <w:r>
              <w:t>环境风险分析</w:t>
            </w:r>
            <w:bookmarkEnd w:id="97"/>
          </w:p>
          <w:p>
            <w:pPr>
              <w:pStyle w:val="42"/>
              <w:spacing w:line="360" w:lineRule="auto"/>
              <w:ind w:firstLine="480"/>
              <w:jc w:val="both"/>
              <w:rPr>
                <w:b/>
                <w:bCs/>
              </w:rPr>
            </w:pPr>
            <w:r>
              <w:rPr>
                <w:rFonts w:hint="eastAsia"/>
                <w:b/>
                <w:bCs/>
              </w:rPr>
              <w:t>1、</w:t>
            </w:r>
            <w:r>
              <w:rPr>
                <w:b/>
                <w:bCs/>
              </w:rPr>
              <w:t>风险潜势初判</w:t>
            </w:r>
          </w:p>
          <w:p>
            <w:pPr>
              <w:pStyle w:val="50"/>
              <w:tabs>
                <w:tab w:val="left" w:pos="0"/>
              </w:tabs>
              <w:spacing w:line="360" w:lineRule="auto"/>
              <w:ind w:firstLine="480"/>
            </w:pPr>
            <w:r>
              <w:t>根据《建设项目环境风险评价技术导则》(HJ169-2018)表1中评价工作等级划分，和附录B重点关注的危险物质及临界量，项目所涉及的危险化学物质主要为</w:t>
            </w:r>
            <w:r>
              <w:rPr>
                <w:rFonts w:hint="eastAsia"/>
              </w:rPr>
              <w:t>机油、润滑油</w:t>
            </w:r>
            <w:r>
              <w:t>。项目环境风险评价等级划分见</w:t>
            </w:r>
            <w:r>
              <w:rPr>
                <w:rFonts w:hint="eastAsia"/>
              </w:rPr>
              <w:t>下表</w:t>
            </w:r>
            <w:r>
              <w:t>。</w:t>
            </w:r>
          </w:p>
          <w:p>
            <w:pPr>
              <w:pStyle w:val="51"/>
              <w:spacing w:before="0" w:after="0" w:line="240" w:lineRule="auto"/>
              <w:ind w:left="299" w:firstLine="438"/>
              <w:rPr>
                <w:sz w:val="21"/>
                <w:szCs w:val="21"/>
              </w:rPr>
            </w:pPr>
            <w:r>
              <w:rPr>
                <w:sz w:val="21"/>
                <w:szCs w:val="21"/>
              </w:rPr>
              <w:t>表4-</w:t>
            </w:r>
            <w:r>
              <w:rPr>
                <w:rFonts w:hint="eastAsia"/>
                <w:sz w:val="21"/>
                <w:szCs w:val="21"/>
              </w:rPr>
              <w:t>1</w:t>
            </w:r>
            <w:r>
              <w:rPr>
                <w:rFonts w:hint="eastAsia"/>
                <w:sz w:val="21"/>
                <w:szCs w:val="21"/>
                <w:lang w:val="en-US" w:eastAsia="zh-CN"/>
              </w:rPr>
              <w:t>3</w:t>
            </w:r>
            <w:r>
              <w:rPr>
                <w:sz w:val="21"/>
                <w:szCs w:val="21"/>
              </w:rPr>
              <w:t xml:space="preserve">  环境风险评价分级判据</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5"/>
              <w:gridCol w:w="1487"/>
              <w:gridCol w:w="1487"/>
              <w:gridCol w:w="1487"/>
              <w:gridCol w:w="1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355" w:type="dxa"/>
                  <w:vAlign w:val="center"/>
                </w:tcPr>
                <w:p>
                  <w:pPr>
                    <w:spacing w:line="240" w:lineRule="auto"/>
                    <w:jc w:val="center"/>
                    <w:rPr>
                      <w:sz w:val="21"/>
                      <w:szCs w:val="21"/>
                    </w:rPr>
                  </w:pPr>
                  <w:r>
                    <w:rPr>
                      <w:sz w:val="21"/>
                      <w:szCs w:val="21"/>
                    </w:rPr>
                    <w:t>环境风险潜势</w:t>
                  </w:r>
                </w:p>
              </w:tc>
              <w:tc>
                <w:tcPr>
                  <w:tcW w:w="1874" w:type="dxa"/>
                  <w:vAlign w:val="center"/>
                </w:tcPr>
                <w:p>
                  <w:pPr>
                    <w:spacing w:line="240" w:lineRule="auto"/>
                    <w:jc w:val="center"/>
                    <w:rPr>
                      <w:sz w:val="21"/>
                      <w:szCs w:val="21"/>
                    </w:rPr>
                  </w:pPr>
                  <w:r>
                    <w:rPr>
                      <w:sz w:val="21"/>
                      <w:szCs w:val="21"/>
                    </w:rPr>
                    <w:t>Ⅳ、Ⅳ</w:t>
                  </w:r>
                  <w:r>
                    <w:rPr>
                      <w:sz w:val="21"/>
                      <w:szCs w:val="21"/>
                      <w:vertAlign w:val="superscript"/>
                    </w:rPr>
                    <w:t>+</w:t>
                  </w:r>
                </w:p>
              </w:tc>
              <w:tc>
                <w:tcPr>
                  <w:tcW w:w="1874" w:type="dxa"/>
                  <w:vAlign w:val="center"/>
                </w:tcPr>
                <w:p>
                  <w:pPr>
                    <w:spacing w:line="240" w:lineRule="auto"/>
                    <w:jc w:val="center"/>
                    <w:rPr>
                      <w:sz w:val="21"/>
                      <w:szCs w:val="21"/>
                    </w:rPr>
                  </w:pPr>
                  <w:r>
                    <w:rPr>
                      <w:sz w:val="21"/>
                      <w:szCs w:val="21"/>
                    </w:rPr>
                    <w:t>Ⅲ</w:t>
                  </w:r>
                </w:p>
              </w:tc>
              <w:tc>
                <w:tcPr>
                  <w:tcW w:w="1874" w:type="dxa"/>
                  <w:vAlign w:val="center"/>
                </w:tcPr>
                <w:p>
                  <w:pPr>
                    <w:spacing w:line="240" w:lineRule="auto"/>
                    <w:jc w:val="center"/>
                    <w:rPr>
                      <w:sz w:val="21"/>
                      <w:szCs w:val="21"/>
                    </w:rPr>
                  </w:pPr>
                  <w:r>
                    <w:rPr>
                      <w:sz w:val="21"/>
                      <w:szCs w:val="21"/>
                    </w:rPr>
                    <w:t>Ⅱ</w:t>
                  </w:r>
                </w:p>
              </w:tc>
              <w:tc>
                <w:tcPr>
                  <w:tcW w:w="1877" w:type="dxa"/>
                  <w:vAlign w:val="center"/>
                </w:tcPr>
                <w:p>
                  <w:pPr>
                    <w:spacing w:line="240" w:lineRule="auto"/>
                    <w:jc w:val="center"/>
                    <w:rPr>
                      <w:sz w:val="21"/>
                      <w:szCs w:val="21"/>
                    </w:rPr>
                  </w:pPr>
                  <w:r>
                    <w:rPr>
                      <w:sz w:val="21"/>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355" w:type="dxa"/>
                  <w:vAlign w:val="center"/>
                </w:tcPr>
                <w:p>
                  <w:pPr>
                    <w:spacing w:line="240" w:lineRule="auto"/>
                    <w:jc w:val="center"/>
                    <w:rPr>
                      <w:sz w:val="21"/>
                      <w:szCs w:val="21"/>
                    </w:rPr>
                  </w:pPr>
                  <w:r>
                    <w:rPr>
                      <w:sz w:val="21"/>
                      <w:szCs w:val="21"/>
                    </w:rPr>
                    <w:t>评价工作等级</w:t>
                  </w:r>
                </w:p>
              </w:tc>
              <w:tc>
                <w:tcPr>
                  <w:tcW w:w="1874" w:type="dxa"/>
                  <w:vAlign w:val="center"/>
                </w:tcPr>
                <w:p>
                  <w:pPr>
                    <w:spacing w:line="240" w:lineRule="auto"/>
                    <w:jc w:val="center"/>
                    <w:rPr>
                      <w:sz w:val="21"/>
                      <w:szCs w:val="21"/>
                    </w:rPr>
                  </w:pPr>
                  <w:r>
                    <w:rPr>
                      <w:sz w:val="21"/>
                      <w:szCs w:val="21"/>
                    </w:rPr>
                    <w:t>一</w:t>
                  </w:r>
                </w:p>
              </w:tc>
              <w:tc>
                <w:tcPr>
                  <w:tcW w:w="1874" w:type="dxa"/>
                  <w:vAlign w:val="center"/>
                </w:tcPr>
                <w:p>
                  <w:pPr>
                    <w:spacing w:line="240" w:lineRule="auto"/>
                    <w:jc w:val="center"/>
                    <w:rPr>
                      <w:sz w:val="21"/>
                      <w:szCs w:val="21"/>
                    </w:rPr>
                  </w:pPr>
                  <w:r>
                    <w:rPr>
                      <w:sz w:val="21"/>
                      <w:szCs w:val="21"/>
                    </w:rPr>
                    <w:t>二</w:t>
                  </w:r>
                </w:p>
              </w:tc>
              <w:tc>
                <w:tcPr>
                  <w:tcW w:w="1874" w:type="dxa"/>
                  <w:vAlign w:val="center"/>
                </w:tcPr>
                <w:p>
                  <w:pPr>
                    <w:spacing w:line="240" w:lineRule="auto"/>
                    <w:jc w:val="center"/>
                    <w:rPr>
                      <w:sz w:val="21"/>
                      <w:szCs w:val="21"/>
                    </w:rPr>
                  </w:pPr>
                  <w:r>
                    <w:rPr>
                      <w:sz w:val="21"/>
                      <w:szCs w:val="21"/>
                    </w:rPr>
                    <w:t>三</w:t>
                  </w:r>
                </w:p>
              </w:tc>
              <w:tc>
                <w:tcPr>
                  <w:tcW w:w="1877" w:type="dxa"/>
                  <w:vAlign w:val="center"/>
                </w:tcPr>
                <w:p>
                  <w:pPr>
                    <w:spacing w:line="240" w:lineRule="auto"/>
                    <w:jc w:val="center"/>
                    <w:rPr>
                      <w:sz w:val="21"/>
                      <w:szCs w:val="21"/>
                    </w:rPr>
                  </w:pPr>
                  <w:r>
                    <w:rPr>
                      <w:sz w:val="21"/>
                      <w:szCs w:val="21"/>
                    </w:rPr>
                    <w:t>简单分析</w:t>
                  </w:r>
                  <w:r>
                    <w:rPr>
                      <w:sz w:val="21"/>
                      <w:szCs w:val="21"/>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exact"/>
                <w:jc w:val="center"/>
              </w:trPr>
              <w:tc>
                <w:tcPr>
                  <w:tcW w:w="9854" w:type="dxa"/>
                  <w:gridSpan w:val="5"/>
                  <w:vAlign w:val="center"/>
                </w:tcPr>
                <w:p>
                  <w:pPr>
                    <w:spacing w:line="240" w:lineRule="auto"/>
                    <w:jc w:val="center"/>
                    <w:rPr>
                      <w:sz w:val="21"/>
                      <w:szCs w:val="21"/>
                    </w:rPr>
                  </w:pPr>
                  <w:r>
                    <w:rPr>
                      <w:sz w:val="21"/>
                      <w:szCs w:val="21"/>
                      <w:vertAlign w:val="superscript"/>
                    </w:rPr>
                    <w:t>a</w:t>
                  </w:r>
                  <w:r>
                    <w:rPr>
                      <w:sz w:val="21"/>
                      <w:szCs w:val="21"/>
                    </w:rPr>
                    <w:t>是相对于详细评价工作内容而言，在描述危险物质、环境影响途径、环境危害后果、风险防范措施等方面给出定性的说明。见附录A。</w:t>
                  </w:r>
                </w:p>
              </w:tc>
            </w:tr>
          </w:tbl>
          <w:p>
            <w:pPr>
              <w:pStyle w:val="51"/>
              <w:spacing w:beforeLines="50" w:after="0" w:line="240" w:lineRule="auto"/>
              <w:ind w:left="300" w:firstLine="438"/>
              <w:rPr>
                <w:sz w:val="21"/>
                <w:szCs w:val="21"/>
              </w:rPr>
            </w:pPr>
            <w:r>
              <w:rPr>
                <w:sz w:val="21"/>
                <w:szCs w:val="21"/>
              </w:rPr>
              <w:t>表4-</w:t>
            </w:r>
            <w:r>
              <w:rPr>
                <w:rFonts w:hint="eastAsia"/>
                <w:sz w:val="21"/>
                <w:szCs w:val="21"/>
              </w:rPr>
              <w:t>1</w:t>
            </w:r>
            <w:r>
              <w:rPr>
                <w:rFonts w:hint="eastAsia"/>
                <w:sz w:val="21"/>
                <w:szCs w:val="21"/>
                <w:lang w:val="en-US" w:eastAsia="zh-CN"/>
              </w:rPr>
              <w:t>4</w:t>
            </w:r>
            <w:r>
              <w:rPr>
                <w:sz w:val="21"/>
                <w:szCs w:val="21"/>
              </w:rPr>
              <w:t xml:space="preserve">  危险物质数量与临界值比值表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67"/>
              <w:gridCol w:w="857"/>
              <w:gridCol w:w="768"/>
              <w:gridCol w:w="812"/>
              <w:gridCol w:w="643"/>
              <w:gridCol w:w="643"/>
              <w:gridCol w:w="864"/>
              <w:gridCol w:w="768"/>
              <w:gridCol w:w="825"/>
              <w:gridCol w:w="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59" w:hRule="atLeast"/>
                <w:jc w:val="center"/>
              </w:trPr>
              <w:tc>
                <w:tcPr>
                  <w:tcW w:w="491" w:type="pct"/>
                  <w:vAlign w:val="center"/>
                </w:tcPr>
                <w:p>
                  <w:pPr>
                    <w:spacing w:line="240" w:lineRule="auto"/>
                    <w:jc w:val="center"/>
                    <w:rPr>
                      <w:b/>
                      <w:bCs/>
                      <w:kern w:val="0"/>
                      <w:sz w:val="21"/>
                      <w:szCs w:val="21"/>
                    </w:rPr>
                  </w:pPr>
                  <w:r>
                    <w:rPr>
                      <w:b/>
                      <w:bCs/>
                      <w:kern w:val="0"/>
                      <w:sz w:val="21"/>
                      <w:szCs w:val="21"/>
                    </w:rPr>
                    <w:t>序号</w:t>
                  </w:r>
                </w:p>
              </w:tc>
              <w:tc>
                <w:tcPr>
                  <w:tcW w:w="549" w:type="pct"/>
                  <w:vAlign w:val="center"/>
                </w:tcPr>
                <w:p>
                  <w:pPr>
                    <w:spacing w:line="240" w:lineRule="auto"/>
                    <w:jc w:val="center"/>
                    <w:rPr>
                      <w:b/>
                      <w:bCs/>
                      <w:kern w:val="0"/>
                      <w:sz w:val="21"/>
                      <w:szCs w:val="21"/>
                    </w:rPr>
                  </w:pPr>
                  <w:r>
                    <w:rPr>
                      <w:b/>
                      <w:bCs/>
                      <w:kern w:val="0"/>
                      <w:sz w:val="21"/>
                      <w:szCs w:val="21"/>
                    </w:rPr>
                    <w:t>物质名称</w:t>
                  </w:r>
                </w:p>
              </w:tc>
              <w:tc>
                <w:tcPr>
                  <w:tcW w:w="492" w:type="pct"/>
                  <w:vAlign w:val="center"/>
                </w:tcPr>
                <w:p>
                  <w:pPr>
                    <w:spacing w:line="240" w:lineRule="auto"/>
                    <w:jc w:val="center"/>
                    <w:rPr>
                      <w:b/>
                      <w:bCs/>
                      <w:kern w:val="0"/>
                      <w:sz w:val="21"/>
                      <w:szCs w:val="21"/>
                    </w:rPr>
                  </w:pPr>
                  <w:r>
                    <w:rPr>
                      <w:b/>
                      <w:bCs/>
                      <w:kern w:val="0"/>
                      <w:sz w:val="21"/>
                      <w:szCs w:val="21"/>
                    </w:rPr>
                    <w:t>CAS号</w:t>
                  </w:r>
                </w:p>
              </w:tc>
              <w:tc>
                <w:tcPr>
                  <w:tcW w:w="520" w:type="pct"/>
                  <w:vAlign w:val="center"/>
                </w:tcPr>
                <w:p>
                  <w:pPr>
                    <w:spacing w:line="240" w:lineRule="auto"/>
                    <w:jc w:val="center"/>
                    <w:rPr>
                      <w:b/>
                      <w:bCs/>
                      <w:kern w:val="0"/>
                      <w:sz w:val="21"/>
                      <w:szCs w:val="21"/>
                    </w:rPr>
                  </w:pPr>
                  <w:r>
                    <w:rPr>
                      <w:b/>
                      <w:bCs/>
                      <w:kern w:val="0"/>
                      <w:sz w:val="21"/>
                      <w:szCs w:val="21"/>
                    </w:rPr>
                    <w:t>最大储存量（t）</w:t>
                  </w:r>
                </w:p>
              </w:tc>
              <w:tc>
                <w:tcPr>
                  <w:tcW w:w="412" w:type="pct"/>
                  <w:vAlign w:val="center"/>
                </w:tcPr>
                <w:p>
                  <w:pPr>
                    <w:spacing w:line="240" w:lineRule="auto"/>
                    <w:jc w:val="center"/>
                    <w:rPr>
                      <w:b/>
                      <w:bCs/>
                      <w:kern w:val="0"/>
                      <w:sz w:val="21"/>
                      <w:szCs w:val="21"/>
                    </w:rPr>
                  </w:pPr>
                  <w:r>
                    <w:rPr>
                      <w:b/>
                      <w:bCs/>
                      <w:kern w:val="0"/>
                      <w:sz w:val="21"/>
                      <w:szCs w:val="21"/>
                    </w:rPr>
                    <w:t>储存方式</w:t>
                  </w:r>
                </w:p>
              </w:tc>
              <w:tc>
                <w:tcPr>
                  <w:tcW w:w="412" w:type="pct"/>
                  <w:vAlign w:val="center"/>
                </w:tcPr>
                <w:p>
                  <w:pPr>
                    <w:spacing w:line="240" w:lineRule="auto"/>
                    <w:jc w:val="center"/>
                    <w:rPr>
                      <w:b/>
                      <w:bCs/>
                      <w:kern w:val="0"/>
                      <w:sz w:val="21"/>
                      <w:szCs w:val="21"/>
                    </w:rPr>
                  </w:pPr>
                  <w:r>
                    <w:rPr>
                      <w:b/>
                      <w:bCs/>
                      <w:kern w:val="0"/>
                      <w:sz w:val="21"/>
                      <w:szCs w:val="21"/>
                    </w:rPr>
                    <w:t>形态</w:t>
                  </w:r>
                </w:p>
              </w:tc>
              <w:tc>
                <w:tcPr>
                  <w:tcW w:w="550" w:type="pct"/>
                  <w:vAlign w:val="center"/>
                </w:tcPr>
                <w:p>
                  <w:pPr>
                    <w:spacing w:line="240" w:lineRule="auto"/>
                    <w:jc w:val="center"/>
                    <w:rPr>
                      <w:b/>
                      <w:bCs/>
                      <w:kern w:val="0"/>
                      <w:sz w:val="21"/>
                      <w:szCs w:val="21"/>
                    </w:rPr>
                  </w:pPr>
                  <w:r>
                    <w:rPr>
                      <w:b/>
                      <w:bCs/>
                      <w:kern w:val="0"/>
                      <w:sz w:val="21"/>
                      <w:szCs w:val="21"/>
                    </w:rPr>
                    <w:t>危险特性</w:t>
                  </w:r>
                </w:p>
              </w:tc>
              <w:tc>
                <w:tcPr>
                  <w:tcW w:w="492" w:type="pct"/>
                  <w:vAlign w:val="center"/>
                </w:tcPr>
                <w:p>
                  <w:pPr>
                    <w:spacing w:line="240" w:lineRule="auto"/>
                    <w:jc w:val="center"/>
                    <w:rPr>
                      <w:b/>
                      <w:bCs/>
                      <w:kern w:val="0"/>
                      <w:sz w:val="21"/>
                      <w:szCs w:val="21"/>
                    </w:rPr>
                  </w:pPr>
                  <w:r>
                    <w:rPr>
                      <w:b/>
                      <w:bCs/>
                      <w:kern w:val="0"/>
                      <w:sz w:val="21"/>
                      <w:szCs w:val="21"/>
                    </w:rPr>
                    <w:t>临界量（t）</w:t>
                  </w:r>
                </w:p>
              </w:tc>
              <w:tc>
                <w:tcPr>
                  <w:tcW w:w="528" w:type="pct"/>
                  <w:vAlign w:val="center"/>
                </w:tcPr>
                <w:p>
                  <w:pPr>
                    <w:spacing w:line="240" w:lineRule="auto"/>
                    <w:jc w:val="center"/>
                    <w:rPr>
                      <w:b/>
                      <w:bCs/>
                      <w:kern w:val="0"/>
                      <w:sz w:val="21"/>
                      <w:szCs w:val="21"/>
                    </w:rPr>
                  </w:pPr>
                  <w:r>
                    <w:rPr>
                      <w:b/>
                      <w:bCs/>
                      <w:kern w:val="0"/>
                      <w:sz w:val="21"/>
                      <w:szCs w:val="21"/>
                    </w:rPr>
                    <w:t>q/Q</w:t>
                  </w:r>
                </w:p>
              </w:tc>
              <w:tc>
                <w:tcPr>
                  <w:tcW w:w="549" w:type="pct"/>
                  <w:vAlign w:val="center"/>
                </w:tcPr>
                <w:p>
                  <w:pPr>
                    <w:spacing w:line="240" w:lineRule="auto"/>
                    <w:jc w:val="center"/>
                    <w:rPr>
                      <w:b/>
                      <w:bCs/>
                      <w:kern w:val="0"/>
                      <w:sz w:val="21"/>
                      <w:szCs w:val="21"/>
                    </w:rPr>
                  </w:pPr>
                  <w:r>
                    <w:rPr>
                      <w:b/>
                      <w:bCs/>
                      <w:kern w:val="0"/>
                      <w:sz w:val="21"/>
                      <w:szCs w:val="21"/>
                    </w:rPr>
                    <w:t>是否重大危险源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23" w:hRule="atLeast"/>
                <w:jc w:val="center"/>
              </w:trPr>
              <w:tc>
                <w:tcPr>
                  <w:tcW w:w="491" w:type="pct"/>
                  <w:vAlign w:val="center"/>
                </w:tcPr>
                <w:p>
                  <w:pPr>
                    <w:spacing w:line="240" w:lineRule="auto"/>
                    <w:jc w:val="center"/>
                    <w:rPr>
                      <w:kern w:val="0"/>
                      <w:sz w:val="21"/>
                      <w:szCs w:val="21"/>
                    </w:rPr>
                  </w:pPr>
                  <w:r>
                    <w:rPr>
                      <w:kern w:val="0"/>
                      <w:sz w:val="21"/>
                      <w:szCs w:val="21"/>
                    </w:rPr>
                    <w:t>1</w:t>
                  </w:r>
                </w:p>
              </w:tc>
              <w:tc>
                <w:tcPr>
                  <w:tcW w:w="549" w:type="pct"/>
                  <w:vAlign w:val="center"/>
                </w:tcPr>
                <w:p>
                  <w:pPr>
                    <w:spacing w:line="240" w:lineRule="auto"/>
                    <w:jc w:val="center"/>
                    <w:rPr>
                      <w:kern w:val="0"/>
                      <w:sz w:val="21"/>
                      <w:szCs w:val="21"/>
                    </w:rPr>
                  </w:pPr>
                  <w:r>
                    <w:rPr>
                      <w:rFonts w:hint="eastAsia"/>
                      <w:kern w:val="0"/>
                      <w:sz w:val="21"/>
                      <w:szCs w:val="21"/>
                    </w:rPr>
                    <w:t>机油、润滑油</w:t>
                  </w:r>
                </w:p>
              </w:tc>
              <w:tc>
                <w:tcPr>
                  <w:tcW w:w="492" w:type="pct"/>
                  <w:vAlign w:val="center"/>
                </w:tcPr>
                <w:p>
                  <w:pPr>
                    <w:spacing w:line="240" w:lineRule="auto"/>
                    <w:jc w:val="center"/>
                    <w:rPr>
                      <w:kern w:val="0"/>
                      <w:sz w:val="21"/>
                      <w:szCs w:val="21"/>
                    </w:rPr>
                  </w:pPr>
                  <w:r>
                    <w:rPr>
                      <w:kern w:val="0"/>
                      <w:sz w:val="21"/>
                      <w:szCs w:val="21"/>
                    </w:rPr>
                    <w:t>/</w:t>
                  </w:r>
                </w:p>
              </w:tc>
              <w:tc>
                <w:tcPr>
                  <w:tcW w:w="520" w:type="pct"/>
                  <w:vAlign w:val="center"/>
                </w:tcPr>
                <w:p>
                  <w:pPr>
                    <w:spacing w:line="240" w:lineRule="auto"/>
                    <w:jc w:val="center"/>
                    <w:rPr>
                      <w:kern w:val="0"/>
                      <w:sz w:val="21"/>
                      <w:szCs w:val="21"/>
                    </w:rPr>
                  </w:pPr>
                  <w:r>
                    <w:rPr>
                      <w:rFonts w:hint="eastAsia"/>
                      <w:kern w:val="0"/>
                      <w:sz w:val="21"/>
                      <w:szCs w:val="21"/>
                    </w:rPr>
                    <w:t>0.1</w:t>
                  </w:r>
                </w:p>
              </w:tc>
              <w:tc>
                <w:tcPr>
                  <w:tcW w:w="412" w:type="pct"/>
                  <w:vAlign w:val="center"/>
                </w:tcPr>
                <w:p>
                  <w:pPr>
                    <w:spacing w:line="240" w:lineRule="auto"/>
                    <w:jc w:val="center"/>
                    <w:rPr>
                      <w:kern w:val="0"/>
                      <w:sz w:val="21"/>
                      <w:szCs w:val="21"/>
                    </w:rPr>
                  </w:pPr>
                  <w:r>
                    <w:rPr>
                      <w:rFonts w:hint="eastAsia"/>
                      <w:kern w:val="0"/>
                      <w:sz w:val="21"/>
                      <w:szCs w:val="21"/>
                    </w:rPr>
                    <w:t>桶</w:t>
                  </w:r>
                  <w:r>
                    <w:rPr>
                      <w:kern w:val="0"/>
                      <w:sz w:val="21"/>
                      <w:szCs w:val="21"/>
                    </w:rPr>
                    <w:t>装</w:t>
                  </w:r>
                </w:p>
              </w:tc>
              <w:tc>
                <w:tcPr>
                  <w:tcW w:w="412" w:type="pct"/>
                  <w:vAlign w:val="center"/>
                </w:tcPr>
                <w:p>
                  <w:pPr>
                    <w:spacing w:line="240" w:lineRule="auto"/>
                    <w:jc w:val="center"/>
                    <w:rPr>
                      <w:kern w:val="0"/>
                      <w:sz w:val="21"/>
                      <w:szCs w:val="21"/>
                    </w:rPr>
                  </w:pPr>
                  <w:r>
                    <w:rPr>
                      <w:kern w:val="0"/>
                      <w:sz w:val="21"/>
                      <w:szCs w:val="21"/>
                    </w:rPr>
                    <w:t>液体</w:t>
                  </w:r>
                </w:p>
              </w:tc>
              <w:tc>
                <w:tcPr>
                  <w:tcW w:w="550" w:type="pct"/>
                  <w:vAlign w:val="center"/>
                </w:tcPr>
                <w:p>
                  <w:pPr>
                    <w:spacing w:line="240" w:lineRule="auto"/>
                    <w:jc w:val="center"/>
                    <w:rPr>
                      <w:kern w:val="0"/>
                      <w:sz w:val="21"/>
                      <w:szCs w:val="21"/>
                    </w:rPr>
                  </w:pPr>
                  <w:r>
                    <w:rPr>
                      <w:kern w:val="0"/>
                      <w:sz w:val="21"/>
                      <w:szCs w:val="21"/>
                    </w:rPr>
                    <w:t>可燃、易燃</w:t>
                  </w:r>
                </w:p>
              </w:tc>
              <w:tc>
                <w:tcPr>
                  <w:tcW w:w="492" w:type="pct"/>
                  <w:vAlign w:val="center"/>
                </w:tcPr>
                <w:p>
                  <w:pPr>
                    <w:spacing w:line="240" w:lineRule="auto"/>
                    <w:jc w:val="center"/>
                    <w:rPr>
                      <w:kern w:val="0"/>
                      <w:sz w:val="21"/>
                      <w:szCs w:val="21"/>
                    </w:rPr>
                  </w:pPr>
                  <w:r>
                    <w:rPr>
                      <w:rFonts w:hint="eastAsia"/>
                      <w:kern w:val="0"/>
                      <w:sz w:val="21"/>
                      <w:szCs w:val="21"/>
                    </w:rPr>
                    <w:t>2500</w:t>
                  </w:r>
                </w:p>
              </w:tc>
              <w:tc>
                <w:tcPr>
                  <w:tcW w:w="528" w:type="pct"/>
                  <w:vAlign w:val="center"/>
                </w:tcPr>
                <w:p>
                  <w:pPr>
                    <w:spacing w:line="240" w:lineRule="auto"/>
                    <w:jc w:val="center"/>
                    <w:rPr>
                      <w:kern w:val="0"/>
                      <w:sz w:val="21"/>
                      <w:szCs w:val="21"/>
                    </w:rPr>
                  </w:pPr>
                  <w:r>
                    <w:rPr>
                      <w:rFonts w:hint="eastAsia"/>
                      <w:kern w:val="0"/>
                      <w:sz w:val="21"/>
                      <w:szCs w:val="21"/>
                    </w:rPr>
                    <w:t>0.00004</w:t>
                  </w:r>
                </w:p>
              </w:tc>
              <w:tc>
                <w:tcPr>
                  <w:tcW w:w="549" w:type="pct"/>
                  <w:vAlign w:val="center"/>
                </w:tcPr>
                <w:p>
                  <w:pPr>
                    <w:spacing w:line="240" w:lineRule="auto"/>
                    <w:jc w:val="center"/>
                    <w:rPr>
                      <w:kern w:val="0"/>
                      <w:sz w:val="21"/>
                      <w:szCs w:val="21"/>
                    </w:rPr>
                  </w:pPr>
                  <w:r>
                    <w:rPr>
                      <w:kern w:val="0"/>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23" w:hRule="atLeast"/>
                <w:jc w:val="center"/>
              </w:trPr>
              <w:tc>
                <w:tcPr>
                  <w:tcW w:w="491" w:type="pct"/>
                  <w:vAlign w:val="center"/>
                </w:tcPr>
                <w:p>
                  <w:pPr>
                    <w:spacing w:line="240" w:lineRule="auto"/>
                    <w:jc w:val="center"/>
                    <w:rPr>
                      <w:rFonts w:hint="eastAsia" w:eastAsia="宋体"/>
                      <w:kern w:val="0"/>
                      <w:sz w:val="21"/>
                      <w:szCs w:val="21"/>
                      <w:lang w:val="en-US" w:eastAsia="zh-CN"/>
                    </w:rPr>
                  </w:pPr>
                  <w:r>
                    <w:rPr>
                      <w:rFonts w:hint="eastAsia"/>
                      <w:kern w:val="0"/>
                      <w:sz w:val="21"/>
                      <w:szCs w:val="21"/>
                      <w:lang w:val="en-US" w:eastAsia="zh-CN"/>
                    </w:rPr>
                    <w:t>2</w:t>
                  </w:r>
                </w:p>
              </w:tc>
              <w:tc>
                <w:tcPr>
                  <w:tcW w:w="549" w:type="pct"/>
                  <w:vAlign w:val="center"/>
                </w:tcPr>
                <w:p>
                  <w:pPr>
                    <w:spacing w:line="240" w:lineRule="auto"/>
                    <w:jc w:val="center"/>
                    <w:rPr>
                      <w:rFonts w:hint="eastAsia" w:eastAsia="宋体"/>
                      <w:kern w:val="0"/>
                      <w:sz w:val="21"/>
                      <w:szCs w:val="21"/>
                      <w:lang w:eastAsia="zh-CN"/>
                    </w:rPr>
                  </w:pPr>
                  <w:r>
                    <w:rPr>
                      <w:rFonts w:hint="eastAsia"/>
                      <w:kern w:val="0"/>
                      <w:sz w:val="21"/>
                      <w:szCs w:val="21"/>
                      <w:lang w:eastAsia="zh-CN"/>
                    </w:rPr>
                    <w:t>废机油、废润滑油</w:t>
                  </w:r>
                </w:p>
              </w:tc>
              <w:tc>
                <w:tcPr>
                  <w:tcW w:w="492" w:type="pct"/>
                  <w:vAlign w:val="center"/>
                </w:tcPr>
                <w:p>
                  <w:pPr>
                    <w:spacing w:line="240" w:lineRule="auto"/>
                    <w:jc w:val="center"/>
                    <w:rPr>
                      <w:rFonts w:hint="eastAsia" w:eastAsia="宋体"/>
                      <w:kern w:val="0"/>
                      <w:sz w:val="21"/>
                      <w:szCs w:val="21"/>
                      <w:lang w:val="en-US" w:eastAsia="zh-CN"/>
                    </w:rPr>
                  </w:pPr>
                  <w:r>
                    <w:rPr>
                      <w:rFonts w:hint="eastAsia"/>
                      <w:kern w:val="0"/>
                      <w:sz w:val="21"/>
                      <w:szCs w:val="21"/>
                      <w:lang w:val="en-US" w:eastAsia="zh-CN"/>
                    </w:rPr>
                    <w:t>/</w:t>
                  </w:r>
                </w:p>
              </w:tc>
              <w:tc>
                <w:tcPr>
                  <w:tcW w:w="520" w:type="pct"/>
                  <w:vAlign w:val="center"/>
                </w:tcPr>
                <w:p>
                  <w:pPr>
                    <w:spacing w:line="240" w:lineRule="auto"/>
                    <w:jc w:val="center"/>
                    <w:rPr>
                      <w:rFonts w:hint="default" w:eastAsia="宋体"/>
                      <w:kern w:val="0"/>
                      <w:sz w:val="21"/>
                      <w:szCs w:val="21"/>
                      <w:lang w:val="en-US" w:eastAsia="zh-CN"/>
                    </w:rPr>
                  </w:pPr>
                  <w:r>
                    <w:rPr>
                      <w:rFonts w:hint="eastAsia"/>
                      <w:kern w:val="0"/>
                      <w:sz w:val="21"/>
                      <w:szCs w:val="21"/>
                      <w:lang w:val="en-US" w:eastAsia="zh-CN"/>
                    </w:rPr>
                    <w:t>0.2</w:t>
                  </w:r>
                </w:p>
              </w:tc>
              <w:tc>
                <w:tcPr>
                  <w:tcW w:w="702" w:type="dxa"/>
                  <w:vAlign w:val="center"/>
                </w:tcPr>
                <w:p>
                  <w:pPr>
                    <w:spacing w:line="240" w:lineRule="auto"/>
                    <w:jc w:val="center"/>
                    <w:rPr>
                      <w:rFonts w:hint="eastAsia"/>
                      <w:kern w:val="0"/>
                      <w:sz w:val="21"/>
                      <w:szCs w:val="21"/>
                    </w:rPr>
                  </w:pPr>
                  <w:r>
                    <w:rPr>
                      <w:rFonts w:hint="eastAsia"/>
                      <w:kern w:val="0"/>
                      <w:sz w:val="21"/>
                      <w:szCs w:val="21"/>
                    </w:rPr>
                    <w:t>桶</w:t>
                  </w:r>
                  <w:r>
                    <w:rPr>
                      <w:kern w:val="0"/>
                      <w:sz w:val="21"/>
                      <w:szCs w:val="21"/>
                    </w:rPr>
                    <w:t>装</w:t>
                  </w:r>
                </w:p>
              </w:tc>
              <w:tc>
                <w:tcPr>
                  <w:tcW w:w="702" w:type="dxa"/>
                  <w:vAlign w:val="center"/>
                </w:tcPr>
                <w:p>
                  <w:pPr>
                    <w:spacing w:line="240" w:lineRule="auto"/>
                    <w:jc w:val="center"/>
                    <w:rPr>
                      <w:kern w:val="0"/>
                      <w:sz w:val="21"/>
                      <w:szCs w:val="21"/>
                    </w:rPr>
                  </w:pPr>
                  <w:r>
                    <w:rPr>
                      <w:kern w:val="0"/>
                      <w:sz w:val="21"/>
                      <w:szCs w:val="21"/>
                    </w:rPr>
                    <w:t>液体</w:t>
                  </w:r>
                </w:p>
              </w:tc>
              <w:tc>
                <w:tcPr>
                  <w:tcW w:w="942" w:type="dxa"/>
                  <w:vAlign w:val="center"/>
                </w:tcPr>
                <w:p>
                  <w:pPr>
                    <w:spacing w:line="240" w:lineRule="auto"/>
                    <w:jc w:val="center"/>
                    <w:rPr>
                      <w:kern w:val="0"/>
                      <w:sz w:val="21"/>
                      <w:szCs w:val="21"/>
                    </w:rPr>
                  </w:pPr>
                  <w:r>
                    <w:rPr>
                      <w:kern w:val="0"/>
                      <w:sz w:val="21"/>
                      <w:szCs w:val="21"/>
                    </w:rPr>
                    <w:t>可燃、易燃</w:t>
                  </w:r>
                </w:p>
              </w:tc>
              <w:tc>
                <w:tcPr>
                  <w:tcW w:w="838" w:type="dxa"/>
                  <w:vAlign w:val="center"/>
                </w:tcPr>
                <w:p>
                  <w:pPr>
                    <w:spacing w:line="240" w:lineRule="auto"/>
                    <w:jc w:val="center"/>
                    <w:rPr>
                      <w:rFonts w:hint="eastAsia"/>
                      <w:kern w:val="0"/>
                      <w:sz w:val="21"/>
                      <w:szCs w:val="21"/>
                    </w:rPr>
                  </w:pPr>
                  <w:r>
                    <w:rPr>
                      <w:rFonts w:hint="eastAsia"/>
                      <w:kern w:val="0"/>
                      <w:sz w:val="21"/>
                      <w:szCs w:val="21"/>
                    </w:rPr>
                    <w:t>2500</w:t>
                  </w:r>
                </w:p>
              </w:tc>
              <w:tc>
                <w:tcPr>
                  <w:tcW w:w="528" w:type="pct"/>
                  <w:vAlign w:val="center"/>
                </w:tcPr>
                <w:p>
                  <w:pPr>
                    <w:spacing w:line="240" w:lineRule="auto"/>
                    <w:jc w:val="center"/>
                    <w:rPr>
                      <w:rFonts w:hint="default" w:eastAsia="宋体"/>
                      <w:kern w:val="0"/>
                      <w:sz w:val="21"/>
                      <w:szCs w:val="21"/>
                      <w:lang w:val="en-US" w:eastAsia="zh-CN"/>
                    </w:rPr>
                  </w:pPr>
                  <w:r>
                    <w:rPr>
                      <w:rFonts w:hint="eastAsia"/>
                      <w:kern w:val="0"/>
                      <w:sz w:val="21"/>
                      <w:szCs w:val="21"/>
                      <w:lang w:val="en-US" w:eastAsia="zh-CN"/>
                    </w:rPr>
                    <w:t>0.00008</w:t>
                  </w:r>
                </w:p>
              </w:tc>
              <w:tc>
                <w:tcPr>
                  <w:tcW w:w="549" w:type="pct"/>
                  <w:vAlign w:val="center"/>
                </w:tcPr>
                <w:p>
                  <w:pPr>
                    <w:spacing w:line="240" w:lineRule="auto"/>
                    <w:jc w:val="center"/>
                    <w:rPr>
                      <w:kern w:val="0"/>
                      <w:sz w:val="21"/>
                      <w:szCs w:val="21"/>
                    </w:rPr>
                  </w:pPr>
                  <w:r>
                    <w:rPr>
                      <w:kern w:val="0"/>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02" w:hRule="atLeast"/>
                <w:jc w:val="center"/>
              </w:trPr>
              <w:tc>
                <w:tcPr>
                  <w:tcW w:w="3429" w:type="pct"/>
                  <w:gridSpan w:val="7"/>
                  <w:vAlign w:val="center"/>
                </w:tcPr>
                <w:p>
                  <w:pPr>
                    <w:spacing w:line="240" w:lineRule="auto"/>
                    <w:jc w:val="center"/>
                    <w:rPr>
                      <w:kern w:val="0"/>
                      <w:sz w:val="21"/>
                      <w:szCs w:val="21"/>
                    </w:rPr>
                  </w:pPr>
                  <w:r>
                    <w:rPr>
                      <w:kern w:val="0"/>
                      <w:sz w:val="21"/>
                      <w:szCs w:val="21"/>
                    </w:rPr>
                    <w:t>合计</w:t>
                  </w:r>
                </w:p>
              </w:tc>
              <w:tc>
                <w:tcPr>
                  <w:tcW w:w="841" w:type="dxa"/>
                  <w:vAlign w:val="center"/>
                </w:tcPr>
                <w:p>
                  <w:pPr>
                    <w:spacing w:line="240" w:lineRule="auto"/>
                    <w:jc w:val="center"/>
                    <w:rPr>
                      <w:kern w:val="0"/>
                      <w:sz w:val="21"/>
                      <w:szCs w:val="21"/>
                    </w:rPr>
                  </w:pPr>
                  <w:r>
                    <w:rPr>
                      <w:rFonts w:hint="eastAsia"/>
                      <w:kern w:val="0"/>
                      <w:sz w:val="21"/>
                      <w:szCs w:val="21"/>
                    </w:rPr>
                    <w:t>2500</w:t>
                  </w:r>
                </w:p>
              </w:tc>
              <w:tc>
                <w:tcPr>
                  <w:tcW w:w="902" w:type="dxa"/>
                  <w:vAlign w:val="center"/>
                </w:tcPr>
                <w:p>
                  <w:pPr>
                    <w:spacing w:line="240" w:lineRule="auto"/>
                    <w:jc w:val="center"/>
                    <w:rPr>
                      <w:rFonts w:hint="default" w:eastAsia="宋体"/>
                      <w:kern w:val="0"/>
                      <w:sz w:val="21"/>
                      <w:szCs w:val="21"/>
                      <w:lang w:val="en-US" w:eastAsia="zh-CN"/>
                    </w:rPr>
                  </w:pPr>
                  <w:r>
                    <w:rPr>
                      <w:rFonts w:hint="eastAsia"/>
                      <w:kern w:val="0"/>
                      <w:sz w:val="21"/>
                      <w:szCs w:val="21"/>
                      <w:lang w:val="en-US" w:eastAsia="zh-CN"/>
                    </w:rPr>
                    <w:t>0.00012</w:t>
                  </w:r>
                </w:p>
              </w:tc>
              <w:tc>
                <w:tcPr>
                  <w:tcW w:w="549" w:type="pct"/>
                  <w:vAlign w:val="center"/>
                </w:tcPr>
                <w:p>
                  <w:pPr>
                    <w:spacing w:line="240" w:lineRule="auto"/>
                    <w:jc w:val="center"/>
                    <w:rPr>
                      <w:kern w:val="0"/>
                      <w:sz w:val="21"/>
                      <w:szCs w:val="21"/>
                    </w:rPr>
                  </w:pPr>
                  <w:r>
                    <w:rPr>
                      <w:kern w:val="0"/>
                      <w:sz w:val="21"/>
                      <w:szCs w:val="21"/>
                    </w:rPr>
                    <w:t>否</w:t>
                  </w:r>
                </w:p>
              </w:tc>
            </w:tr>
          </w:tbl>
          <w:p>
            <w:pPr>
              <w:pStyle w:val="42"/>
              <w:spacing w:line="360" w:lineRule="auto"/>
              <w:ind w:firstLine="480"/>
              <w:jc w:val="both"/>
            </w:pPr>
            <w:bookmarkStart w:id="98" w:name="_Toc19616"/>
            <w:r>
              <w:t>分析建设项目生产、使用、储存过程中涉及的有毒有害、易燃易爆物质，参考《建设项目环境风险评价技术导则》（HJ169-2018）附录B确定危险物质的临界量。计算所涉及的每种危险物质在厂界内的最大存在总量与其在附录 B 中对应临界量的比值Q。在不同厂区的同一种物质，按其在厂界内的最大存在总量计算。当只涉及一种危险物质时，计算该物质的总量与其临界量比值，即为Q：</w:t>
            </w:r>
          </w:p>
          <w:p>
            <w:pPr>
              <w:pStyle w:val="42"/>
              <w:spacing w:line="360" w:lineRule="auto"/>
              <w:ind w:firstLine="480"/>
              <w:jc w:val="both"/>
            </w:pPr>
            <w:r>
              <w:t>Q=q1/Q1+q2/Q2+...qn/Qn</w:t>
            </w:r>
          </w:p>
          <w:p>
            <w:pPr>
              <w:pStyle w:val="42"/>
              <w:spacing w:line="360" w:lineRule="auto"/>
              <w:ind w:firstLine="480"/>
              <w:jc w:val="both"/>
            </w:pPr>
            <w:r>
              <w:rPr>
                <w:lang w:val="zh-CN"/>
              </w:rPr>
              <w:t>式中</w:t>
            </w:r>
            <w:r>
              <w:t>：q1，q2，...，qn——</w:t>
            </w:r>
            <w:r>
              <w:rPr>
                <w:lang w:val="zh-CN"/>
              </w:rPr>
              <w:t>每种危险物质的最大存在总量</w:t>
            </w:r>
            <w:r>
              <w:t>，t；</w:t>
            </w:r>
          </w:p>
          <w:p>
            <w:pPr>
              <w:ind w:firstLine="480"/>
              <w:rPr>
                <w:lang w:val="zh-CN"/>
              </w:rPr>
            </w:pPr>
            <w:r>
              <w:rPr>
                <w:lang w:val="zh-CN"/>
              </w:rPr>
              <w:t>Q1，Q2，...，Qn——每种危险物质的临界量，t；</w:t>
            </w:r>
          </w:p>
          <w:p>
            <w:pPr>
              <w:ind w:firstLine="480"/>
              <w:rPr>
                <w:snapToGrid w:val="0"/>
                <w:kern w:val="0"/>
              </w:rPr>
            </w:pPr>
            <w:r>
              <w:t>经计算，本项目Q=0.</w:t>
            </w:r>
            <w:r>
              <w:rPr>
                <w:rFonts w:hint="eastAsia"/>
              </w:rPr>
              <w:t>000</w:t>
            </w:r>
            <w:r>
              <w:rPr>
                <w:rFonts w:hint="eastAsia"/>
                <w:lang w:val="en-US" w:eastAsia="zh-CN"/>
              </w:rPr>
              <w:t>12</w:t>
            </w:r>
            <w:r>
              <w:t>，Q＜1。</w:t>
            </w:r>
            <w:r>
              <w:rPr>
                <w:snapToGrid w:val="0"/>
                <w:kern w:val="0"/>
              </w:rPr>
              <w:t>环境风险潜势直接判定为Ⅰ，不需开展风险专项评价。</w:t>
            </w:r>
          </w:p>
          <w:p>
            <w:pPr>
              <w:pStyle w:val="40"/>
              <w:numPr>
                <w:ilvl w:val="3"/>
                <w:numId w:val="0"/>
              </w:numPr>
              <w:ind w:left="29" w:firstLine="481" w:firstLineChars="200"/>
            </w:pPr>
            <w:r>
              <w:rPr>
                <w:rFonts w:hint="eastAsia"/>
              </w:rPr>
              <w:t>2</w:t>
            </w:r>
            <w:r>
              <w:t>、</w:t>
            </w:r>
            <w:bookmarkEnd w:id="98"/>
            <w:bookmarkStart w:id="99" w:name="_Toc18460"/>
            <w:r>
              <w:t>环境风险识别</w:t>
            </w:r>
            <w:bookmarkEnd w:id="99"/>
          </w:p>
          <w:p>
            <w:pPr>
              <w:ind w:firstLine="480" w:firstLineChars="200"/>
            </w:pPr>
            <w:r>
              <w:t>本项目运营过程中的安全事故或其他的一些突发性事故会导致环境风险物质泄漏到环境中，引起环境质量的下降甚至恶性循环化以及其他的环境毒性效应。该项目风险源有：</w:t>
            </w:r>
          </w:p>
          <w:p>
            <w:pPr>
              <w:ind w:firstLine="480" w:firstLineChars="200"/>
              <w:rPr>
                <w:kern w:val="0"/>
              </w:rPr>
            </w:pPr>
            <w:r>
              <w:rPr>
                <w:kern w:val="0"/>
              </w:rPr>
              <w:t>废机油、废润滑油具有易燃特性，可能引发火灾。</w:t>
            </w:r>
          </w:p>
          <w:p>
            <w:pPr>
              <w:ind w:firstLine="480" w:firstLineChars="200"/>
            </w:pPr>
            <w:r>
              <w:rPr>
                <w:kern w:val="0"/>
              </w:rPr>
              <w:t>因此，本评价主要对项目营运期间可能存在的危险提出合理可行的防范措施</w:t>
            </w:r>
            <w:r>
              <w:t>。</w:t>
            </w:r>
          </w:p>
          <w:p>
            <w:pPr>
              <w:pStyle w:val="40"/>
              <w:numPr>
                <w:ilvl w:val="3"/>
                <w:numId w:val="0"/>
              </w:numPr>
              <w:ind w:left="29" w:firstLine="481" w:firstLineChars="200"/>
            </w:pPr>
            <w:bookmarkStart w:id="100" w:name="_Toc12044"/>
            <w:r>
              <w:rPr>
                <w:rFonts w:hint="eastAsia"/>
              </w:rPr>
              <w:t>3</w:t>
            </w:r>
            <w:r>
              <w:t>、环境风险分析</w:t>
            </w:r>
            <w:bookmarkEnd w:id="100"/>
          </w:p>
          <w:p>
            <w:pPr>
              <w:ind w:firstLine="480" w:firstLineChars="200"/>
            </w:pPr>
            <w:r>
              <w:rPr>
                <w:bCs/>
              </w:rPr>
              <w:t>本项目可能发生的突发环境事件有：废机油、废润滑油泄露污染环境或引发火灾</w:t>
            </w:r>
            <w:r>
              <w:t>。</w:t>
            </w:r>
          </w:p>
          <w:p>
            <w:pPr>
              <w:pStyle w:val="40"/>
              <w:numPr>
                <w:ilvl w:val="3"/>
                <w:numId w:val="0"/>
              </w:numPr>
              <w:ind w:left="29" w:firstLine="481" w:firstLineChars="200"/>
            </w:pPr>
            <w:bookmarkStart w:id="101" w:name="_Toc20225"/>
            <w:r>
              <w:rPr>
                <w:rFonts w:hint="eastAsia"/>
              </w:rPr>
              <w:t>4</w:t>
            </w:r>
            <w:r>
              <w:t>、环境风险防范措施及应急要求</w:t>
            </w:r>
            <w:bookmarkEnd w:id="101"/>
          </w:p>
          <w:p>
            <w:pPr>
              <w:ind w:firstLine="480" w:firstLineChars="200"/>
            </w:pPr>
            <w:r>
              <w:t>①强化风险意识、加强安全管理、厂内禁止烟火，严格按操作规程操作。</w:t>
            </w:r>
          </w:p>
          <w:p>
            <w:pPr>
              <w:ind w:firstLine="480" w:firstLineChars="200"/>
            </w:pPr>
            <w:r>
              <w:t>②危险废物妥善收集，作好防渗透处理，临时堆存时间不得过长，堆存量不得超过规定要求。</w:t>
            </w:r>
          </w:p>
          <w:p>
            <w:pPr>
              <w:ind w:firstLine="480" w:firstLineChars="200"/>
            </w:pPr>
            <w:r>
              <w:t>③设专人管理化学品，加强巡视检查，建立系统规范的评估、审批、作业、监护、救援、应急程序、事故报告等管理制度；按照安全生产规范使用和保存危险化学品，避免或减轻由安全事故引发的环境风险。</w:t>
            </w:r>
          </w:p>
          <w:p>
            <w:pPr>
              <w:ind w:firstLine="480" w:firstLineChars="200"/>
            </w:pPr>
            <w:r>
              <w:t>④对生产过程中产生的危险废物采用专桶收集。</w:t>
            </w:r>
          </w:p>
          <w:p>
            <w:pPr>
              <w:ind w:firstLine="480" w:firstLineChars="200"/>
              <w:rPr>
                <w:rFonts w:hint="eastAsia"/>
              </w:rPr>
            </w:pPr>
            <w:r>
              <w:t>⑤配备消防设备和消防器材，一切消防器材不准动乱用，并要定期检查。</w:t>
            </w:r>
            <w:bookmarkStart w:id="102" w:name="_Toc3588"/>
          </w:p>
          <w:p>
            <w:pPr>
              <w:pStyle w:val="40"/>
              <w:numPr>
                <w:ilvl w:val="3"/>
                <w:numId w:val="0"/>
              </w:numPr>
              <w:ind w:left="29" w:firstLine="481" w:firstLineChars="200"/>
            </w:pPr>
            <w:r>
              <w:rPr>
                <w:rFonts w:hint="eastAsia"/>
              </w:rPr>
              <w:t>5</w:t>
            </w:r>
            <w:r>
              <w:t>、分析结论</w:t>
            </w:r>
            <w:bookmarkEnd w:id="102"/>
          </w:p>
          <w:p>
            <w:pPr>
              <w:ind w:firstLine="480" w:firstLineChars="200"/>
            </w:pPr>
            <w:r>
              <w:t>根据分析，项目环境风险较低，只要加强管理，避免发生泄漏、火灾等意外，项目运营期环境风险影响较小且在可控范围之内。</w:t>
            </w:r>
          </w:p>
          <w:p>
            <w:pPr>
              <w:spacing w:line="440" w:lineRule="exact"/>
              <w:jc w:val="center"/>
              <w:rPr>
                <w:b/>
                <w:kern w:val="0"/>
                <w:sz w:val="21"/>
                <w:szCs w:val="21"/>
              </w:rPr>
            </w:pPr>
            <w:r>
              <w:rPr>
                <w:b/>
                <w:kern w:val="0"/>
                <w:sz w:val="21"/>
                <w:szCs w:val="21"/>
              </w:rPr>
              <w:t>表4-</w:t>
            </w:r>
            <w:r>
              <w:rPr>
                <w:rFonts w:hint="eastAsia"/>
                <w:b/>
                <w:kern w:val="0"/>
                <w:sz w:val="21"/>
                <w:szCs w:val="21"/>
              </w:rPr>
              <w:t>1</w:t>
            </w:r>
            <w:r>
              <w:rPr>
                <w:rFonts w:hint="eastAsia"/>
                <w:b/>
                <w:kern w:val="0"/>
                <w:sz w:val="21"/>
                <w:szCs w:val="21"/>
                <w:lang w:val="en-US" w:eastAsia="zh-CN"/>
              </w:rPr>
              <w:t>5</w:t>
            </w:r>
            <w:r>
              <w:rPr>
                <w:rFonts w:hint="eastAsia"/>
                <w:b/>
                <w:kern w:val="0"/>
                <w:sz w:val="21"/>
                <w:szCs w:val="21"/>
              </w:rPr>
              <w:t xml:space="preserve"> </w:t>
            </w:r>
            <w:r>
              <w:rPr>
                <w:b/>
                <w:kern w:val="0"/>
                <w:sz w:val="21"/>
                <w:szCs w:val="21"/>
              </w:rPr>
              <w:t xml:space="preserve"> 建设项目环境风险简单分析内容表</w:t>
            </w:r>
          </w:p>
          <w:tbl>
            <w:tblPr>
              <w:tblStyle w:val="22"/>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4"/>
              <w:gridCol w:w="5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85" w:type="pct"/>
                  <w:vAlign w:val="center"/>
                </w:tcPr>
                <w:p>
                  <w:pPr>
                    <w:spacing w:line="240" w:lineRule="auto"/>
                    <w:jc w:val="center"/>
                    <w:outlineLvl w:val="1"/>
                    <w:rPr>
                      <w:sz w:val="21"/>
                      <w:szCs w:val="21"/>
                    </w:rPr>
                  </w:pPr>
                  <w:r>
                    <w:rPr>
                      <w:sz w:val="21"/>
                      <w:szCs w:val="21"/>
                    </w:rPr>
                    <w:t>建设项目名称</w:t>
                  </w:r>
                </w:p>
              </w:tc>
              <w:tc>
                <w:tcPr>
                  <w:tcW w:w="3714" w:type="pct"/>
                  <w:vAlign w:val="center"/>
                </w:tcPr>
                <w:p>
                  <w:pPr>
                    <w:spacing w:line="240" w:lineRule="auto"/>
                    <w:jc w:val="center"/>
                    <w:outlineLvl w:val="1"/>
                    <w:rPr>
                      <w:sz w:val="21"/>
                      <w:szCs w:val="21"/>
                    </w:rPr>
                  </w:pPr>
                  <w:r>
                    <w:rPr>
                      <w:rFonts w:hint="eastAsia"/>
                      <w:sz w:val="21"/>
                      <w:szCs w:val="21"/>
                    </w:rPr>
                    <w:t>辰溪县广润砂石加工项目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285" w:type="pct"/>
                  <w:vAlign w:val="center"/>
                </w:tcPr>
                <w:p>
                  <w:pPr>
                    <w:spacing w:line="240" w:lineRule="auto"/>
                    <w:jc w:val="center"/>
                    <w:outlineLvl w:val="1"/>
                    <w:rPr>
                      <w:bCs/>
                      <w:sz w:val="21"/>
                      <w:szCs w:val="21"/>
                    </w:rPr>
                  </w:pPr>
                  <w:r>
                    <w:rPr>
                      <w:bCs/>
                      <w:sz w:val="21"/>
                      <w:szCs w:val="21"/>
                    </w:rPr>
                    <w:t>建设地点</w:t>
                  </w:r>
                </w:p>
              </w:tc>
              <w:tc>
                <w:tcPr>
                  <w:tcW w:w="3714" w:type="pct"/>
                  <w:vAlign w:val="center"/>
                </w:tcPr>
                <w:p>
                  <w:pPr>
                    <w:spacing w:line="240" w:lineRule="auto"/>
                    <w:jc w:val="center"/>
                    <w:outlineLvl w:val="1"/>
                    <w:rPr>
                      <w:sz w:val="21"/>
                      <w:szCs w:val="21"/>
                    </w:rPr>
                  </w:pPr>
                  <w:r>
                    <w:rPr>
                      <w:sz w:val="21"/>
                      <w:szCs w:val="21"/>
                    </w:rPr>
                    <w:t>湖南省</w:t>
                  </w:r>
                  <w:r>
                    <w:rPr>
                      <w:rFonts w:hint="eastAsia"/>
                      <w:sz w:val="21"/>
                      <w:szCs w:val="21"/>
                    </w:rPr>
                    <w:t>怀化市辰溪县火马冲镇沙堆村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285" w:type="pct"/>
                  <w:vAlign w:val="center"/>
                </w:tcPr>
                <w:p>
                  <w:pPr>
                    <w:spacing w:line="240" w:lineRule="auto"/>
                    <w:jc w:val="center"/>
                    <w:outlineLvl w:val="1"/>
                    <w:rPr>
                      <w:bCs/>
                      <w:sz w:val="21"/>
                      <w:szCs w:val="21"/>
                    </w:rPr>
                  </w:pPr>
                  <w:r>
                    <w:rPr>
                      <w:bCs/>
                      <w:sz w:val="21"/>
                      <w:szCs w:val="21"/>
                    </w:rPr>
                    <w:t>地理坐标</w:t>
                  </w:r>
                </w:p>
              </w:tc>
              <w:tc>
                <w:tcPr>
                  <w:tcW w:w="3714" w:type="pct"/>
                  <w:vAlign w:val="center"/>
                </w:tcPr>
                <w:p>
                  <w:pPr>
                    <w:spacing w:line="240" w:lineRule="auto"/>
                    <w:jc w:val="center"/>
                    <w:outlineLvl w:val="1"/>
                    <w:rPr>
                      <w:sz w:val="21"/>
                      <w:szCs w:val="21"/>
                    </w:rPr>
                  </w:pPr>
                  <w:r>
                    <w:rPr>
                      <w:sz w:val="21"/>
                      <w:szCs w:val="21"/>
                    </w:rPr>
                    <w:t>东经110°</w:t>
                  </w:r>
                  <w:r>
                    <w:rPr>
                      <w:rFonts w:hint="eastAsia"/>
                      <w:sz w:val="21"/>
                      <w:szCs w:val="21"/>
                    </w:rPr>
                    <w:t>15</w:t>
                  </w:r>
                  <w:r>
                    <w:rPr>
                      <w:sz w:val="21"/>
                      <w:szCs w:val="21"/>
                    </w:rPr>
                    <w:t>'</w:t>
                  </w:r>
                  <w:r>
                    <w:rPr>
                      <w:rFonts w:hint="eastAsia"/>
                      <w:sz w:val="21"/>
                      <w:szCs w:val="21"/>
                    </w:rPr>
                    <w:t>38.818</w:t>
                  </w:r>
                  <w:r>
                    <w:rPr>
                      <w:sz w:val="21"/>
                      <w:szCs w:val="21"/>
                    </w:rPr>
                    <w:t>"，北纬27°</w:t>
                  </w:r>
                  <w:r>
                    <w:rPr>
                      <w:rFonts w:hint="eastAsia"/>
                      <w:sz w:val="21"/>
                      <w:szCs w:val="21"/>
                    </w:rPr>
                    <w:t>54</w:t>
                  </w:r>
                  <w:r>
                    <w:rPr>
                      <w:sz w:val="21"/>
                      <w:szCs w:val="21"/>
                    </w:rPr>
                    <w:t>'</w:t>
                  </w:r>
                  <w:r>
                    <w:rPr>
                      <w:rFonts w:hint="eastAsia"/>
                      <w:sz w:val="21"/>
                      <w:szCs w:val="21"/>
                    </w:rPr>
                    <w:t>45.145</w:t>
                  </w: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285" w:type="pct"/>
                  <w:vAlign w:val="center"/>
                </w:tcPr>
                <w:p>
                  <w:pPr>
                    <w:spacing w:line="240" w:lineRule="auto"/>
                    <w:jc w:val="center"/>
                    <w:outlineLvl w:val="1"/>
                    <w:rPr>
                      <w:bCs/>
                      <w:sz w:val="21"/>
                      <w:szCs w:val="21"/>
                    </w:rPr>
                  </w:pPr>
                  <w:r>
                    <w:rPr>
                      <w:bCs/>
                      <w:sz w:val="21"/>
                      <w:szCs w:val="21"/>
                    </w:rPr>
                    <w:t>主要危险物质及分布</w:t>
                  </w:r>
                </w:p>
              </w:tc>
              <w:tc>
                <w:tcPr>
                  <w:tcW w:w="3714" w:type="pct"/>
                  <w:vAlign w:val="center"/>
                </w:tcPr>
                <w:p>
                  <w:pPr>
                    <w:spacing w:line="240" w:lineRule="auto"/>
                    <w:jc w:val="center"/>
                    <w:outlineLvl w:val="1"/>
                    <w:rPr>
                      <w:sz w:val="21"/>
                      <w:szCs w:val="21"/>
                    </w:rPr>
                  </w:pPr>
                  <w:r>
                    <w:rPr>
                      <w:sz w:val="21"/>
                      <w:szCs w:val="21"/>
                    </w:rPr>
                    <w:t>涉及的风险物质为</w:t>
                  </w:r>
                  <w:r>
                    <w:rPr>
                      <w:kern w:val="0"/>
                      <w:sz w:val="21"/>
                      <w:szCs w:val="21"/>
                    </w:rPr>
                    <w:t>废机油、废润滑油</w:t>
                  </w:r>
                  <w:r>
                    <w:rPr>
                      <w:rFonts w:hint="eastAsia"/>
                      <w:kern w:val="0"/>
                      <w:sz w:val="21"/>
                      <w:szCs w:val="21"/>
                      <w:lang w:eastAsia="zh-CN"/>
                    </w:rPr>
                    <w:t>、废含油抹布</w:t>
                  </w:r>
                  <w:r>
                    <w:rPr>
                      <w:sz w:val="21"/>
                      <w:szCs w:val="21"/>
                    </w:rPr>
                    <w:t>主要分布于储存间及生产区。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5" w:type="pct"/>
                  <w:vAlign w:val="center"/>
                </w:tcPr>
                <w:p>
                  <w:pPr>
                    <w:spacing w:line="240" w:lineRule="auto"/>
                    <w:jc w:val="center"/>
                    <w:outlineLvl w:val="1"/>
                    <w:rPr>
                      <w:bCs/>
                      <w:sz w:val="21"/>
                      <w:szCs w:val="21"/>
                    </w:rPr>
                  </w:pPr>
                  <w:r>
                    <w:rPr>
                      <w:bCs/>
                      <w:sz w:val="21"/>
                      <w:szCs w:val="21"/>
                    </w:rPr>
                    <w:t>环境影响途径及危害后果（大气、地表水、地下水等）</w:t>
                  </w:r>
                </w:p>
              </w:tc>
              <w:tc>
                <w:tcPr>
                  <w:tcW w:w="3714" w:type="pct"/>
                  <w:vAlign w:val="center"/>
                </w:tcPr>
                <w:p>
                  <w:pPr>
                    <w:spacing w:line="240" w:lineRule="auto"/>
                    <w:jc w:val="center"/>
                    <w:outlineLvl w:val="1"/>
                    <w:rPr>
                      <w:sz w:val="21"/>
                      <w:szCs w:val="21"/>
                    </w:rPr>
                  </w:pPr>
                  <w:r>
                    <w:rPr>
                      <w:sz w:val="21"/>
                      <w:szCs w:val="21"/>
                    </w:rPr>
                    <w:t>环境影响途径主要为大气及水环境；危害后果为如发生火灾将对大气产生一定得影响。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5" w:type="pct"/>
                  <w:vAlign w:val="center"/>
                </w:tcPr>
                <w:p>
                  <w:pPr>
                    <w:spacing w:line="240" w:lineRule="auto"/>
                    <w:jc w:val="center"/>
                    <w:outlineLvl w:val="1"/>
                    <w:rPr>
                      <w:bCs/>
                      <w:sz w:val="21"/>
                      <w:szCs w:val="21"/>
                    </w:rPr>
                  </w:pPr>
                  <w:r>
                    <w:rPr>
                      <w:bCs/>
                      <w:sz w:val="21"/>
                      <w:szCs w:val="21"/>
                    </w:rPr>
                    <w:t>风险防范措施要求</w:t>
                  </w:r>
                </w:p>
              </w:tc>
              <w:tc>
                <w:tcPr>
                  <w:tcW w:w="3714" w:type="pct"/>
                  <w:vAlign w:val="center"/>
                </w:tcPr>
                <w:p>
                  <w:pPr>
                    <w:spacing w:line="240" w:lineRule="auto"/>
                    <w:jc w:val="center"/>
                    <w:outlineLvl w:val="1"/>
                    <w:rPr>
                      <w:sz w:val="21"/>
                      <w:szCs w:val="21"/>
                    </w:rPr>
                  </w:pPr>
                  <w:r>
                    <w:rPr>
                      <w:sz w:val="21"/>
                      <w:szCs w:val="21"/>
                    </w:rPr>
                    <w:t>相关人员应认真巡视检查，配给应急风险物资，强化风险意识、加强安全管理，严格按操作规程操作。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2"/>
                  <w:vAlign w:val="center"/>
                </w:tcPr>
                <w:p>
                  <w:pPr>
                    <w:spacing w:line="240" w:lineRule="auto"/>
                    <w:outlineLvl w:val="1"/>
                    <w:rPr>
                      <w:sz w:val="21"/>
                      <w:szCs w:val="21"/>
                    </w:rPr>
                  </w:pPr>
                  <w:r>
                    <w:rPr>
                      <w:sz w:val="21"/>
                      <w:szCs w:val="21"/>
                    </w:rPr>
                    <w:t>填表说明（列出项目相关信息及评价说明）：</w:t>
                  </w:r>
                </w:p>
                <w:p>
                  <w:pPr>
                    <w:spacing w:line="240" w:lineRule="auto"/>
                    <w:outlineLvl w:val="1"/>
                    <w:rPr>
                      <w:bCs/>
                      <w:color w:val="0000FF"/>
                      <w:sz w:val="21"/>
                      <w:szCs w:val="21"/>
                    </w:rPr>
                  </w:pPr>
                  <w:r>
                    <w:rPr>
                      <w:sz w:val="21"/>
                      <w:szCs w:val="21"/>
                    </w:rPr>
                    <w:t>项目环境风险潜势为 I，在采取一定的防范措施后，其生产对外界的风险影响较小，可满足环境风险的要求。</w:t>
                  </w:r>
                </w:p>
              </w:tc>
            </w:tr>
          </w:tbl>
          <w:p>
            <w:pPr>
              <w:pStyle w:val="30"/>
              <w:numPr>
                <w:ilvl w:val="1"/>
                <w:numId w:val="0"/>
              </w:numPr>
              <w:ind w:firstLine="481" w:firstLineChars="200"/>
            </w:pPr>
            <w:bookmarkStart w:id="103" w:name="_Toc23756"/>
            <w:bookmarkStart w:id="104" w:name="_Toc68160400"/>
            <w:r>
              <w:t>4.2.</w:t>
            </w:r>
            <w:r>
              <w:rPr>
                <w:rFonts w:hint="eastAsia"/>
              </w:rPr>
              <w:t>8环境管理</w:t>
            </w:r>
          </w:p>
          <w:p>
            <w:pPr>
              <w:ind w:firstLine="480"/>
            </w:pPr>
            <w:r>
              <w:t>本项目环境管理的具体内容如下：</w:t>
            </w:r>
          </w:p>
          <w:p>
            <w:pPr>
              <w:ind w:firstLine="480"/>
            </w:pPr>
            <w:r>
              <w:t>（1）组织编制企业环境管理条例及日常监测计划。实施有效的质量控制，贯彻落实国家和地方的环境保护法律、法规、政策和标准，直接接受环保主管部门的监督、领导，配合环境保护主管部门作好环保工作。</w:t>
            </w:r>
          </w:p>
          <w:p>
            <w:pPr>
              <w:ind w:firstLine="480"/>
            </w:pPr>
            <w:r>
              <w:t>（2）加强运行期生产管理，严格实行岗位责任制。定期进行环保设备检查、维修和保养工作，确保环保设施长期、稳定、达标运转，杜绝事故性排放的发生。</w:t>
            </w:r>
          </w:p>
          <w:p>
            <w:pPr>
              <w:ind w:firstLine="480"/>
            </w:pPr>
            <w:r>
              <w:t>（3）建设规范化排污口</w:t>
            </w:r>
          </w:p>
          <w:p>
            <w:pPr>
              <w:widowControl/>
              <w:ind w:firstLine="480" w:firstLineChars="200"/>
              <w:jc w:val="left"/>
            </w:pPr>
            <w:r>
              <w:t>依据国家标准《环境保护图形标志—排放口（源）》</w:t>
            </w:r>
            <w:r>
              <w:rPr>
                <w:rFonts w:hint="eastAsia"/>
              </w:rPr>
              <w:t>、</w:t>
            </w:r>
            <w:r>
              <w:rPr>
                <w:lang w:bidi="ar"/>
              </w:rPr>
              <w:t>《环境保护图形标志—固体废物贮存（处置）场》（GB 15562.2-1995）修改单</w:t>
            </w:r>
            <w:r>
              <w:rPr>
                <w:rFonts w:hint="eastAsia"/>
                <w:lang w:bidi="ar"/>
              </w:rPr>
              <w:t>（公告2023年第5号）</w:t>
            </w:r>
            <w:r>
              <w:t>和国家环保局《排污口规范化整治技术要求（试行）》的技术要求，所有排污口，必须按照“便于采样、便于计量监测、便于日常现场监督检查”的原则和规范化要求，设置与之相适应的环境保护图形标志牌，绘制企业排污口分布图。排污口的规范化要求如下：</w:t>
            </w:r>
          </w:p>
          <w:p>
            <w:pPr>
              <w:ind w:firstLine="480"/>
            </w:pPr>
            <w:r>
              <w:t>①废水排放口</w:t>
            </w:r>
          </w:p>
          <w:p>
            <w:pPr>
              <w:ind w:firstLine="480"/>
            </w:pPr>
            <w:r>
              <w:t>废水排污口原则上只设一个，排污口位置根据实际地形位置和污染物的种类情况确定；本项目</w:t>
            </w:r>
            <w:r>
              <w:rPr>
                <w:rFonts w:hint="default" w:ascii="Times New Roman" w:hAnsi="Times New Roman" w:eastAsia="宋体" w:cs="Times New Roman"/>
                <w:lang w:eastAsia="zh-CN"/>
              </w:rPr>
              <w:t>无废水排放口</w:t>
            </w:r>
            <w:r>
              <w:t>。</w:t>
            </w:r>
          </w:p>
          <w:p>
            <w:pPr>
              <w:ind w:firstLine="480"/>
            </w:pPr>
            <w:r>
              <w:t>②固定噪声排放源</w:t>
            </w:r>
          </w:p>
          <w:p>
            <w:pPr>
              <w:ind w:firstLine="480"/>
            </w:pPr>
            <w:r>
              <w:t>按规定对固定噪声源进行治理，并在边界噪声敏感点且对外界影响最大处设置标志牌。</w:t>
            </w:r>
          </w:p>
          <w:p>
            <w:pPr>
              <w:ind w:firstLine="480"/>
            </w:pPr>
            <w:r>
              <w:t>③固体废弃物贮存（处置）场</w:t>
            </w:r>
          </w:p>
          <w:p>
            <w:pPr>
              <w:ind w:firstLine="480"/>
            </w:pPr>
            <w:r>
              <w:t>固体废物如一般固废、危险固废、生活垃圾等应统一收集堆放。</w:t>
            </w:r>
          </w:p>
          <w:p>
            <w:pPr>
              <w:ind w:firstLine="480"/>
            </w:pPr>
            <w:r>
              <w:t>④设置标志牌要求</w:t>
            </w:r>
          </w:p>
          <w:p>
            <w:pPr>
              <w:ind w:firstLine="480"/>
            </w:pPr>
            <w:r>
              <w:t>按照环境保护标志牌有关要求，企业自行制作好相关标识牌，设置提示性标志牌，排放有毒有害等污染物的排污口设置警告性标志牌。提示性标志牌和警告性标志牌样图如下表：</w:t>
            </w:r>
          </w:p>
          <w:p>
            <w:pPr>
              <w:spacing w:line="240" w:lineRule="auto"/>
              <w:ind w:firstLine="422"/>
              <w:jc w:val="center"/>
              <w:rPr>
                <w:b/>
                <w:sz w:val="21"/>
                <w:szCs w:val="21"/>
              </w:rPr>
            </w:pPr>
            <w:r>
              <w:rPr>
                <w:b/>
                <w:sz w:val="21"/>
                <w:szCs w:val="21"/>
              </w:rPr>
              <w:t>表4-1</w:t>
            </w:r>
            <w:r>
              <w:rPr>
                <w:rFonts w:hint="eastAsia"/>
                <w:b/>
                <w:sz w:val="21"/>
                <w:szCs w:val="21"/>
                <w:lang w:val="en-US" w:eastAsia="zh-CN"/>
              </w:rPr>
              <w:t>6</w:t>
            </w:r>
            <w:r>
              <w:rPr>
                <w:b/>
                <w:sz w:val="21"/>
                <w:szCs w:val="21"/>
              </w:rPr>
              <w:t xml:space="preserve"> 提示性标志牌和警告性标志牌说明表</w:t>
            </w:r>
          </w:p>
          <w:tbl>
            <w:tblPr>
              <w:tblStyle w:val="22"/>
              <w:tblW w:w="4999" w:type="pct"/>
              <w:tblInd w:w="-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2384"/>
              <w:gridCol w:w="2384"/>
              <w:gridCol w:w="2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vAlign w:val="center"/>
                </w:tcPr>
                <w:p>
                  <w:pPr>
                    <w:spacing w:line="240" w:lineRule="auto"/>
                    <w:jc w:val="center"/>
                    <w:rPr>
                      <w:b/>
                      <w:bCs/>
                      <w:sz w:val="21"/>
                      <w:szCs w:val="21"/>
                    </w:rPr>
                  </w:pPr>
                  <w:r>
                    <w:rPr>
                      <w:b/>
                      <w:bCs/>
                      <w:sz w:val="21"/>
                      <w:szCs w:val="21"/>
                    </w:rPr>
                    <w:t>排放口</w:t>
                  </w:r>
                </w:p>
              </w:tc>
              <w:tc>
                <w:tcPr>
                  <w:tcW w:w="1527" w:type="pct"/>
                  <w:vAlign w:val="center"/>
                </w:tcPr>
                <w:p>
                  <w:pPr>
                    <w:spacing w:line="240" w:lineRule="auto"/>
                    <w:jc w:val="center"/>
                    <w:rPr>
                      <w:b/>
                      <w:bCs/>
                      <w:sz w:val="21"/>
                      <w:szCs w:val="21"/>
                    </w:rPr>
                  </w:pPr>
                  <w:r>
                    <w:rPr>
                      <w:b/>
                      <w:bCs/>
                      <w:sz w:val="21"/>
                      <w:szCs w:val="21"/>
                    </w:rPr>
                    <w:t>噪声源</w:t>
                  </w:r>
                </w:p>
              </w:tc>
              <w:tc>
                <w:tcPr>
                  <w:tcW w:w="1527" w:type="pct"/>
                  <w:vAlign w:val="center"/>
                </w:tcPr>
                <w:p>
                  <w:pPr>
                    <w:spacing w:line="240" w:lineRule="auto"/>
                    <w:jc w:val="center"/>
                    <w:rPr>
                      <w:b/>
                      <w:bCs/>
                      <w:sz w:val="21"/>
                      <w:szCs w:val="21"/>
                    </w:rPr>
                  </w:pPr>
                  <w:r>
                    <w:rPr>
                      <w:b/>
                      <w:bCs/>
                      <w:sz w:val="21"/>
                      <w:szCs w:val="21"/>
                    </w:rPr>
                    <w:t>固体废物堆场</w:t>
                  </w:r>
                </w:p>
              </w:tc>
              <w:tc>
                <w:tcPr>
                  <w:tcW w:w="1531" w:type="pct"/>
                  <w:vAlign w:val="center"/>
                </w:tcPr>
                <w:p>
                  <w:pPr>
                    <w:spacing w:line="240" w:lineRule="auto"/>
                    <w:jc w:val="center"/>
                    <w:rPr>
                      <w:b/>
                      <w:bCs/>
                      <w:sz w:val="21"/>
                      <w:szCs w:val="21"/>
                    </w:rPr>
                  </w:pPr>
                  <w:r>
                    <w:rPr>
                      <w:b/>
                      <w:bCs/>
                      <w:sz w:val="21"/>
                      <w:szCs w:val="21"/>
                    </w:rPr>
                    <w:t>危险废物暂存间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8" w:hRule="atLeast"/>
              </w:trPr>
              <w:tc>
                <w:tcPr>
                  <w:tcW w:w="413" w:type="pct"/>
                  <w:vAlign w:val="center"/>
                </w:tcPr>
                <w:p>
                  <w:pPr>
                    <w:spacing w:line="240" w:lineRule="auto"/>
                    <w:jc w:val="center"/>
                    <w:rPr>
                      <w:sz w:val="21"/>
                      <w:szCs w:val="21"/>
                    </w:rPr>
                  </w:pPr>
                  <w:r>
                    <w:rPr>
                      <w:sz w:val="21"/>
                      <w:szCs w:val="21"/>
                    </w:rPr>
                    <w:t>提示图形符号</w:t>
                  </w:r>
                </w:p>
              </w:tc>
              <w:tc>
                <w:tcPr>
                  <w:tcW w:w="1527" w:type="pct"/>
                  <w:vAlign w:val="center"/>
                </w:tcPr>
                <w:p>
                  <w:pPr>
                    <w:spacing w:line="240" w:lineRule="auto"/>
                    <w:jc w:val="center"/>
                    <w:rPr>
                      <w:sz w:val="21"/>
                      <w:szCs w:val="21"/>
                    </w:rPr>
                  </w:pPr>
                  <w:r>
                    <w:rPr>
                      <w:sz w:val="21"/>
                      <w:szCs w:val="21"/>
                    </w:rPr>
                    <w:drawing>
                      <wp:inline distT="0" distB="0" distL="114300" distR="114300">
                        <wp:extent cx="843280" cy="819150"/>
                        <wp:effectExtent l="0" t="0" r="1397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5"/>
                                <a:stretch>
                                  <a:fillRect/>
                                </a:stretch>
                              </pic:blipFill>
                              <pic:spPr>
                                <a:xfrm>
                                  <a:off x="0" y="0"/>
                                  <a:ext cx="843280" cy="819150"/>
                                </a:xfrm>
                                <a:prstGeom prst="rect">
                                  <a:avLst/>
                                </a:prstGeom>
                                <a:noFill/>
                                <a:ln>
                                  <a:noFill/>
                                </a:ln>
                              </pic:spPr>
                            </pic:pic>
                          </a:graphicData>
                        </a:graphic>
                      </wp:inline>
                    </w:drawing>
                  </w:r>
                </w:p>
              </w:tc>
              <w:tc>
                <w:tcPr>
                  <w:tcW w:w="1527" w:type="pct"/>
                  <w:vAlign w:val="center"/>
                </w:tcPr>
                <w:p>
                  <w:pPr>
                    <w:spacing w:line="240" w:lineRule="auto"/>
                    <w:jc w:val="center"/>
                    <w:rPr>
                      <w:sz w:val="21"/>
                      <w:szCs w:val="21"/>
                    </w:rPr>
                  </w:pPr>
                  <w:r>
                    <w:rPr>
                      <w:sz w:val="21"/>
                      <w:szCs w:val="21"/>
                    </w:rPr>
                    <w:drawing>
                      <wp:inline distT="0" distB="0" distL="114300" distR="114300">
                        <wp:extent cx="843280" cy="831215"/>
                        <wp:effectExtent l="0" t="0" r="13970" b="698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6"/>
                                <a:stretch>
                                  <a:fillRect/>
                                </a:stretch>
                              </pic:blipFill>
                              <pic:spPr>
                                <a:xfrm>
                                  <a:off x="0" y="0"/>
                                  <a:ext cx="843280" cy="831215"/>
                                </a:xfrm>
                                <a:prstGeom prst="rect">
                                  <a:avLst/>
                                </a:prstGeom>
                                <a:noFill/>
                                <a:ln>
                                  <a:noFill/>
                                </a:ln>
                              </pic:spPr>
                            </pic:pic>
                          </a:graphicData>
                        </a:graphic>
                      </wp:inline>
                    </w:drawing>
                  </w:r>
                </w:p>
              </w:tc>
              <w:tc>
                <w:tcPr>
                  <w:tcW w:w="1531" w:type="pct"/>
                  <w:vMerge w:val="restart"/>
                  <w:vAlign w:val="center"/>
                </w:tcPr>
                <w:p>
                  <w:pPr>
                    <w:spacing w:line="240" w:lineRule="auto"/>
                    <w:rPr>
                      <w:sz w:val="21"/>
                      <w:szCs w:val="21"/>
                    </w:rPr>
                  </w:pPr>
                  <w:r>
                    <w:rPr>
                      <w:sz w:val="21"/>
                      <w:szCs w:val="21"/>
                    </w:rPr>
                    <w:drawing>
                      <wp:inline distT="0" distB="0" distL="114300" distR="114300">
                        <wp:extent cx="1358265" cy="905510"/>
                        <wp:effectExtent l="0" t="0" r="13335" b="889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27"/>
                                <a:stretch>
                                  <a:fillRect/>
                                </a:stretch>
                              </pic:blipFill>
                              <pic:spPr>
                                <a:xfrm>
                                  <a:off x="0" y="0"/>
                                  <a:ext cx="1358265" cy="905510"/>
                                </a:xfrm>
                                <a:prstGeom prst="rect">
                                  <a:avLst/>
                                </a:prstGeom>
                                <a:noFill/>
                                <a:ln>
                                  <a:noFill/>
                                </a:ln>
                              </pic:spPr>
                            </pic:pic>
                          </a:graphicData>
                        </a:graphic>
                      </wp:inline>
                    </w:drawing>
                  </w:r>
                </w:p>
                <w:p>
                  <w:pPr>
                    <w:spacing w:line="240" w:lineRule="auto"/>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vAlign w:val="center"/>
                </w:tcPr>
                <w:p>
                  <w:pPr>
                    <w:spacing w:line="240" w:lineRule="auto"/>
                    <w:jc w:val="center"/>
                    <w:rPr>
                      <w:sz w:val="21"/>
                      <w:szCs w:val="21"/>
                    </w:rPr>
                  </w:pPr>
                  <w:r>
                    <w:rPr>
                      <w:sz w:val="21"/>
                      <w:szCs w:val="21"/>
                    </w:rPr>
                    <w:t>警告图形标志</w:t>
                  </w:r>
                </w:p>
              </w:tc>
              <w:tc>
                <w:tcPr>
                  <w:tcW w:w="1527" w:type="pct"/>
                  <w:vAlign w:val="center"/>
                </w:tcPr>
                <w:p>
                  <w:pPr>
                    <w:spacing w:line="240" w:lineRule="auto"/>
                    <w:jc w:val="center"/>
                    <w:rPr>
                      <w:sz w:val="21"/>
                      <w:szCs w:val="21"/>
                    </w:rPr>
                  </w:pPr>
                  <w:r>
                    <w:rPr>
                      <w:sz w:val="21"/>
                      <w:szCs w:val="21"/>
                    </w:rPr>
                    <w:drawing>
                      <wp:inline distT="0" distB="0" distL="114300" distR="114300">
                        <wp:extent cx="807720" cy="748030"/>
                        <wp:effectExtent l="0" t="0" r="11430" b="1397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8"/>
                                <a:stretch>
                                  <a:fillRect/>
                                </a:stretch>
                              </pic:blipFill>
                              <pic:spPr>
                                <a:xfrm>
                                  <a:off x="0" y="0"/>
                                  <a:ext cx="807720" cy="748030"/>
                                </a:xfrm>
                                <a:prstGeom prst="rect">
                                  <a:avLst/>
                                </a:prstGeom>
                                <a:noFill/>
                                <a:ln>
                                  <a:noFill/>
                                </a:ln>
                              </pic:spPr>
                            </pic:pic>
                          </a:graphicData>
                        </a:graphic>
                      </wp:inline>
                    </w:drawing>
                  </w:r>
                </w:p>
              </w:tc>
              <w:tc>
                <w:tcPr>
                  <w:tcW w:w="1527" w:type="pct"/>
                  <w:vAlign w:val="center"/>
                </w:tcPr>
                <w:p>
                  <w:pPr>
                    <w:spacing w:line="240" w:lineRule="auto"/>
                    <w:jc w:val="center"/>
                    <w:rPr>
                      <w:sz w:val="21"/>
                      <w:szCs w:val="21"/>
                    </w:rPr>
                  </w:pPr>
                  <w:r>
                    <w:rPr>
                      <w:sz w:val="21"/>
                      <w:szCs w:val="21"/>
                    </w:rPr>
                    <w:drawing>
                      <wp:inline distT="0" distB="0" distL="114300" distR="114300">
                        <wp:extent cx="795020" cy="748030"/>
                        <wp:effectExtent l="0" t="0" r="5080" b="1397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9"/>
                                <a:stretch>
                                  <a:fillRect/>
                                </a:stretch>
                              </pic:blipFill>
                              <pic:spPr>
                                <a:xfrm>
                                  <a:off x="0" y="0"/>
                                  <a:ext cx="795020" cy="748030"/>
                                </a:xfrm>
                                <a:prstGeom prst="rect">
                                  <a:avLst/>
                                </a:prstGeom>
                                <a:noFill/>
                                <a:ln>
                                  <a:noFill/>
                                </a:ln>
                              </pic:spPr>
                            </pic:pic>
                          </a:graphicData>
                        </a:graphic>
                      </wp:inline>
                    </w:drawing>
                  </w:r>
                </w:p>
              </w:tc>
              <w:tc>
                <w:tcPr>
                  <w:tcW w:w="1531" w:type="pct"/>
                  <w:vMerge w:val="continue"/>
                  <w:vAlign w:val="center"/>
                </w:tcPr>
                <w:p>
                  <w:pPr>
                    <w:spacing w:line="240" w:lineRule="auto"/>
                    <w:jc w:val="center"/>
                    <w:rPr>
                      <w:sz w:val="21"/>
                      <w:szCs w:val="21"/>
                    </w:rPr>
                  </w:pPr>
                </w:p>
              </w:tc>
            </w:tr>
          </w:tbl>
          <w:p>
            <w:pPr>
              <w:pStyle w:val="52"/>
              <w:rPr>
                <w:kern w:val="0"/>
                <w:sz w:val="24"/>
              </w:rPr>
            </w:pPr>
            <w:r>
              <w:rPr>
                <w:kern w:val="0"/>
                <w:szCs w:val="21"/>
              </w:rPr>
              <w:t>表4-1</w:t>
            </w:r>
            <w:r>
              <w:rPr>
                <w:rFonts w:hint="eastAsia"/>
                <w:kern w:val="0"/>
                <w:szCs w:val="21"/>
                <w:lang w:val="en-US" w:eastAsia="zh-CN"/>
              </w:rPr>
              <w:t>7</w:t>
            </w:r>
            <w:r>
              <w:rPr>
                <w:kern w:val="0"/>
                <w:szCs w:val="21"/>
              </w:rPr>
              <w:t xml:space="preserve"> 标志形状及颜色</w:t>
            </w:r>
          </w:p>
          <w:tbl>
            <w:tblPr>
              <w:tblStyle w:val="22"/>
              <w:tblW w:w="0" w:type="auto"/>
              <w:tblInd w:w="-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9"/>
              <w:gridCol w:w="2130"/>
              <w:gridCol w:w="2130"/>
              <w:gridCol w:w="21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129" w:type="dxa"/>
                  <w:vAlign w:val="center"/>
                </w:tcPr>
                <w:p>
                  <w:pPr>
                    <w:spacing w:line="240" w:lineRule="auto"/>
                    <w:jc w:val="center"/>
                    <w:rPr>
                      <w:b/>
                      <w:bCs/>
                      <w:sz w:val="21"/>
                      <w:szCs w:val="21"/>
                    </w:rPr>
                  </w:pPr>
                  <w:r>
                    <w:rPr>
                      <w:b/>
                      <w:bCs/>
                      <w:sz w:val="21"/>
                      <w:szCs w:val="21"/>
                    </w:rPr>
                    <w:t>标志类型</w:t>
                  </w:r>
                </w:p>
              </w:tc>
              <w:tc>
                <w:tcPr>
                  <w:tcW w:w="2130" w:type="dxa"/>
                  <w:vAlign w:val="center"/>
                </w:tcPr>
                <w:p>
                  <w:pPr>
                    <w:spacing w:line="240" w:lineRule="auto"/>
                    <w:jc w:val="center"/>
                    <w:rPr>
                      <w:b/>
                      <w:bCs/>
                      <w:sz w:val="21"/>
                      <w:szCs w:val="21"/>
                    </w:rPr>
                  </w:pPr>
                  <w:r>
                    <w:rPr>
                      <w:b/>
                      <w:bCs/>
                      <w:sz w:val="21"/>
                      <w:szCs w:val="21"/>
                    </w:rPr>
                    <w:t>形状</w:t>
                  </w:r>
                </w:p>
              </w:tc>
              <w:tc>
                <w:tcPr>
                  <w:tcW w:w="2130" w:type="dxa"/>
                  <w:vAlign w:val="center"/>
                </w:tcPr>
                <w:p>
                  <w:pPr>
                    <w:spacing w:line="240" w:lineRule="auto"/>
                    <w:jc w:val="center"/>
                    <w:rPr>
                      <w:b/>
                      <w:bCs/>
                      <w:sz w:val="21"/>
                      <w:szCs w:val="21"/>
                    </w:rPr>
                  </w:pPr>
                  <w:r>
                    <w:rPr>
                      <w:b/>
                      <w:bCs/>
                      <w:sz w:val="21"/>
                      <w:szCs w:val="21"/>
                    </w:rPr>
                    <w:t>背景颜色</w:t>
                  </w:r>
                </w:p>
              </w:tc>
              <w:tc>
                <w:tcPr>
                  <w:tcW w:w="2132" w:type="dxa"/>
                  <w:vAlign w:val="center"/>
                </w:tcPr>
                <w:p>
                  <w:pPr>
                    <w:spacing w:line="240" w:lineRule="auto"/>
                    <w:jc w:val="center"/>
                    <w:rPr>
                      <w:b/>
                      <w:bCs/>
                      <w:sz w:val="21"/>
                      <w:szCs w:val="21"/>
                    </w:rPr>
                  </w:pPr>
                  <w:r>
                    <w:rPr>
                      <w:b/>
                      <w:bCs/>
                      <w:sz w:val="21"/>
                      <w:szCs w:val="21"/>
                    </w:rPr>
                    <w:t>图形颜色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129" w:type="dxa"/>
                  <w:vAlign w:val="center"/>
                </w:tcPr>
                <w:p>
                  <w:pPr>
                    <w:spacing w:line="240" w:lineRule="auto"/>
                    <w:jc w:val="center"/>
                    <w:rPr>
                      <w:sz w:val="21"/>
                      <w:szCs w:val="21"/>
                    </w:rPr>
                  </w:pPr>
                  <w:r>
                    <w:rPr>
                      <w:sz w:val="21"/>
                      <w:szCs w:val="21"/>
                    </w:rPr>
                    <w:t>警告</w:t>
                  </w:r>
                </w:p>
              </w:tc>
              <w:tc>
                <w:tcPr>
                  <w:tcW w:w="2130" w:type="dxa"/>
                  <w:vAlign w:val="center"/>
                </w:tcPr>
                <w:p>
                  <w:pPr>
                    <w:spacing w:line="240" w:lineRule="auto"/>
                    <w:jc w:val="center"/>
                    <w:rPr>
                      <w:sz w:val="21"/>
                      <w:szCs w:val="21"/>
                    </w:rPr>
                  </w:pPr>
                  <w:r>
                    <w:rPr>
                      <w:sz w:val="21"/>
                      <w:szCs w:val="21"/>
                    </w:rPr>
                    <w:t>三角形边框</w:t>
                  </w:r>
                </w:p>
              </w:tc>
              <w:tc>
                <w:tcPr>
                  <w:tcW w:w="2130" w:type="dxa"/>
                  <w:vAlign w:val="center"/>
                </w:tcPr>
                <w:p>
                  <w:pPr>
                    <w:spacing w:line="240" w:lineRule="auto"/>
                    <w:jc w:val="center"/>
                    <w:rPr>
                      <w:sz w:val="21"/>
                      <w:szCs w:val="21"/>
                    </w:rPr>
                  </w:pPr>
                  <w:r>
                    <w:rPr>
                      <w:sz w:val="21"/>
                      <w:szCs w:val="21"/>
                    </w:rPr>
                    <w:t>黄色</w:t>
                  </w:r>
                </w:p>
              </w:tc>
              <w:tc>
                <w:tcPr>
                  <w:tcW w:w="2132" w:type="dxa"/>
                  <w:vAlign w:val="center"/>
                </w:tcPr>
                <w:p>
                  <w:pPr>
                    <w:spacing w:line="240" w:lineRule="auto"/>
                    <w:jc w:val="center"/>
                    <w:rPr>
                      <w:sz w:val="21"/>
                      <w:szCs w:val="21"/>
                    </w:rPr>
                  </w:pPr>
                  <w:r>
                    <w:rPr>
                      <w:sz w:val="21"/>
                      <w:szCs w:val="21"/>
                    </w:rPr>
                    <w:t>黑色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2129" w:type="dxa"/>
                  <w:vAlign w:val="center"/>
                </w:tcPr>
                <w:p>
                  <w:pPr>
                    <w:spacing w:line="240" w:lineRule="auto"/>
                    <w:jc w:val="center"/>
                    <w:rPr>
                      <w:sz w:val="21"/>
                      <w:szCs w:val="21"/>
                    </w:rPr>
                  </w:pPr>
                  <w:r>
                    <w:rPr>
                      <w:sz w:val="21"/>
                      <w:szCs w:val="21"/>
                    </w:rPr>
                    <w:t>提示标志</w:t>
                  </w:r>
                </w:p>
              </w:tc>
              <w:tc>
                <w:tcPr>
                  <w:tcW w:w="2130" w:type="dxa"/>
                  <w:vAlign w:val="center"/>
                </w:tcPr>
                <w:p>
                  <w:pPr>
                    <w:spacing w:line="240" w:lineRule="auto"/>
                    <w:jc w:val="center"/>
                    <w:rPr>
                      <w:sz w:val="21"/>
                      <w:szCs w:val="21"/>
                    </w:rPr>
                  </w:pPr>
                  <w:r>
                    <w:rPr>
                      <w:sz w:val="21"/>
                      <w:szCs w:val="21"/>
                    </w:rPr>
                    <w:t>正方形边框</w:t>
                  </w:r>
                </w:p>
              </w:tc>
              <w:tc>
                <w:tcPr>
                  <w:tcW w:w="2130" w:type="dxa"/>
                  <w:vAlign w:val="center"/>
                </w:tcPr>
                <w:p>
                  <w:pPr>
                    <w:spacing w:line="240" w:lineRule="auto"/>
                    <w:jc w:val="center"/>
                    <w:rPr>
                      <w:sz w:val="21"/>
                      <w:szCs w:val="21"/>
                    </w:rPr>
                  </w:pPr>
                  <w:r>
                    <w:rPr>
                      <w:sz w:val="21"/>
                      <w:szCs w:val="21"/>
                    </w:rPr>
                    <w:t>绿化</w:t>
                  </w:r>
                </w:p>
              </w:tc>
              <w:tc>
                <w:tcPr>
                  <w:tcW w:w="2132" w:type="dxa"/>
                  <w:vAlign w:val="center"/>
                </w:tcPr>
                <w:p>
                  <w:pPr>
                    <w:spacing w:line="240" w:lineRule="auto"/>
                    <w:jc w:val="center"/>
                    <w:rPr>
                      <w:sz w:val="21"/>
                      <w:szCs w:val="21"/>
                    </w:rPr>
                  </w:pPr>
                  <w:r>
                    <w:rPr>
                      <w:sz w:val="21"/>
                      <w:szCs w:val="21"/>
                    </w:rPr>
                    <w:t>白色</w:t>
                  </w:r>
                </w:p>
              </w:tc>
            </w:tr>
          </w:tbl>
          <w:p>
            <w:pPr>
              <w:ind w:firstLine="480"/>
            </w:pPr>
            <w:r>
              <w:t>标志牌设置位置在排污口（采样点）附近且醒目处，高度为标志牌上缘离地面2米。排污口附近1米范围内有建筑物的，设平面式标志牌，无建筑物的设立式标志牌。</w:t>
            </w:r>
          </w:p>
          <w:p>
            <w:pPr>
              <w:ind w:firstLine="480"/>
            </w:pPr>
            <w:r>
              <w:t>⑤排污口建档要求</w:t>
            </w:r>
          </w:p>
          <w:p>
            <w:pPr>
              <w:ind w:firstLine="480"/>
            </w:pPr>
            <w:r>
              <w:t>要求使用生态环境部统一印刷的《中华人民共和国规范化排污口标志登记证》，并按要求填写有关内容；根据排污口管理档案内容要求，项目建成后，应将主要污染物种类、数量、浓度、排放去向、达标情况及设施运行情况纪录于档案。</w:t>
            </w:r>
          </w:p>
          <w:p>
            <w:pPr>
              <w:ind w:firstLine="480"/>
            </w:pPr>
            <w:r>
              <w:t>（4）负责项目环境保护竣工验收工作。</w:t>
            </w:r>
          </w:p>
          <w:p>
            <w:pPr>
              <w:ind w:firstLine="480"/>
            </w:pPr>
            <w:r>
              <w:t>按照《建设项目竣工环境保护验收暂行办法》（国环规环评[2017]4号）要求组织本项目竣工环境保护验收工作，验收合格方可投入生产；本工程应建立以企业总经理领导，专职环保职能科室负责企业的环境档案管理，制定各项环保计划并监督实施，对厂区排污实行全程控制的监管，确保环保计划的实施和各项污染物的达标排放。</w:t>
            </w:r>
          </w:p>
          <w:p>
            <w:pPr>
              <w:ind w:firstLine="480"/>
            </w:pPr>
            <w:r>
              <w:t>（5）建立环境管理台账</w:t>
            </w:r>
          </w:p>
          <w:p>
            <w:pPr>
              <w:ind w:firstLine="480"/>
            </w:pPr>
            <w:r>
              <w:t>环境管理台账，指排污单位根据排污许可证的规定，对自行监测、落实各项环境管理要求等行为的具体记录。</w:t>
            </w:r>
          </w:p>
          <w:p>
            <w:pPr>
              <w:ind w:firstLine="480"/>
            </w:pPr>
            <w:r>
              <w:t>排污单位应建立环境管理台账记录制度，设置专职人员进行台账的记录、整理、维护和管理，并对环境管理台账的真实性、完整性和规范性负责。</w:t>
            </w:r>
          </w:p>
          <w:p>
            <w:pPr>
              <w:ind w:firstLine="480"/>
            </w:pPr>
            <w:r>
              <w:t>环境管理台账的编制要求按照《排污单位环境管理台账及排污许可证执行报告技术规范总则(试行)》（HJ944-2018）执行，该技术规范规定了排污单位环境管理台账记录形式、记录内容、记录频次和记录保存的一般要求。</w:t>
            </w:r>
          </w:p>
          <w:p>
            <w:pPr>
              <w:ind w:firstLine="480"/>
            </w:pPr>
            <w:r>
              <w:t>环境管理台账记录形式分为电子台账和纸质台账两种形式，保存时间原则上不低于3年。</w:t>
            </w:r>
          </w:p>
          <w:p>
            <w:pPr>
              <w:pStyle w:val="30"/>
              <w:numPr>
                <w:ilvl w:val="1"/>
                <w:numId w:val="0"/>
              </w:numPr>
              <w:ind w:firstLine="480" w:firstLineChars="200"/>
              <w:rPr>
                <w:b w:val="0"/>
                <w:bCs/>
              </w:rPr>
            </w:pPr>
            <w:r>
              <w:rPr>
                <w:b w:val="0"/>
                <w:bCs/>
              </w:rPr>
              <w:t>环境管理台账记录内容包括基本信息、生产设施运行管理信息、污染防治设施运行管理信息、监测记录信息及其他环境管理信息等。生产设施、污染防治设施、排放口编码应与排污许可证副本中载明的编码一致。记录频次和记录内容要满足排污许可证的各项环境管理要求。</w:t>
            </w:r>
          </w:p>
          <w:p>
            <w:pPr>
              <w:pStyle w:val="30"/>
              <w:numPr>
                <w:ilvl w:val="1"/>
                <w:numId w:val="0"/>
              </w:numPr>
              <w:ind w:firstLine="480" w:firstLineChars="200"/>
              <w:rPr>
                <w:rFonts w:hint="eastAsia" w:eastAsia="宋体"/>
                <w:b w:val="0"/>
                <w:bCs/>
                <w:u w:val="single"/>
                <w:lang w:eastAsia="zh-CN"/>
              </w:rPr>
            </w:pPr>
            <w:r>
              <w:rPr>
                <w:rFonts w:hint="eastAsia"/>
                <w:b w:val="0"/>
                <w:bCs/>
                <w:u w:val="single"/>
                <w:lang w:eastAsia="zh-CN"/>
              </w:rPr>
              <w:t>（</w:t>
            </w:r>
            <w:r>
              <w:rPr>
                <w:rFonts w:hint="eastAsia"/>
                <w:b w:val="0"/>
                <w:bCs/>
                <w:u w:val="single"/>
                <w:lang w:val="en-US" w:eastAsia="zh-CN"/>
              </w:rPr>
              <w:t>6</w:t>
            </w:r>
            <w:r>
              <w:rPr>
                <w:rFonts w:hint="eastAsia"/>
                <w:b w:val="0"/>
                <w:bCs/>
                <w:u w:val="single"/>
                <w:lang w:eastAsia="zh-CN"/>
              </w:rPr>
              <w:t>）</w:t>
            </w:r>
            <w:r>
              <w:rPr>
                <w:rFonts w:hint="eastAsia" w:cs="Times New Roman"/>
                <w:b w:val="0"/>
                <w:bCs/>
                <w:kern w:val="0"/>
                <w:sz w:val="24"/>
                <w:szCs w:val="24"/>
                <w:u w:val="single"/>
                <w:lang w:val="en-US" w:eastAsia="zh-CN" w:bidi="ar"/>
              </w:rPr>
              <w:t>本项目服务期满后，需完全拆除和搬离，并对场地内进行清理及生态修复。</w:t>
            </w:r>
          </w:p>
          <w:p>
            <w:pPr>
              <w:pStyle w:val="30"/>
              <w:numPr>
                <w:ilvl w:val="1"/>
                <w:numId w:val="0"/>
              </w:numPr>
              <w:ind w:firstLine="481" w:firstLineChars="200"/>
            </w:pPr>
            <w:r>
              <w:t>4.2.</w:t>
            </w:r>
            <w:r>
              <w:rPr>
                <w:rFonts w:hint="eastAsia"/>
              </w:rPr>
              <w:t>9</w:t>
            </w:r>
            <w:r>
              <w:t>环保投资情况</w:t>
            </w:r>
            <w:bookmarkEnd w:id="103"/>
            <w:bookmarkEnd w:id="104"/>
          </w:p>
          <w:p>
            <w:pPr>
              <w:ind w:firstLine="480" w:firstLineChars="200"/>
            </w:pPr>
            <w:r>
              <w:t>本项目总投资</w:t>
            </w:r>
            <w:r>
              <w:rPr>
                <w:rFonts w:hint="eastAsia"/>
              </w:rPr>
              <w:t>2000</w:t>
            </w:r>
            <w:r>
              <w:t>万元，其中环保投资估算为</w:t>
            </w:r>
            <w:r>
              <w:rPr>
                <w:rFonts w:hint="eastAsia"/>
              </w:rPr>
              <w:t>200</w:t>
            </w:r>
            <w:r>
              <w:t>万元，约占总投资的1</w:t>
            </w:r>
            <w:r>
              <w:rPr>
                <w:rFonts w:hint="eastAsia"/>
              </w:rPr>
              <w:t>0</w:t>
            </w:r>
            <w:r>
              <w:t>%。环保治理措施及投资情况估算见下表。</w:t>
            </w:r>
          </w:p>
          <w:p>
            <w:pPr>
              <w:pStyle w:val="13"/>
              <w:adjustRightInd w:val="0"/>
              <w:snapToGrid w:val="0"/>
              <w:spacing w:line="240" w:lineRule="auto"/>
              <w:ind w:firstLine="421" w:firstLineChars="200"/>
              <w:jc w:val="center"/>
              <w:rPr>
                <w:rFonts w:ascii="Times New Roman" w:hAnsi="Times New Roman"/>
                <w:b/>
                <w:bCs/>
                <w:sz w:val="21"/>
                <w:szCs w:val="21"/>
              </w:rPr>
            </w:pPr>
            <w:r>
              <w:rPr>
                <w:rFonts w:ascii="Times New Roman" w:hAnsi="Times New Roman"/>
                <w:b/>
                <w:bCs/>
                <w:sz w:val="21"/>
                <w:szCs w:val="21"/>
              </w:rPr>
              <w:t>表4-1</w:t>
            </w:r>
            <w:r>
              <w:rPr>
                <w:rFonts w:hint="eastAsia" w:ascii="Times New Roman" w:hAnsi="Times New Roman"/>
                <w:b/>
                <w:bCs/>
                <w:sz w:val="21"/>
                <w:szCs w:val="21"/>
                <w:lang w:val="en-US" w:eastAsia="zh-CN"/>
              </w:rPr>
              <w:t>8</w:t>
            </w:r>
            <w:r>
              <w:rPr>
                <w:rFonts w:ascii="Times New Roman" w:hAnsi="Times New Roman"/>
                <w:b/>
                <w:bCs/>
                <w:sz w:val="21"/>
                <w:szCs w:val="21"/>
              </w:rPr>
              <w:t xml:space="preserve">  环保投资估算表     单位：</w:t>
            </w:r>
            <w:r>
              <w:rPr>
                <w:rFonts w:ascii="Times New Roman" w:hAnsi="Times New Roman"/>
                <w:b/>
                <w:sz w:val="21"/>
                <w:szCs w:val="21"/>
              </w:rPr>
              <w:t>万元</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86"/>
              <w:gridCol w:w="942"/>
              <w:gridCol w:w="1823"/>
              <w:gridCol w:w="2448"/>
              <w:gridCol w:w="509"/>
              <w:gridCol w:w="746"/>
              <w:gridCol w:w="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76" w:type="pct"/>
                  <w:vAlign w:val="center"/>
                </w:tcPr>
                <w:p>
                  <w:pPr>
                    <w:wordWrap w:val="0"/>
                    <w:topLinePunct/>
                    <w:adjustRightInd w:val="0"/>
                    <w:snapToGrid w:val="0"/>
                    <w:spacing w:line="240" w:lineRule="auto"/>
                    <w:jc w:val="center"/>
                    <w:rPr>
                      <w:b/>
                      <w:bCs/>
                      <w:sz w:val="21"/>
                      <w:szCs w:val="21"/>
                      <w:u w:val="single"/>
                    </w:rPr>
                  </w:pPr>
                  <w:r>
                    <w:rPr>
                      <w:b/>
                      <w:bCs/>
                      <w:sz w:val="21"/>
                      <w:szCs w:val="21"/>
                      <w:u w:val="single"/>
                    </w:rPr>
                    <w:t>类别</w:t>
                  </w:r>
                </w:p>
              </w:tc>
              <w:tc>
                <w:tcPr>
                  <w:tcW w:w="604" w:type="pct"/>
                  <w:vAlign w:val="center"/>
                </w:tcPr>
                <w:p>
                  <w:pPr>
                    <w:wordWrap w:val="0"/>
                    <w:topLinePunct/>
                    <w:adjustRightInd w:val="0"/>
                    <w:snapToGrid w:val="0"/>
                    <w:spacing w:line="240" w:lineRule="auto"/>
                    <w:jc w:val="center"/>
                    <w:rPr>
                      <w:b/>
                      <w:bCs/>
                      <w:sz w:val="21"/>
                      <w:szCs w:val="21"/>
                      <w:u w:val="single"/>
                    </w:rPr>
                  </w:pPr>
                  <w:r>
                    <w:rPr>
                      <w:b/>
                      <w:bCs/>
                      <w:sz w:val="21"/>
                      <w:szCs w:val="21"/>
                      <w:u w:val="single"/>
                    </w:rPr>
                    <w:t>产污环节</w:t>
                  </w:r>
                </w:p>
              </w:tc>
              <w:tc>
                <w:tcPr>
                  <w:tcW w:w="1168" w:type="pct"/>
                  <w:vAlign w:val="center"/>
                </w:tcPr>
                <w:p>
                  <w:pPr>
                    <w:wordWrap w:val="0"/>
                    <w:topLinePunct/>
                    <w:adjustRightInd w:val="0"/>
                    <w:snapToGrid w:val="0"/>
                    <w:spacing w:line="240" w:lineRule="auto"/>
                    <w:jc w:val="center"/>
                    <w:rPr>
                      <w:b/>
                      <w:bCs/>
                      <w:sz w:val="21"/>
                      <w:szCs w:val="21"/>
                      <w:u w:val="single"/>
                    </w:rPr>
                  </w:pPr>
                  <w:r>
                    <w:rPr>
                      <w:b/>
                      <w:bCs/>
                      <w:sz w:val="21"/>
                      <w:szCs w:val="21"/>
                      <w:u w:val="single"/>
                    </w:rPr>
                    <w:t>主要污染物</w:t>
                  </w:r>
                </w:p>
              </w:tc>
              <w:tc>
                <w:tcPr>
                  <w:tcW w:w="1569" w:type="pct"/>
                  <w:vAlign w:val="center"/>
                </w:tcPr>
                <w:p>
                  <w:pPr>
                    <w:wordWrap w:val="0"/>
                    <w:topLinePunct/>
                    <w:adjustRightInd w:val="0"/>
                    <w:snapToGrid w:val="0"/>
                    <w:spacing w:line="240" w:lineRule="auto"/>
                    <w:jc w:val="center"/>
                    <w:rPr>
                      <w:b/>
                      <w:bCs/>
                      <w:sz w:val="21"/>
                      <w:szCs w:val="21"/>
                      <w:u w:val="single"/>
                    </w:rPr>
                  </w:pPr>
                  <w:r>
                    <w:rPr>
                      <w:b/>
                      <w:bCs/>
                      <w:sz w:val="21"/>
                      <w:szCs w:val="21"/>
                      <w:u w:val="single"/>
                    </w:rPr>
                    <w:t>治理设施</w:t>
                  </w:r>
                </w:p>
              </w:tc>
              <w:tc>
                <w:tcPr>
                  <w:tcW w:w="324" w:type="pct"/>
                  <w:vAlign w:val="center"/>
                </w:tcPr>
                <w:p>
                  <w:pPr>
                    <w:wordWrap w:val="0"/>
                    <w:topLinePunct/>
                    <w:adjustRightInd w:val="0"/>
                    <w:snapToGrid w:val="0"/>
                    <w:spacing w:line="240" w:lineRule="auto"/>
                    <w:jc w:val="center"/>
                    <w:rPr>
                      <w:b/>
                      <w:bCs/>
                      <w:sz w:val="21"/>
                      <w:szCs w:val="21"/>
                      <w:u w:val="single"/>
                    </w:rPr>
                  </w:pPr>
                  <w:r>
                    <w:rPr>
                      <w:b/>
                      <w:bCs/>
                      <w:sz w:val="21"/>
                      <w:szCs w:val="21"/>
                      <w:u w:val="single"/>
                    </w:rPr>
                    <w:t>数量</w:t>
                  </w:r>
                </w:p>
              </w:tc>
              <w:tc>
                <w:tcPr>
                  <w:tcW w:w="478" w:type="pct"/>
                  <w:vAlign w:val="center"/>
                </w:tcPr>
                <w:p>
                  <w:pPr>
                    <w:wordWrap w:val="0"/>
                    <w:topLinePunct/>
                    <w:adjustRightInd w:val="0"/>
                    <w:snapToGrid w:val="0"/>
                    <w:spacing w:line="240" w:lineRule="auto"/>
                    <w:jc w:val="center"/>
                    <w:rPr>
                      <w:b/>
                      <w:bCs/>
                      <w:sz w:val="21"/>
                      <w:szCs w:val="21"/>
                      <w:u w:val="single"/>
                    </w:rPr>
                  </w:pPr>
                  <w:r>
                    <w:rPr>
                      <w:b/>
                      <w:bCs/>
                      <w:sz w:val="21"/>
                      <w:szCs w:val="21"/>
                      <w:u w:val="single"/>
                    </w:rPr>
                    <w:t>投资额</w:t>
                  </w:r>
                </w:p>
              </w:tc>
              <w:tc>
                <w:tcPr>
                  <w:tcW w:w="478" w:type="pct"/>
                  <w:vAlign w:val="center"/>
                </w:tcPr>
                <w:p>
                  <w:pPr>
                    <w:wordWrap w:val="0"/>
                    <w:topLinePunct/>
                    <w:adjustRightInd w:val="0"/>
                    <w:snapToGrid w:val="0"/>
                    <w:spacing w:line="240" w:lineRule="auto"/>
                    <w:jc w:val="center"/>
                    <w:rPr>
                      <w:b/>
                      <w:bCs/>
                      <w:sz w:val="21"/>
                      <w:szCs w:val="21"/>
                      <w:u w:val="single"/>
                    </w:rPr>
                  </w:pPr>
                  <w:r>
                    <w:rPr>
                      <w:rFonts w:hint="eastAsia"/>
                      <w:b/>
                      <w:bCs/>
                      <w:sz w:val="21"/>
                      <w:szCs w:val="21"/>
                      <w:u w:val="singl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76" w:type="pct"/>
                  <w:vMerge w:val="restart"/>
                  <w:vAlign w:val="center"/>
                </w:tcPr>
                <w:p>
                  <w:pPr>
                    <w:wordWrap w:val="0"/>
                    <w:topLinePunct/>
                    <w:adjustRightInd w:val="0"/>
                    <w:snapToGrid w:val="0"/>
                    <w:spacing w:line="240" w:lineRule="auto"/>
                    <w:jc w:val="center"/>
                    <w:rPr>
                      <w:sz w:val="21"/>
                      <w:szCs w:val="21"/>
                      <w:u w:val="single"/>
                    </w:rPr>
                  </w:pPr>
                  <w:r>
                    <w:rPr>
                      <w:sz w:val="21"/>
                      <w:szCs w:val="21"/>
                      <w:u w:val="single"/>
                    </w:rPr>
                    <w:t>废水</w:t>
                  </w:r>
                </w:p>
              </w:tc>
              <w:tc>
                <w:tcPr>
                  <w:tcW w:w="604" w:type="pct"/>
                  <w:vAlign w:val="center"/>
                </w:tcPr>
                <w:p>
                  <w:pPr>
                    <w:wordWrap w:val="0"/>
                    <w:topLinePunct/>
                    <w:adjustRightInd w:val="0"/>
                    <w:snapToGrid w:val="0"/>
                    <w:spacing w:line="240" w:lineRule="auto"/>
                    <w:jc w:val="center"/>
                    <w:rPr>
                      <w:sz w:val="21"/>
                      <w:szCs w:val="21"/>
                      <w:u w:val="single"/>
                    </w:rPr>
                  </w:pPr>
                  <w:r>
                    <w:rPr>
                      <w:sz w:val="21"/>
                      <w:szCs w:val="21"/>
                      <w:u w:val="single"/>
                    </w:rPr>
                    <w:t>生活污水</w:t>
                  </w:r>
                </w:p>
              </w:tc>
              <w:tc>
                <w:tcPr>
                  <w:tcW w:w="1168" w:type="pct"/>
                  <w:vAlign w:val="center"/>
                </w:tcPr>
                <w:p>
                  <w:pPr>
                    <w:wordWrap w:val="0"/>
                    <w:topLinePunct/>
                    <w:adjustRightInd w:val="0"/>
                    <w:snapToGrid w:val="0"/>
                    <w:spacing w:line="240" w:lineRule="auto"/>
                    <w:jc w:val="center"/>
                    <w:rPr>
                      <w:sz w:val="21"/>
                      <w:szCs w:val="21"/>
                      <w:u w:val="single"/>
                    </w:rPr>
                  </w:pPr>
                  <w:r>
                    <w:rPr>
                      <w:sz w:val="21"/>
                      <w:szCs w:val="21"/>
                      <w:u w:val="single"/>
                    </w:rPr>
                    <w:t>COD、BOD</w:t>
                  </w:r>
                  <w:r>
                    <w:rPr>
                      <w:sz w:val="21"/>
                      <w:szCs w:val="21"/>
                      <w:u w:val="single"/>
                      <w:vertAlign w:val="subscript"/>
                    </w:rPr>
                    <w:t>5</w:t>
                  </w:r>
                  <w:r>
                    <w:rPr>
                      <w:sz w:val="21"/>
                      <w:szCs w:val="21"/>
                      <w:u w:val="single"/>
                    </w:rPr>
                    <w:t>、</w:t>
                  </w:r>
                </w:p>
                <w:p>
                  <w:pPr>
                    <w:wordWrap w:val="0"/>
                    <w:topLinePunct/>
                    <w:adjustRightInd w:val="0"/>
                    <w:snapToGrid w:val="0"/>
                    <w:spacing w:line="240" w:lineRule="auto"/>
                    <w:jc w:val="center"/>
                    <w:rPr>
                      <w:sz w:val="21"/>
                      <w:szCs w:val="21"/>
                      <w:u w:val="single"/>
                    </w:rPr>
                  </w:pPr>
                  <w:r>
                    <w:rPr>
                      <w:sz w:val="21"/>
                      <w:szCs w:val="21"/>
                      <w:u w:val="single"/>
                    </w:rPr>
                    <w:t>SS、NH</w:t>
                  </w:r>
                  <w:r>
                    <w:rPr>
                      <w:sz w:val="21"/>
                      <w:szCs w:val="21"/>
                      <w:u w:val="single"/>
                      <w:vertAlign w:val="subscript"/>
                    </w:rPr>
                    <w:t>3</w:t>
                  </w:r>
                  <w:r>
                    <w:rPr>
                      <w:sz w:val="21"/>
                      <w:szCs w:val="21"/>
                      <w:u w:val="single"/>
                    </w:rPr>
                    <w:t>-N</w:t>
                  </w:r>
                  <w:r>
                    <w:rPr>
                      <w:rFonts w:hint="eastAsia"/>
                      <w:sz w:val="21"/>
                      <w:szCs w:val="21"/>
                      <w:u w:val="single"/>
                    </w:rPr>
                    <w:t>、动植物油</w:t>
                  </w:r>
                </w:p>
              </w:tc>
              <w:tc>
                <w:tcPr>
                  <w:tcW w:w="1569" w:type="pct"/>
                  <w:vAlign w:val="center"/>
                </w:tcPr>
                <w:p>
                  <w:pPr>
                    <w:wordWrap w:val="0"/>
                    <w:topLinePunct/>
                    <w:adjustRightInd w:val="0"/>
                    <w:snapToGrid w:val="0"/>
                    <w:spacing w:line="240" w:lineRule="auto"/>
                    <w:jc w:val="center"/>
                    <w:rPr>
                      <w:sz w:val="21"/>
                      <w:szCs w:val="21"/>
                      <w:u w:val="single"/>
                    </w:rPr>
                  </w:pPr>
                  <w:r>
                    <w:rPr>
                      <w:rFonts w:hint="eastAsia"/>
                      <w:sz w:val="21"/>
                      <w:szCs w:val="21"/>
                      <w:u w:val="single"/>
                    </w:rPr>
                    <w:t>隔油</w:t>
                  </w:r>
                  <w:r>
                    <w:rPr>
                      <w:sz w:val="21"/>
                      <w:szCs w:val="21"/>
                      <w:u w:val="single"/>
                    </w:rPr>
                    <w:t>化粪池</w:t>
                  </w:r>
                </w:p>
              </w:tc>
              <w:tc>
                <w:tcPr>
                  <w:tcW w:w="324" w:type="pct"/>
                  <w:vAlign w:val="center"/>
                </w:tcPr>
                <w:p>
                  <w:pPr>
                    <w:wordWrap w:val="0"/>
                    <w:topLinePunct/>
                    <w:adjustRightInd w:val="0"/>
                    <w:snapToGrid w:val="0"/>
                    <w:spacing w:line="240" w:lineRule="auto"/>
                    <w:jc w:val="center"/>
                    <w:rPr>
                      <w:sz w:val="21"/>
                      <w:szCs w:val="21"/>
                      <w:u w:val="single"/>
                    </w:rPr>
                  </w:pPr>
                  <w:r>
                    <w:rPr>
                      <w:sz w:val="21"/>
                      <w:szCs w:val="21"/>
                      <w:u w:val="single"/>
                    </w:rPr>
                    <w:t>1座</w:t>
                  </w:r>
                </w:p>
              </w:tc>
              <w:tc>
                <w:tcPr>
                  <w:tcW w:w="478" w:type="pct"/>
                  <w:vAlign w:val="center"/>
                </w:tcPr>
                <w:p>
                  <w:pPr>
                    <w:wordWrap w:val="0"/>
                    <w:topLinePunct/>
                    <w:adjustRightInd w:val="0"/>
                    <w:snapToGrid w:val="0"/>
                    <w:spacing w:line="240" w:lineRule="auto"/>
                    <w:jc w:val="center"/>
                    <w:rPr>
                      <w:sz w:val="21"/>
                      <w:szCs w:val="21"/>
                      <w:u w:val="single"/>
                    </w:rPr>
                  </w:pPr>
                  <w:r>
                    <w:rPr>
                      <w:rFonts w:hint="eastAsia"/>
                      <w:sz w:val="21"/>
                      <w:szCs w:val="21"/>
                      <w:u w:val="single"/>
                    </w:rPr>
                    <w:t>5</w:t>
                  </w:r>
                </w:p>
              </w:tc>
              <w:tc>
                <w:tcPr>
                  <w:tcW w:w="478" w:type="pct"/>
                  <w:vAlign w:val="center"/>
                </w:tcPr>
                <w:p>
                  <w:pPr>
                    <w:wordWrap w:val="0"/>
                    <w:topLinePunct/>
                    <w:adjustRightInd w:val="0"/>
                    <w:snapToGrid w:val="0"/>
                    <w:spacing w:line="240" w:lineRule="auto"/>
                    <w:jc w:val="center"/>
                    <w:rPr>
                      <w:sz w:val="21"/>
                      <w:szCs w:val="21"/>
                      <w:u w:val="single"/>
                    </w:rPr>
                  </w:pPr>
                  <w:r>
                    <w:rPr>
                      <w:rFonts w:hint="eastAsia"/>
                      <w:sz w:val="21"/>
                      <w:szCs w:val="21"/>
                      <w:u w:val="single"/>
                    </w:rPr>
                    <w:t>已投入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76" w:type="pct"/>
                  <w:vMerge w:val="continue"/>
                  <w:vAlign w:val="center"/>
                </w:tcPr>
                <w:p>
                  <w:pPr>
                    <w:wordWrap w:val="0"/>
                    <w:topLinePunct/>
                    <w:adjustRightInd w:val="0"/>
                    <w:snapToGrid w:val="0"/>
                    <w:spacing w:line="240" w:lineRule="auto"/>
                    <w:jc w:val="center"/>
                    <w:rPr>
                      <w:sz w:val="21"/>
                      <w:szCs w:val="21"/>
                      <w:u w:val="single"/>
                    </w:rPr>
                  </w:pPr>
                </w:p>
              </w:tc>
              <w:tc>
                <w:tcPr>
                  <w:tcW w:w="604" w:type="pct"/>
                  <w:vAlign w:val="center"/>
                </w:tcPr>
                <w:p>
                  <w:pPr>
                    <w:wordWrap w:val="0"/>
                    <w:topLinePunct/>
                    <w:adjustRightInd w:val="0"/>
                    <w:snapToGrid w:val="0"/>
                    <w:spacing w:line="240" w:lineRule="auto"/>
                    <w:jc w:val="center"/>
                    <w:rPr>
                      <w:rFonts w:hint="eastAsia" w:eastAsia="宋体"/>
                      <w:sz w:val="21"/>
                      <w:szCs w:val="21"/>
                      <w:u w:val="single"/>
                      <w:lang w:eastAsia="zh-CN"/>
                    </w:rPr>
                  </w:pPr>
                  <w:r>
                    <w:rPr>
                      <w:rFonts w:hint="eastAsia"/>
                      <w:sz w:val="21"/>
                      <w:szCs w:val="21"/>
                      <w:u w:val="single"/>
                      <w:lang w:eastAsia="zh-CN"/>
                    </w:rPr>
                    <w:t>洗车废水</w:t>
                  </w:r>
                </w:p>
              </w:tc>
              <w:tc>
                <w:tcPr>
                  <w:tcW w:w="1168" w:type="pct"/>
                  <w:vAlign w:val="center"/>
                </w:tcPr>
                <w:p>
                  <w:pPr>
                    <w:wordWrap w:val="0"/>
                    <w:topLinePunct/>
                    <w:adjustRightInd w:val="0"/>
                    <w:snapToGrid w:val="0"/>
                    <w:spacing w:line="240" w:lineRule="auto"/>
                    <w:jc w:val="center"/>
                    <w:rPr>
                      <w:rFonts w:hint="default" w:eastAsia="宋体"/>
                      <w:sz w:val="21"/>
                      <w:szCs w:val="21"/>
                      <w:u w:val="single"/>
                      <w:lang w:val="en-US" w:eastAsia="zh-CN"/>
                    </w:rPr>
                  </w:pPr>
                  <w:r>
                    <w:rPr>
                      <w:rFonts w:hint="eastAsia"/>
                      <w:sz w:val="21"/>
                      <w:szCs w:val="21"/>
                      <w:u w:val="single"/>
                      <w:lang w:val="en-US" w:eastAsia="zh-CN"/>
                    </w:rPr>
                    <w:t>SS、石油类</w:t>
                  </w:r>
                </w:p>
              </w:tc>
              <w:tc>
                <w:tcPr>
                  <w:tcW w:w="1569" w:type="pct"/>
                  <w:vAlign w:val="center"/>
                </w:tcPr>
                <w:p>
                  <w:pPr>
                    <w:wordWrap w:val="0"/>
                    <w:topLinePunct/>
                    <w:adjustRightInd w:val="0"/>
                    <w:snapToGrid w:val="0"/>
                    <w:spacing w:line="240" w:lineRule="auto"/>
                    <w:jc w:val="center"/>
                    <w:rPr>
                      <w:rFonts w:hint="eastAsia" w:eastAsia="宋体"/>
                      <w:sz w:val="21"/>
                      <w:szCs w:val="21"/>
                      <w:u w:val="single"/>
                      <w:lang w:eastAsia="zh-CN"/>
                    </w:rPr>
                  </w:pPr>
                  <w:r>
                    <w:rPr>
                      <w:rFonts w:hint="eastAsia"/>
                      <w:sz w:val="21"/>
                      <w:szCs w:val="21"/>
                      <w:u w:val="single"/>
                      <w:lang w:eastAsia="zh-CN"/>
                    </w:rPr>
                    <w:t>洗车平台沉淀池</w:t>
                  </w:r>
                </w:p>
              </w:tc>
              <w:tc>
                <w:tcPr>
                  <w:tcW w:w="324" w:type="pct"/>
                  <w:vAlign w:val="center"/>
                </w:tcPr>
                <w:p>
                  <w:pPr>
                    <w:wordWrap w:val="0"/>
                    <w:topLinePunct/>
                    <w:adjustRightInd w:val="0"/>
                    <w:snapToGrid w:val="0"/>
                    <w:spacing w:line="240" w:lineRule="auto"/>
                    <w:jc w:val="center"/>
                    <w:rPr>
                      <w:rFonts w:hint="eastAsia" w:eastAsia="宋体"/>
                      <w:sz w:val="21"/>
                      <w:szCs w:val="21"/>
                      <w:u w:val="single"/>
                      <w:lang w:val="en-US" w:eastAsia="zh-CN"/>
                    </w:rPr>
                  </w:pPr>
                  <w:r>
                    <w:rPr>
                      <w:rFonts w:hint="eastAsia"/>
                      <w:sz w:val="21"/>
                      <w:szCs w:val="21"/>
                      <w:u w:val="single"/>
                      <w:lang w:val="en-US" w:eastAsia="zh-CN"/>
                    </w:rPr>
                    <w:t>1座</w:t>
                  </w:r>
                </w:p>
              </w:tc>
              <w:tc>
                <w:tcPr>
                  <w:tcW w:w="478" w:type="pct"/>
                  <w:vAlign w:val="center"/>
                </w:tcPr>
                <w:p>
                  <w:pPr>
                    <w:wordWrap w:val="0"/>
                    <w:topLinePunct/>
                    <w:adjustRightInd w:val="0"/>
                    <w:snapToGrid w:val="0"/>
                    <w:spacing w:line="240" w:lineRule="auto"/>
                    <w:jc w:val="center"/>
                    <w:rPr>
                      <w:rFonts w:hint="eastAsia" w:eastAsia="宋体"/>
                      <w:sz w:val="21"/>
                      <w:szCs w:val="21"/>
                      <w:u w:val="single"/>
                      <w:lang w:val="en-US" w:eastAsia="zh-CN"/>
                    </w:rPr>
                  </w:pPr>
                  <w:r>
                    <w:rPr>
                      <w:rFonts w:hint="eastAsia"/>
                      <w:sz w:val="21"/>
                      <w:szCs w:val="21"/>
                      <w:u w:val="single"/>
                      <w:lang w:val="en-US" w:eastAsia="zh-CN"/>
                    </w:rPr>
                    <w:t>5</w:t>
                  </w:r>
                </w:p>
              </w:tc>
              <w:tc>
                <w:tcPr>
                  <w:tcW w:w="478" w:type="pct"/>
                  <w:vAlign w:val="center"/>
                </w:tcPr>
                <w:p>
                  <w:pPr>
                    <w:wordWrap w:val="0"/>
                    <w:topLinePunct/>
                    <w:adjustRightInd w:val="0"/>
                    <w:snapToGrid w:val="0"/>
                    <w:spacing w:line="240" w:lineRule="auto"/>
                    <w:jc w:val="center"/>
                    <w:rPr>
                      <w:rFonts w:hint="eastAsia" w:eastAsia="宋体"/>
                      <w:sz w:val="21"/>
                      <w:szCs w:val="21"/>
                      <w:u w:val="single"/>
                      <w:lang w:eastAsia="zh-CN"/>
                    </w:rPr>
                  </w:pPr>
                  <w:r>
                    <w:rPr>
                      <w:rFonts w:hint="eastAsia"/>
                      <w:sz w:val="21"/>
                      <w:szCs w:val="21"/>
                      <w:u w:val="single"/>
                      <w:lang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76" w:type="pct"/>
                  <w:vMerge w:val="continue"/>
                  <w:vAlign w:val="center"/>
                </w:tcPr>
                <w:p>
                  <w:pPr>
                    <w:wordWrap w:val="0"/>
                    <w:topLinePunct/>
                    <w:adjustRightInd w:val="0"/>
                    <w:snapToGrid w:val="0"/>
                    <w:spacing w:line="240" w:lineRule="auto"/>
                    <w:jc w:val="center"/>
                    <w:rPr>
                      <w:sz w:val="21"/>
                      <w:szCs w:val="21"/>
                      <w:u w:val="single"/>
                    </w:rPr>
                  </w:pPr>
                </w:p>
              </w:tc>
              <w:tc>
                <w:tcPr>
                  <w:tcW w:w="604" w:type="pct"/>
                  <w:vAlign w:val="center"/>
                </w:tcPr>
                <w:p>
                  <w:pPr>
                    <w:wordWrap w:val="0"/>
                    <w:topLinePunct/>
                    <w:adjustRightInd w:val="0"/>
                    <w:snapToGrid w:val="0"/>
                    <w:spacing w:line="240" w:lineRule="auto"/>
                    <w:jc w:val="center"/>
                    <w:rPr>
                      <w:sz w:val="21"/>
                      <w:szCs w:val="21"/>
                      <w:u w:val="single"/>
                    </w:rPr>
                  </w:pPr>
                  <w:r>
                    <w:rPr>
                      <w:rFonts w:hint="eastAsia"/>
                      <w:sz w:val="21"/>
                      <w:szCs w:val="21"/>
                      <w:u w:val="single"/>
                    </w:rPr>
                    <w:t>初期雨水</w:t>
                  </w:r>
                </w:p>
              </w:tc>
              <w:tc>
                <w:tcPr>
                  <w:tcW w:w="1168" w:type="pct"/>
                  <w:vAlign w:val="center"/>
                </w:tcPr>
                <w:p>
                  <w:pPr>
                    <w:wordWrap w:val="0"/>
                    <w:topLinePunct/>
                    <w:adjustRightInd w:val="0"/>
                    <w:snapToGrid w:val="0"/>
                    <w:spacing w:line="240" w:lineRule="auto"/>
                    <w:jc w:val="center"/>
                    <w:rPr>
                      <w:sz w:val="21"/>
                      <w:szCs w:val="21"/>
                      <w:u w:val="single"/>
                    </w:rPr>
                  </w:pPr>
                  <w:r>
                    <w:rPr>
                      <w:rFonts w:hint="eastAsia"/>
                      <w:sz w:val="21"/>
                      <w:szCs w:val="21"/>
                      <w:u w:val="single"/>
                    </w:rPr>
                    <w:t>SS</w:t>
                  </w:r>
                </w:p>
              </w:tc>
              <w:tc>
                <w:tcPr>
                  <w:tcW w:w="1569" w:type="pct"/>
                  <w:vAlign w:val="center"/>
                </w:tcPr>
                <w:p>
                  <w:pPr>
                    <w:wordWrap w:val="0"/>
                    <w:topLinePunct/>
                    <w:adjustRightInd w:val="0"/>
                    <w:snapToGrid w:val="0"/>
                    <w:spacing w:line="240" w:lineRule="auto"/>
                    <w:jc w:val="center"/>
                    <w:rPr>
                      <w:rFonts w:hint="eastAsia" w:eastAsia="宋体"/>
                      <w:sz w:val="21"/>
                      <w:szCs w:val="21"/>
                      <w:u w:val="single"/>
                      <w:lang w:eastAsia="zh-CN"/>
                    </w:rPr>
                  </w:pPr>
                  <w:r>
                    <w:rPr>
                      <w:rFonts w:hint="eastAsia"/>
                      <w:sz w:val="21"/>
                      <w:szCs w:val="21"/>
                      <w:u w:val="single"/>
                    </w:rPr>
                    <w:t>初期雨水收集池</w:t>
                  </w:r>
                  <w:r>
                    <w:rPr>
                      <w:rFonts w:hint="eastAsia"/>
                      <w:sz w:val="21"/>
                      <w:szCs w:val="21"/>
                      <w:u w:val="single"/>
                      <w:lang w:eastAsia="zh-CN"/>
                    </w:rPr>
                    <w:t>、截排水沟</w:t>
                  </w:r>
                </w:p>
              </w:tc>
              <w:tc>
                <w:tcPr>
                  <w:tcW w:w="324" w:type="pct"/>
                  <w:vAlign w:val="center"/>
                </w:tcPr>
                <w:p>
                  <w:pPr>
                    <w:wordWrap w:val="0"/>
                    <w:topLinePunct/>
                    <w:adjustRightInd w:val="0"/>
                    <w:snapToGrid w:val="0"/>
                    <w:spacing w:line="240" w:lineRule="auto"/>
                    <w:jc w:val="center"/>
                    <w:rPr>
                      <w:rFonts w:hint="default" w:eastAsia="宋体"/>
                      <w:sz w:val="21"/>
                      <w:szCs w:val="21"/>
                      <w:u w:val="single"/>
                      <w:lang w:val="en-US" w:eastAsia="zh-CN"/>
                    </w:rPr>
                  </w:pPr>
                  <w:r>
                    <w:rPr>
                      <w:rFonts w:hint="eastAsia"/>
                      <w:sz w:val="21"/>
                      <w:szCs w:val="21"/>
                      <w:u w:val="single"/>
                    </w:rPr>
                    <w:t>1座</w:t>
                  </w:r>
                  <w:r>
                    <w:rPr>
                      <w:rFonts w:hint="eastAsia"/>
                      <w:sz w:val="21"/>
                      <w:szCs w:val="21"/>
                      <w:u w:val="single"/>
                      <w:lang w:val="en-US" w:eastAsia="zh-CN"/>
                    </w:rPr>
                    <w:t>/1条</w:t>
                  </w:r>
                </w:p>
              </w:tc>
              <w:tc>
                <w:tcPr>
                  <w:tcW w:w="478" w:type="pct"/>
                  <w:vAlign w:val="center"/>
                </w:tcPr>
                <w:p>
                  <w:pPr>
                    <w:wordWrap w:val="0"/>
                    <w:topLinePunct/>
                    <w:adjustRightInd w:val="0"/>
                    <w:snapToGrid w:val="0"/>
                    <w:spacing w:line="240" w:lineRule="auto"/>
                    <w:jc w:val="center"/>
                    <w:rPr>
                      <w:rFonts w:hint="default" w:eastAsia="宋体"/>
                      <w:sz w:val="21"/>
                      <w:szCs w:val="21"/>
                      <w:u w:val="single"/>
                      <w:lang w:val="en-US" w:eastAsia="zh-CN"/>
                    </w:rPr>
                  </w:pPr>
                  <w:r>
                    <w:rPr>
                      <w:rFonts w:hint="eastAsia"/>
                      <w:sz w:val="21"/>
                      <w:szCs w:val="21"/>
                      <w:u w:val="single"/>
                      <w:lang w:val="en-US" w:eastAsia="zh-CN"/>
                    </w:rPr>
                    <w:t>14</w:t>
                  </w:r>
                </w:p>
              </w:tc>
              <w:tc>
                <w:tcPr>
                  <w:tcW w:w="478" w:type="pct"/>
                  <w:vAlign w:val="center"/>
                </w:tcPr>
                <w:p>
                  <w:pPr>
                    <w:wordWrap w:val="0"/>
                    <w:topLinePunct/>
                    <w:adjustRightInd w:val="0"/>
                    <w:snapToGrid w:val="0"/>
                    <w:spacing w:line="240" w:lineRule="auto"/>
                    <w:jc w:val="center"/>
                    <w:rPr>
                      <w:rFonts w:hint="eastAsia" w:eastAsia="宋体"/>
                      <w:sz w:val="21"/>
                      <w:szCs w:val="21"/>
                      <w:u w:val="single"/>
                      <w:lang w:eastAsia="zh-CN"/>
                    </w:rPr>
                  </w:pPr>
                  <w:r>
                    <w:rPr>
                      <w:rFonts w:hint="eastAsia"/>
                      <w:sz w:val="21"/>
                      <w:szCs w:val="21"/>
                      <w:u w:val="single"/>
                    </w:rPr>
                    <w:t>新增</w:t>
                  </w:r>
                  <w:r>
                    <w:rPr>
                      <w:rFonts w:hint="eastAsia"/>
                      <w:sz w:val="21"/>
                      <w:szCs w:val="21"/>
                      <w:u w:val="single"/>
                      <w:lang w:eastAsia="zh-CN"/>
                    </w:rPr>
                    <w:t>（截排水沟已投入）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76" w:type="pct"/>
                  <w:vMerge w:val="continue"/>
                  <w:vAlign w:val="center"/>
                </w:tcPr>
                <w:p>
                  <w:pPr>
                    <w:wordWrap w:val="0"/>
                    <w:topLinePunct/>
                    <w:adjustRightInd w:val="0"/>
                    <w:snapToGrid w:val="0"/>
                    <w:spacing w:line="240" w:lineRule="auto"/>
                    <w:jc w:val="center"/>
                    <w:rPr>
                      <w:sz w:val="21"/>
                      <w:szCs w:val="21"/>
                      <w:u w:val="single"/>
                    </w:rPr>
                  </w:pPr>
                </w:p>
              </w:tc>
              <w:tc>
                <w:tcPr>
                  <w:tcW w:w="604" w:type="pct"/>
                  <w:vAlign w:val="center"/>
                </w:tcPr>
                <w:p>
                  <w:pPr>
                    <w:wordWrap w:val="0"/>
                    <w:topLinePunct/>
                    <w:adjustRightInd w:val="0"/>
                    <w:snapToGrid w:val="0"/>
                    <w:spacing w:line="240" w:lineRule="auto"/>
                    <w:jc w:val="center"/>
                    <w:rPr>
                      <w:sz w:val="21"/>
                      <w:szCs w:val="21"/>
                      <w:u w:val="single"/>
                    </w:rPr>
                  </w:pPr>
                  <w:r>
                    <w:rPr>
                      <w:rFonts w:hint="eastAsia"/>
                      <w:sz w:val="21"/>
                      <w:szCs w:val="21"/>
                      <w:u w:val="single"/>
                    </w:rPr>
                    <w:t>生产</w:t>
                  </w:r>
                  <w:r>
                    <w:rPr>
                      <w:rFonts w:hint="eastAsia"/>
                      <w:sz w:val="21"/>
                      <w:szCs w:val="21"/>
                      <w:u w:val="single"/>
                      <w:lang w:eastAsia="zh-CN"/>
                    </w:rPr>
                    <w:t>工艺</w:t>
                  </w:r>
                  <w:r>
                    <w:rPr>
                      <w:rFonts w:hint="eastAsia"/>
                      <w:sz w:val="21"/>
                      <w:szCs w:val="21"/>
                      <w:u w:val="single"/>
                    </w:rPr>
                    <w:t>废水</w:t>
                  </w:r>
                </w:p>
              </w:tc>
              <w:tc>
                <w:tcPr>
                  <w:tcW w:w="1168" w:type="pct"/>
                  <w:vAlign w:val="center"/>
                </w:tcPr>
                <w:p>
                  <w:pPr>
                    <w:wordWrap w:val="0"/>
                    <w:topLinePunct/>
                    <w:adjustRightInd w:val="0"/>
                    <w:snapToGrid w:val="0"/>
                    <w:spacing w:line="240" w:lineRule="auto"/>
                    <w:jc w:val="center"/>
                    <w:rPr>
                      <w:sz w:val="21"/>
                      <w:szCs w:val="21"/>
                      <w:u w:val="single"/>
                    </w:rPr>
                  </w:pPr>
                  <w:r>
                    <w:rPr>
                      <w:rFonts w:hint="eastAsia"/>
                      <w:sz w:val="21"/>
                      <w:szCs w:val="21"/>
                      <w:u w:val="single"/>
                    </w:rPr>
                    <w:t>SS</w:t>
                  </w:r>
                </w:p>
              </w:tc>
              <w:tc>
                <w:tcPr>
                  <w:tcW w:w="1569" w:type="pct"/>
                  <w:vAlign w:val="center"/>
                </w:tcPr>
                <w:p>
                  <w:pPr>
                    <w:wordWrap w:val="0"/>
                    <w:topLinePunct/>
                    <w:adjustRightInd w:val="0"/>
                    <w:snapToGrid w:val="0"/>
                    <w:spacing w:line="240" w:lineRule="auto"/>
                    <w:jc w:val="center"/>
                    <w:rPr>
                      <w:sz w:val="21"/>
                      <w:szCs w:val="21"/>
                      <w:u w:val="single"/>
                    </w:rPr>
                  </w:pPr>
                  <w:r>
                    <w:rPr>
                      <w:sz w:val="21"/>
                      <w:szCs w:val="21"/>
                      <w:u w:val="single"/>
                    </w:rPr>
                    <w:t>沉淀池+环保罐+清水池</w:t>
                  </w:r>
                </w:p>
              </w:tc>
              <w:tc>
                <w:tcPr>
                  <w:tcW w:w="324" w:type="pct"/>
                  <w:vAlign w:val="center"/>
                </w:tcPr>
                <w:p>
                  <w:pPr>
                    <w:wordWrap w:val="0"/>
                    <w:topLinePunct/>
                    <w:adjustRightInd w:val="0"/>
                    <w:snapToGrid w:val="0"/>
                    <w:spacing w:line="240" w:lineRule="auto"/>
                    <w:jc w:val="center"/>
                    <w:rPr>
                      <w:sz w:val="21"/>
                      <w:szCs w:val="21"/>
                      <w:u w:val="single"/>
                    </w:rPr>
                  </w:pPr>
                  <w:r>
                    <w:rPr>
                      <w:rFonts w:hint="eastAsia"/>
                      <w:sz w:val="21"/>
                      <w:szCs w:val="21"/>
                      <w:u w:val="single"/>
                    </w:rPr>
                    <w:t>1套</w:t>
                  </w:r>
                </w:p>
              </w:tc>
              <w:tc>
                <w:tcPr>
                  <w:tcW w:w="478" w:type="pct"/>
                  <w:vAlign w:val="center"/>
                </w:tcPr>
                <w:p>
                  <w:pPr>
                    <w:wordWrap w:val="0"/>
                    <w:topLinePunct/>
                    <w:adjustRightInd w:val="0"/>
                    <w:snapToGrid w:val="0"/>
                    <w:spacing w:line="240" w:lineRule="auto"/>
                    <w:jc w:val="center"/>
                    <w:rPr>
                      <w:sz w:val="21"/>
                      <w:szCs w:val="21"/>
                      <w:u w:val="single"/>
                    </w:rPr>
                  </w:pPr>
                  <w:r>
                    <w:rPr>
                      <w:rFonts w:hint="eastAsia"/>
                      <w:sz w:val="21"/>
                      <w:szCs w:val="21"/>
                      <w:u w:val="single"/>
                    </w:rPr>
                    <w:t>80</w:t>
                  </w:r>
                </w:p>
              </w:tc>
              <w:tc>
                <w:tcPr>
                  <w:tcW w:w="478" w:type="pct"/>
                  <w:vAlign w:val="center"/>
                </w:tcPr>
                <w:p>
                  <w:pPr>
                    <w:wordWrap w:val="0"/>
                    <w:topLinePunct/>
                    <w:adjustRightInd w:val="0"/>
                    <w:snapToGrid w:val="0"/>
                    <w:spacing w:line="240" w:lineRule="auto"/>
                    <w:jc w:val="center"/>
                    <w:rPr>
                      <w:sz w:val="21"/>
                      <w:szCs w:val="21"/>
                      <w:u w:val="single"/>
                    </w:rPr>
                  </w:pPr>
                  <w:r>
                    <w:rPr>
                      <w:rFonts w:hint="eastAsia"/>
                      <w:sz w:val="21"/>
                      <w:szCs w:val="21"/>
                      <w:u w:val="single"/>
                    </w:rPr>
                    <w:t>已投入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76" w:type="pct"/>
                  <w:vMerge w:val="restart"/>
                  <w:vAlign w:val="center"/>
                </w:tcPr>
                <w:p>
                  <w:pPr>
                    <w:wordWrap w:val="0"/>
                    <w:topLinePunct/>
                    <w:adjustRightInd w:val="0"/>
                    <w:snapToGrid w:val="0"/>
                    <w:spacing w:line="240" w:lineRule="auto"/>
                    <w:jc w:val="center"/>
                    <w:rPr>
                      <w:sz w:val="21"/>
                      <w:szCs w:val="21"/>
                      <w:u w:val="single"/>
                    </w:rPr>
                  </w:pPr>
                  <w:r>
                    <w:rPr>
                      <w:sz w:val="21"/>
                      <w:szCs w:val="21"/>
                      <w:u w:val="single"/>
                    </w:rPr>
                    <w:t>废气</w:t>
                  </w:r>
                </w:p>
              </w:tc>
              <w:tc>
                <w:tcPr>
                  <w:tcW w:w="604" w:type="pct"/>
                  <w:vAlign w:val="center"/>
                </w:tcPr>
                <w:p>
                  <w:pPr>
                    <w:wordWrap w:val="0"/>
                    <w:topLinePunct/>
                    <w:adjustRightInd w:val="0"/>
                    <w:snapToGrid w:val="0"/>
                    <w:spacing w:line="240" w:lineRule="auto"/>
                    <w:jc w:val="center"/>
                    <w:rPr>
                      <w:sz w:val="21"/>
                      <w:szCs w:val="21"/>
                      <w:u w:val="single"/>
                    </w:rPr>
                  </w:pPr>
                  <w:r>
                    <w:rPr>
                      <w:sz w:val="21"/>
                      <w:szCs w:val="21"/>
                      <w:u w:val="single"/>
                    </w:rPr>
                    <w:t>食堂油烟</w:t>
                  </w:r>
                </w:p>
              </w:tc>
              <w:tc>
                <w:tcPr>
                  <w:tcW w:w="1168" w:type="pct"/>
                  <w:vAlign w:val="center"/>
                </w:tcPr>
                <w:p>
                  <w:pPr>
                    <w:wordWrap w:val="0"/>
                    <w:topLinePunct/>
                    <w:adjustRightInd w:val="0"/>
                    <w:snapToGrid w:val="0"/>
                    <w:spacing w:line="240" w:lineRule="auto"/>
                    <w:jc w:val="center"/>
                    <w:rPr>
                      <w:sz w:val="21"/>
                      <w:szCs w:val="21"/>
                      <w:u w:val="single"/>
                    </w:rPr>
                  </w:pPr>
                  <w:r>
                    <w:rPr>
                      <w:sz w:val="21"/>
                      <w:szCs w:val="21"/>
                      <w:u w:val="single"/>
                    </w:rPr>
                    <w:t>油烟</w:t>
                  </w:r>
                </w:p>
              </w:tc>
              <w:tc>
                <w:tcPr>
                  <w:tcW w:w="1569" w:type="pct"/>
                  <w:vAlign w:val="center"/>
                </w:tcPr>
                <w:p>
                  <w:pPr>
                    <w:wordWrap w:val="0"/>
                    <w:topLinePunct/>
                    <w:adjustRightInd w:val="0"/>
                    <w:snapToGrid w:val="0"/>
                    <w:spacing w:line="240" w:lineRule="auto"/>
                    <w:jc w:val="center"/>
                    <w:rPr>
                      <w:sz w:val="21"/>
                      <w:szCs w:val="21"/>
                      <w:u w:val="single"/>
                    </w:rPr>
                  </w:pPr>
                  <w:r>
                    <w:rPr>
                      <w:sz w:val="21"/>
                      <w:szCs w:val="21"/>
                      <w:u w:val="single"/>
                    </w:rPr>
                    <w:t>油烟净化器</w:t>
                  </w:r>
                </w:p>
              </w:tc>
              <w:tc>
                <w:tcPr>
                  <w:tcW w:w="324" w:type="pct"/>
                  <w:vAlign w:val="center"/>
                </w:tcPr>
                <w:p>
                  <w:pPr>
                    <w:wordWrap w:val="0"/>
                    <w:topLinePunct/>
                    <w:adjustRightInd w:val="0"/>
                    <w:snapToGrid w:val="0"/>
                    <w:spacing w:line="240" w:lineRule="auto"/>
                    <w:jc w:val="center"/>
                    <w:rPr>
                      <w:sz w:val="21"/>
                      <w:szCs w:val="21"/>
                      <w:u w:val="single"/>
                    </w:rPr>
                  </w:pPr>
                  <w:r>
                    <w:rPr>
                      <w:sz w:val="21"/>
                      <w:szCs w:val="21"/>
                      <w:u w:val="single"/>
                    </w:rPr>
                    <w:t>1套</w:t>
                  </w:r>
                </w:p>
              </w:tc>
              <w:tc>
                <w:tcPr>
                  <w:tcW w:w="478" w:type="pct"/>
                  <w:vAlign w:val="center"/>
                </w:tcPr>
                <w:p>
                  <w:pPr>
                    <w:wordWrap w:val="0"/>
                    <w:topLinePunct/>
                    <w:adjustRightInd w:val="0"/>
                    <w:snapToGrid w:val="0"/>
                    <w:spacing w:line="240" w:lineRule="auto"/>
                    <w:jc w:val="center"/>
                    <w:rPr>
                      <w:sz w:val="21"/>
                      <w:szCs w:val="21"/>
                      <w:u w:val="single"/>
                    </w:rPr>
                  </w:pPr>
                  <w:r>
                    <w:rPr>
                      <w:rFonts w:hint="eastAsia"/>
                      <w:sz w:val="21"/>
                      <w:szCs w:val="21"/>
                      <w:u w:val="single"/>
                    </w:rPr>
                    <w:t>1</w:t>
                  </w:r>
                </w:p>
              </w:tc>
              <w:tc>
                <w:tcPr>
                  <w:tcW w:w="478" w:type="pct"/>
                  <w:vAlign w:val="center"/>
                </w:tcPr>
                <w:p>
                  <w:pPr>
                    <w:wordWrap w:val="0"/>
                    <w:topLinePunct/>
                    <w:adjustRightInd w:val="0"/>
                    <w:snapToGrid w:val="0"/>
                    <w:spacing w:line="240" w:lineRule="auto"/>
                    <w:jc w:val="center"/>
                    <w:rPr>
                      <w:sz w:val="21"/>
                      <w:szCs w:val="21"/>
                      <w:u w:val="single"/>
                    </w:rPr>
                  </w:pPr>
                  <w:r>
                    <w:rPr>
                      <w:rFonts w:hint="eastAsia"/>
                      <w:sz w:val="21"/>
                      <w:szCs w:val="21"/>
                      <w:u w:val="single"/>
                    </w:rPr>
                    <w:t>已投入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76" w:type="pct"/>
                  <w:vMerge w:val="continue"/>
                  <w:vAlign w:val="center"/>
                </w:tcPr>
                <w:p>
                  <w:pPr>
                    <w:wordWrap w:val="0"/>
                    <w:topLinePunct/>
                    <w:adjustRightInd w:val="0"/>
                    <w:snapToGrid w:val="0"/>
                    <w:spacing w:line="240" w:lineRule="auto"/>
                    <w:jc w:val="center"/>
                    <w:rPr>
                      <w:sz w:val="21"/>
                      <w:szCs w:val="21"/>
                      <w:u w:val="single"/>
                    </w:rPr>
                  </w:pPr>
                </w:p>
              </w:tc>
              <w:tc>
                <w:tcPr>
                  <w:tcW w:w="604" w:type="pct"/>
                  <w:vAlign w:val="center"/>
                </w:tcPr>
                <w:p>
                  <w:pPr>
                    <w:wordWrap w:val="0"/>
                    <w:topLinePunct/>
                    <w:adjustRightInd w:val="0"/>
                    <w:snapToGrid w:val="0"/>
                    <w:spacing w:line="240" w:lineRule="auto"/>
                    <w:jc w:val="center"/>
                    <w:rPr>
                      <w:sz w:val="21"/>
                      <w:szCs w:val="21"/>
                      <w:u w:val="single"/>
                    </w:rPr>
                  </w:pPr>
                  <w:r>
                    <w:rPr>
                      <w:rFonts w:hint="eastAsia"/>
                      <w:sz w:val="21"/>
                      <w:szCs w:val="21"/>
                      <w:u w:val="single"/>
                    </w:rPr>
                    <w:t>装卸</w:t>
                  </w:r>
                </w:p>
              </w:tc>
              <w:tc>
                <w:tcPr>
                  <w:tcW w:w="1168" w:type="pct"/>
                  <w:vMerge w:val="restart"/>
                  <w:vAlign w:val="center"/>
                </w:tcPr>
                <w:p>
                  <w:pPr>
                    <w:wordWrap w:val="0"/>
                    <w:topLinePunct/>
                    <w:adjustRightInd w:val="0"/>
                    <w:snapToGrid w:val="0"/>
                    <w:spacing w:line="240" w:lineRule="auto"/>
                    <w:jc w:val="center"/>
                    <w:rPr>
                      <w:sz w:val="21"/>
                      <w:szCs w:val="21"/>
                      <w:u w:val="single"/>
                    </w:rPr>
                  </w:pPr>
                  <w:r>
                    <w:rPr>
                      <w:sz w:val="21"/>
                      <w:szCs w:val="21"/>
                      <w:u w:val="single"/>
                    </w:rPr>
                    <w:t>颗粒物</w:t>
                  </w:r>
                </w:p>
              </w:tc>
              <w:tc>
                <w:tcPr>
                  <w:tcW w:w="1569" w:type="pct"/>
                  <w:vAlign w:val="center"/>
                </w:tcPr>
                <w:p>
                  <w:pPr>
                    <w:wordWrap w:val="0"/>
                    <w:topLinePunct/>
                    <w:adjustRightInd w:val="0"/>
                    <w:snapToGrid w:val="0"/>
                    <w:spacing w:line="240" w:lineRule="auto"/>
                    <w:jc w:val="center"/>
                    <w:rPr>
                      <w:sz w:val="21"/>
                      <w:szCs w:val="21"/>
                      <w:u w:val="single"/>
                    </w:rPr>
                  </w:pPr>
                  <w:r>
                    <w:rPr>
                      <w:rFonts w:hint="eastAsia"/>
                      <w:sz w:val="21"/>
                      <w:szCs w:val="21"/>
                      <w:u w:val="single"/>
                    </w:rPr>
                    <w:t>洒水抑尘</w:t>
                  </w:r>
                </w:p>
              </w:tc>
              <w:tc>
                <w:tcPr>
                  <w:tcW w:w="324" w:type="pct"/>
                  <w:vAlign w:val="center"/>
                </w:tcPr>
                <w:p>
                  <w:pPr>
                    <w:wordWrap w:val="0"/>
                    <w:topLinePunct/>
                    <w:adjustRightInd w:val="0"/>
                    <w:snapToGrid w:val="0"/>
                    <w:spacing w:line="240" w:lineRule="auto"/>
                    <w:jc w:val="center"/>
                    <w:rPr>
                      <w:sz w:val="21"/>
                      <w:szCs w:val="21"/>
                      <w:u w:val="single"/>
                    </w:rPr>
                  </w:pPr>
                  <w:r>
                    <w:rPr>
                      <w:rFonts w:hint="eastAsia"/>
                      <w:sz w:val="21"/>
                      <w:szCs w:val="21"/>
                      <w:u w:val="single"/>
                    </w:rPr>
                    <w:t>/</w:t>
                  </w:r>
                </w:p>
              </w:tc>
              <w:tc>
                <w:tcPr>
                  <w:tcW w:w="478" w:type="pct"/>
                  <w:vMerge w:val="restart"/>
                  <w:vAlign w:val="center"/>
                </w:tcPr>
                <w:p>
                  <w:pPr>
                    <w:wordWrap w:val="0"/>
                    <w:topLinePunct/>
                    <w:adjustRightInd w:val="0"/>
                    <w:snapToGrid w:val="0"/>
                    <w:spacing w:line="240" w:lineRule="auto"/>
                    <w:jc w:val="center"/>
                    <w:rPr>
                      <w:rFonts w:hint="eastAsia" w:eastAsia="宋体"/>
                      <w:sz w:val="21"/>
                      <w:szCs w:val="21"/>
                      <w:u w:val="single"/>
                      <w:lang w:eastAsia="zh-CN"/>
                    </w:rPr>
                  </w:pPr>
                  <w:r>
                    <w:rPr>
                      <w:rFonts w:hint="eastAsia"/>
                      <w:sz w:val="21"/>
                      <w:szCs w:val="21"/>
                      <w:u w:val="single"/>
                    </w:rPr>
                    <w:t>6</w:t>
                  </w:r>
                  <w:r>
                    <w:rPr>
                      <w:rFonts w:hint="eastAsia"/>
                      <w:sz w:val="21"/>
                      <w:szCs w:val="21"/>
                      <w:u w:val="single"/>
                      <w:lang w:val="en-US" w:eastAsia="zh-CN"/>
                    </w:rPr>
                    <w:t>0</w:t>
                  </w:r>
                </w:p>
              </w:tc>
              <w:tc>
                <w:tcPr>
                  <w:tcW w:w="478" w:type="pct"/>
                  <w:vAlign w:val="center"/>
                </w:tcPr>
                <w:p>
                  <w:pPr>
                    <w:wordWrap w:val="0"/>
                    <w:topLinePunct/>
                    <w:adjustRightInd w:val="0"/>
                    <w:snapToGrid w:val="0"/>
                    <w:spacing w:line="240" w:lineRule="auto"/>
                    <w:jc w:val="center"/>
                    <w:rPr>
                      <w:sz w:val="21"/>
                      <w:szCs w:val="21"/>
                      <w:u w:val="single"/>
                    </w:rPr>
                  </w:pPr>
                  <w:r>
                    <w:rPr>
                      <w:rFonts w:hint="eastAsia"/>
                      <w:sz w:val="21"/>
                      <w:szCs w:val="21"/>
                      <w:u w:val="singl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76" w:type="pct"/>
                  <w:vMerge w:val="continue"/>
                  <w:vAlign w:val="center"/>
                </w:tcPr>
                <w:p>
                  <w:pPr>
                    <w:wordWrap w:val="0"/>
                    <w:topLinePunct/>
                    <w:adjustRightInd w:val="0"/>
                    <w:snapToGrid w:val="0"/>
                    <w:spacing w:line="240" w:lineRule="auto"/>
                    <w:jc w:val="center"/>
                    <w:rPr>
                      <w:sz w:val="21"/>
                      <w:szCs w:val="21"/>
                      <w:u w:val="single"/>
                    </w:rPr>
                  </w:pPr>
                </w:p>
              </w:tc>
              <w:tc>
                <w:tcPr>
                  <w:tcW w:w="604" w:type="pct"/>
                  <w:vAlign w:val="center"/>
                </w:tcPr>
                <w:p>
                  <w:pPr>
                    <w:wordWrap w:val="0"/>
                    <w:topLinePunct/>
                    <w:adjustRightInd w:val="0"/>
                    <w:snapToGrid w:val="0"/>
                    <w:spacing w:line="240" w:lineRule="auto"/>
                    <w:jc w:val="center"/>
                    <w:rPr>
                      <w:sz w:val="21"/>
                      <w:szCs w:val="21"/>
                      <w:u w:val="single"/>
                    </w:rPr>
                  </w:pPr>
                  <w:r>
                    <w:rPr>
                      <w:rFonts w:hint="eastAsia"/>
                      <w:sz w:val="21"/>
                      <w:szCs w:val="21"/>
                      <w:u w:val="single"/>
                    </w:rPr>
                    <w:t>运输车辆</w:t>
                  </w:r>
                </w:p>
              </w:tc>
              <w:tc>
                <w:tcPr>
                  <w:tcW w:w="1168" w:type="pct"/>
                  <w:vMerge w:val="continue"/>
                  <w:vAlign w:val="center"/>
                </w:tcPr>
                <w:p>
                  <w:pPr>
                    <w:wordWrap w:val="0"/>
                    <w:topLinePunct/>
                    <w:adjustRightInd w:val="0"/>
                    <w:snapToGrid w:val="0"/>
                    <w:spacing w:line="240" w:lineRule="auto"/>
                    <w:jc w:val="center"/>
                    <w:rPr>
                      <w:sz w:val="21"/>
                      <w:szCs w:val="21"/>
                      <w:u w:val="single"/>
                    </w:rPr>
                  </w:pPr>
                </w:p>
              </w:tc>
              <w:tc>
                <w:tcPr>
                  <w:tcW w:w="1569" w:type="pct"/>
                  <w:vAlign w:val="center"/>
                </w:tcPr>
                <w:p>
                  <w:pPr>
                    <w:wordWrap w:val="0"/>
                    <w:topLinePunct/>
                    <w:adjustRightInd w:val="0"/>
                    <w:snapToGrid w:val="0"/>
                    <w:spacing w:line="240" w:lineRule="auto"/>
                    <w:jc w:val="center"/>
                    <w:rPr>
                      <w:sz w:val="21"/>
                      <w:szCs w:val="21"/>
                      <w:u w:val="single"/>
                    </w:rPr>
                  </w:pPr>
                  <w:r>
                    <w:rPr>
                      <w:rFonts w:hint="eastAsia"/>
                      <w:sz w:val="21"/>
                      <w:szCs w:val="21"/>
                      <w:u w:val="single"/>
                    </w:rPr>
                    <w:t>洒水抑尘</w:t>
                  </w:r>
                </w:p>
              </w:tc>
              <w:tc>
                <w:tcPr>
                  <w:tcW w:w="324" w:type="pct"/>
                  <w:vAlign w:val="center"/>
                </w:tcPr>
                <w:p>
                  <w:pPr>
                    <w:wordWrap w:val="0"/>
                    <w:topLinePunct/>
                    <w:adjustRightInd w:val="0"/>
                    <w:snapToGrid w:val="0"/>
                    <w:spacing w:line="240" w:lineRule="auto"/>
                    <w:jc w:val="center"/>
                    <w:rPr>
                      <w:sz w:val="21"/>
                      <w:szCs w:val="21"/>
                      <w:u w:val="single"/>
                    </w:rPr>
                  </w:pPr>
                  <w:r>
                    <w:rPr>
                      <w:rFonts w:hint="eastAsia"/>
                      <w:sz w:val="21"/>
                      <w:szCs w:val="21"/>
                      <w:u w:val="single"/>
                    </w:rPr>
                    <w:t>/</w:t>
                  </w:r>
                </w:p>
              </w:tc>
              <w:tc>
                <w:tcPr>
                  <w:tcW w:w="478" w:type="pct"/>
                  <w:vMerge w:val="continue"/>
                  <w:vAlign w:val="center"/>
                </w:tcPr>
                <w:p>
                  <w:pPr>
                    <w:wordWrap w:val="0"/>
                    <w:topLinePunct/>
                    <w:adjustRightInd w:val="0"/>
                    <w:snapToGrid w:val="0"/>
                    <w:spacing w:line="240" w:lineRule="auto"/>
                    <w:jc w:val="center"/>
                    <w:rPr>
                      <w:sz w:val="21"/>
                      <w:szCs w:val="21"/>
                      <w:u w:val="single"/>
                    </w:rPr>
                  </w:pPr>
                </w:p>
              </w:tc>
              <w:tc>
                <w:tcPr>
                  <w:tcW w:w="478" w:type="pct"/>
                  <w:vAlign w:val="center"/>
                </w:tcPr>
                <w:p>
                  <w:pPr>
                    <w:wordWrap w:val="0"/>
                    <w:topLinePunct/>
                    <w:adjustRightInd w:val="0"/>
                    <w:snapToGrid w:val="0"/>
                    <w:spacing w:line="240" w:lineRule="auto"/>
                    <w:jc w:val="center"/>
                    <w:rPr>
                      <w:sz w:val="21"/>
                      <w:szCs w:val="21"/>
                      <w:u w:val="single"/>
                    </w:rPr>
                  </w:pPr>
                  <w:r>
                    <w:rPr>
                      <w:rFonts w:hint="eastAsia"/>
                      <w:sz w:val="21"/>
                      <w:szCs w:val="21"/>
                      <w:u w:val="single"/>
                    </w:rPr>
                    <w:t>已投入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76" w:type="pct"/>
                  <w:vMerge w:val="continue"/>
                  <w:vAlign w:val="center"/>
                </w:tcPr>
                <w:p>
                  <w:pPr>
                    <w:wordWrap w:val="0"/>
                    <w:topLinePunct/>
                    <w:adjustRightInd w:val="0"/>
                    <w:snapToGrid w:val="0"/>
                    <w:spacing w:line="240" w:lineRule="auto"/>
                    <w:jc w:val="center"/>
                    <w:rPr>
                      <w:sz w:val="21"/>
                      <w:szCs w:val="21"/>
                      <w:u w:val="single"/>
                    </w:rPr>
                  </w:pPr>
                </w:p>
              </w:tc>
              <w:tc>
                <w:tcPr>
                  <w:tcW w:w="604" w:type="pct"/>
                  <w:vAlign w:val="center"/>
                </w:tcPr>
                <w:p>
                  <w:pPr>
                    <w:wordWrap w:val="0"/>
                    <w:topLinePunct/>
                    <w:adjustRightInd w:val="0"/>
                    <w:snapToGrid w:val="0"/>
                    <w:spacing w:line="240" w:lineRule="auto"/>
                    <w:jc w:val="center"/>
                    <w:rPr>
                      <w:sz w:val="21"/>
                      <w:szCs w:val="21"/>
                      <w:u w:val="single"/>
                    </w:rPr>
                  </w:pPr>
                  <w:r>
                    <w:rPr>
                      <w:rFonts w:hint="eastAsia"/>
                      <w:sz w:val="21"/>
                      <w:szCs w:val="21"/>
                      <w:u w:val="single"/>
                    </w:rPr>
                    <w:t>破碎、筛分、制砂</w:t>
                  </w:r>
                </w:p>
              </w:tc>
              <w:tc>
                <w:tcPr>
                  <w:tcW w:w="1168" w:type="pct"/>
                  <w:vMerge w:val="continue"/>
                  <w:vAlign w:val="center"/>
                </w:tcPr>
                <w:p>
                  <w:pPr>
                    <w:wordWrap w:val="0"/>
                    <w:topLinePunct/>
                    <w:adjustRightInd w:val="0"/>
                    <w:snapToGrid w:val="0"/>
                    <w:spacing w:line="240" w:lineRule="auto"/>
                    <w:jc w:val="center"/>
                    <w:rPr>
                      <w:sz w:val="21"/>
                      <w:szCs w:val="21"/>
                      <w:u w:val="single"/>
                    </w:rPr>
                  </w:pPr>
                </w:p>
              </w:tc>
              <w:tc>
                <w:tcPr>
                  <w:tcW w:w="1569" w:type="pct"/>
                  <w:vAlign w:val="center"/>
                </w:tcPr>
                <w:p>
                  <w:pPr>
                    <w:wordWrap w:val="0"/>
                    <w:topLinePunct/>
                    <w:adjustRightInd w:val="0"/>
                    <w:snapToGrid w:val="0"/>
                    <w:spacing w:line="240" w:lineRule="auto"/>
                    <w:jc w:val="center"/>
                    <w:rPr>
                      <w:rFonts w:hint="eastAsia" w:eastAsia="宋体"/>
                      <w:sz w:val="21"/>
                      <w:szCs w:val="21"/>
                      <w:u w:val="single"/>
                      <w:lang w:eastAsia="zh-CN"/>
                    </w:rPr>
                  </w:pPr>
                  <w:r>
                    <w:rPr>
                      <w:rFonts w:hint="eastAsia"/>
                      <w:sz w:val="21"/>
                      <w:szCs w:val="21"/>
                      <w:u w:val="single"/>
                    </w:rPr>
                    <w:t>湿式作业</w:t>
                  </w:r>
                  <w:r>
                    <w:rPr>
                      <w:rFonts w:hint="eastAsia"/>
                      <w:sz w:val="21"/>
                      <w:szCs w:val="21"/>
                      <w:u w:val="single"/>
                      <w:lang w:eastAsia="zh-CN"/>
                    </w:rPr>
                    <w:t>，且</w:t>
                  </w:r>
                  <w:r>
                    <w:rPr>
                      <w:rFonts w:hint="eastAsia"/>
                      <w:sz w:val="21"/>
                      <w:szCs w:val="21"/>
                      <w:u w:val="single"/>
                    </w:rPr>
                    <w:t>对</w:t>
                  </w:r>
                  <w:r>
                    <w:rPr>
                      <w:rFonts w:hint="eastAsia"/>
                      <w:sz w:val="21"/>
                      <w:szCs w:val="21"/>
                      <w:u w:val="single"/>
                      <w:lang w:eastAsia="zh-CN"/>
                    </w:rPr>
                    <w:t>破碎工序</w:t>
                  </w:r>
                  <w:r>
                    <w:rPr>
                      <w:rFonts w:hint="eastAsia"/>
                      <w:sz w:val="21"/>
                      <w:szCs w:val="21"/>
                      <w:u w:val="single"/>
                    </w:rPr>
                    <w:t>设置</w:t>
                  </w:r>
                  <w:r>
                    <w:rPr>
                      <w:rFonts w:hint="eastAsia"/>
                      <w:sz w:val="21"/>
                      <w:szCs w:val="21"/>
                      <w:u w:val="single"/>
                      <w:lang w:eastAsia="zh-CN"/>
                    </w:rPr>
                    <w:t>三面</w:t>
                  </w:r>
                  <w:r>
                    <w:rPr>
                      <w:rFonts w:hint="eastAsia"/>
                      <w:sz w:val="21"/>
                      <w:szCs w:val="21"/>
                      <w:u w:val="single"/>
                    </w:rPr>
                    <w:t>围挡</w:t>
                  </w:r>
                </w:p>
              </w:tc>
              <w:tc>
                <w:tcPr>
                  <w:tcW w:w="324" w:type="pct"/>
                  <w:vAlign w:val="center"/>
                </w:tcPr>
                <w:p>
                  <w:pPr>
                    <w:wordWrap w:val="0"/>
                    <w:topLinePunct/>
                    <w:adjustRightInd w:val="0"/>
                    <w:snapToGrid w:val="0"/>
                    <w:spacing w:line="240" w:lineRule="auto"/>
                    <w:jc w:val="center"/>
                    <w:rPr>
                      <w:sz w:val="21"/>
                      <w:szCs w:val="21"/>
                      <w:u w:val="single"/>
                    </w:rPr>
                  </w:pPr>
                  <w:r>
                    <w:rPr>
                      <w:rFonts w:hint="eastAsia"/>
                      <w:sz w:val="21"/>
                      <w:szCs w:val="21"/>
                      <w:u w:val="single"/>
                    </w:rPr>
                    <w:t>1套</w:t>
                  </w:r>
                </w:p>
              </w:tc>
              <w:tc>
                <w:tcPr>
                  <w:tcW w:w="478" w:type="pct"/>
                  <w:vMerge w:val="continue"/>
                  <w:vAlign w:val="center"/>
                </w:tcPr>
                <w:p>
                  <w:pPr>
                    <w:wordWrap w:val="0"/>
                    <w:topLinePunct/>
                    <w:adjustRightInd w:val="0"/>
                    <w:snapToGrid w:val="0"/>
                    <w:spacing w:line="240" w:lineRule="auto"/>
                    <w:jc w:val="center"/>
                    <w:rPr>
                      <w:sz w:val="21"/>
                      <w:szCs w:val="21"/>
                      <w:u w:val="single"/>
                    </w:rPr>
                  </w:pPr>
                </w:p>
              </w:tc>
              <w:tc>
                <w:tcPr>
                  <w:tcW w:w="478" w:type="pct"/>
                  <w:vAlign w:val="center"/>
                </w:tcPr>
                <w:p>
                  <w:pPr>
                    <w:wordWrap w:val="0"/>
                    <w:topLinePunct/>
                    <w:adjustRightInd w:val="0"/>
                    <w:snapToGrid w:val="0"/>
                    <w:spacing w:line="240" w:lineRule="auto"/>
                    <w:jc w:val="center"/>
                    <w:rPr>
                      <w:sz w:val="21"/>
                      <w:szCs w:val="21"/>
                      <w:u w:val="single"/>
                    </w:rPr>
                  </w:pPr>
                  <w:r>
                    <w:rPr>
                      <w:rFonts w:hint="eastAsia"/>
                      <w:sz w:val="21"/>
                      <w:szCs w:val="21"/>
                      <w:u w:val="single"/>
                    </w:rPr>
                    <w:t>已投入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0" w:hRule="atLeast"/>
                <w:jc w:val="center"/>
              </w:trPr>
              <w:tc>
                <w:tcPr>
                  <w:tcW w:w="376" w:type="pct"/>
                  <w:vMerge w:val="continue"/>
                  <w:vAlign w:val="center"/>
                </w:tcPr>
                <w:p>
                  <w:pPr>
                    <w:wordWrap w:val="0"/>
                    <w:topLinePunct/>
                    <w:adjustRightInd w:val="0"/>
                    <w:snapToGrid w:val="0"/>
                    <w:spacing w:line="240" w:lineRule="auto"/>
                    <w:jc w:val="center"/>
                    <w:rPr>
                      <w:sz w:val="21"/>
                      <w:szCs w:val="21"/>
                      <w:u w:val="single"/>
                    </w:rPr>
                  </w:pPr>
                </w:p>
              </w:tc>
              <w:tc>
                <w:tcPr>
                  <w:tcW w:w="604" w:type="pct"/>
                  <w:vAlign w:val="center"/>
                </w:tcPr>
                <w:p>
                  <w:pPr>
                    <w:wordWrap w:val="0"/>
                    <w:topLinePunct/>
                    <w:adjustRightInd w:val="0"/>
                    <w:snapToGrid w:val="0"/>
                    <w:spacing w:line="240" w:lineRule="auto"/>
                    <w:jc w:val="center"/>
                    <w:rPr>
                      <w:sz w:val="21"/>
                      <w:szCs w:val="21"/>
                      <w:u w:val="single"/>
                    </w:rPr>
                  </w:pPr>
                  <w:r>
                    <w:rPr>
                      <w:rFonts w:hint="eastAsia"/>
                      <w:sz w:val="21"/>
                      <w:szCs w:val="21"/>
                      <w:u w:val="single"/>
                    </w:rPr>
                    <w:t>成品堆场</w:t>
                  </w:r>
                </w:p>
              </w:tc>
              <w:tc>
                <w:tcPr>
                  <w:tcW w:w="1168" w:type="pct"/>
                  <w:vMerge w:val="continue"/>
                  <w:vAlign w:val="center"/>
                </w:tcPr>
                <w:p>
                  <w:pPr>
                    <w:wordWrap w:val="0"/>
                    <w:topLinePunct/>
                    <w:adjustRightInd w:val="0"/>
                    <w:snapToGrid w:val="0"/>
                    <w:spacing w:line="240" w:lineRule="auto"/>
                    <w:jc w:val="center"/>
                    <w:rPr>
                      <w:sz w:val="21"/>
                      <w:szCs w:val="21"/>
                      <w:u w:val="single"/>
                    </w:rPr>
                  </w:pPr>
                </w:p>
              </w:tc>
              <w:tc>
                <w:tcPr>
                  <w:tcW w:w="1569" w:type="pct"/>
                  <w:vAlign w:val="center"/>
                </w:tcPr>
                <w:p>
                  <w:pPr>
                    <w:wordWrap w:val="0"/>
                    <w:topLinePunct/>
                    <w:adjustRightInd w:val="0"/>
                    <w:snapToGrid w:val="0"/>
                    <w:spacing w:line="240" w:lineRule="auto"/>
                    <w:jc w:val="center"/>
                    <w:rPr>
                      <w:sz w:val="21"/>
                      <w:szCs w:val="21"/>
                      <w:u w:val="single"/>
                    </w:rPr>
                  </w:pPr>
                  <w:r>
                    <w:rPr>
                      <w:rFonts w:hint="eastAsia"/>
                      <w:sz w:val="21"/>
                      <w:szCs w:val="21"/>
                      <w:u w:val="single"/>
                    </w:rPr>
                    <w:t>喷淋抑尘设施</w:t>
                  </w:r>
                </w:p>
              </w:tc>
              <w:tc>
                <w:tcPr>
                  <w:tcW w:w="324" w:type="pct"/>
                  <w:vAlign w:val="center"/>
                </w:tcPr>
                <w:p>
                  <w:pPr>
                    <w:wordWrap w:val="0"/>
                    <w:topLinePunct/>
                    <w:adjustRightInd w:val="0"/>
                    <w:snapToGrid w:val="0"/>
                    <w:spacing w:line="240" w:lineRule="auto"/>
                    <w:jc w:val="center"/>
                    <w:rPr>
                      <w:sz w:val="21"/>
                      <w:szCs w:val="21"/>
                      <w:u w:val="single"/>
                    </w:rPr>
                  </w:pPr>
                  <w:r>
                    <w:rPr>
                      <w:rFonts w:hint="eastAsia"/>
                      <w:sz w:val="21"/>
                      <w:szCs w:val="21"/>
                      <w:u w:val="single"/>
                    </w:rPr>
                    <w:t>1套</w:t>
                  </w:r>
                </w:p>
              </w:tc>
              <w:tc>
                <w:tcPr>
                  <w:tcW w:w="478" w:type="pct"/>
                  <w:vMerge w:val="continue"/>
                  <w:vAlign w:val="center"/>
                </w:tcPr>
                <w:p>
                  <w:pPr>
                    <w:wordWrap w:val="0"/>
                    <w:topLinePunct/>
                    <w:adjustRightInd w:val="0"/>
                    <w:snapToGrid w:val="0"/>
                    <w:spacing w:line="240" w:lineRule="auto"/>
                    <w:jc w:val="center"/>
                    <w:rPr>
                      <w:sz w:val="21"/>
                      <w:szCs w:val="21"/>
                      <w:u w:val="single"/>
                    </w:rPr>
                  </w:pPr>
                </w:p>
              </w:tc>
              <w:tc>
                <w:tcPr>
                  <w:tcW w:w="478" w:type="pct"/>
                  <w:vAlign w:val="center"/>
                </w:tcPr>
                <w:p>
                  <w:pPr>
                    <w:wordWrap w:val="0"/>
                    <w:topLinePunct/>
                    <w:adjustRightInd w:val="0"/>
                    <w:snapToGrid w:val="0"/>
                    <w:spacing w:line="240" w:lineRule="auto"/>
                    <w:jc w:val="center"/>
                    <w:rPr>
                      <w:sz w:val="21"/>
                      <w:szCs w:val="21"/>
                      <w:u w:val="single"/>
                    </w:rPr>
                  </w:pPr>
                  <w:r>
                    <w:rPr>
                      <w:rFonts w:hint="eastAsia"/>
                      <w:sz w:val="21"/>
                      <w:szCs w:val="21"/>
                      <w:u w:val="singl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8" w:hRule="atLeast"/>
                <w:jc w:val="center"/>
              </w:trPr>
              <w:tc>
                <w:tcPr>
                  <w:tcW w:w="376" w:type="pct"/>
                  <w:vMerge w:val="restart"/>
                  <w:vAlign w:val="center"/>
                </w:tcPr>
                <w:p>
                  <w:pPr>
                    <w:wordWrap w:val="0"/>
                    <w:topLinePunct/>
                    <w:adjustRightInd w:val="0"/>
                    <w:snapToGrid w:val="0"/>
                    <w:spacing w:line="240" w:lineRule="auto"/>
                    <w:jc w:val="center"/>
                    <w:rPr>
                      <w:sz w:val="21"/>
                      <w:szCs w:val="21"/>
                      <w:u w:val="single"/>
                    </w:rPr>
                  </w:pPr>
                  <w:r>
                    <w:rPr>
                      <w:sz w:val="21"/>
                      <w:szCs w:val="21"/>
                      <w:u w:val="single"/>
                    </w:rPr>
                    <w:t>固废</w:t>
                  </w:r>
                </w:p>
              </w:tc>
              <w:tc>
                <w:tcPr>
                  <w:tcW w:w="604" w:type="pct"/>
                  <w:vAlign w:val="center"/>
                </w:tcPr>
                <w:p>
                  <w:pPr>
                    <w:wordWrap w:val="0"/>
                    <w:topLinePunct/>
                    <w:adjustRightInd w:val="0"/>
                    <w:snapToGrid w:val="0"/>
                    <w:spacing w:line="240" w:lineRule="auto"/>
                    <w:jc w:val="center"/>
                    <w:rPr>
                      <w:sz w:val="21"/>
                      <w:szCs w:val="21"/>
                      <w:u w:val="single"/>
                    </w:rPr>
                  </w:pPr>
                  <w:r>
                    <w:rPr>
                      <w:sz w:val="21"/>
                      <w:szCs w:val="21"/>
                      <w:u w:val="single"/>
                    </w:rPr>
                    <w:t>生产</w:t>
                  </w:r>
                </w:p>
              </w:tc>
              <w:tc>
                <w:tcPr>
                  <w:tcW w:w="1168" w:type="pct"/>
                  <w:vAlign w:val="center"/>
                </w:tcPr>
                <w:p>
                  <w:pPr>
                    <w:wordWrap w:val="0"/>
                    <w:topLinePunct/>
                    <w:adjustRightInd w:val="0"/>
                    <w:snapToGrid w:val="0"/>
                    <w:spacing w:line="240" w:lineRule="auto"/>
                    <w:jc w:val="center"/>
                    <w:rPr>
                      <w:sz w:val="21"/>
                      <w:szCs w:val="21"/>
                      <w:u w:val="single"/>
                    </w:rPr>
                  </w:pPr>
                  <w:r>
                    <w:rPr>
                      <w:sz w:val="21"/>
                      <w:szCs w:val="21"/>
                      <w:u w:val="single"/>
                    </w:rPr>
                    <w:t>一般工业固废</w:t>
                  </w:r>
                </w:p>
              </w:tc>
              <w:tc>
                <w:tcPr>
                  <w:tcW w:w="1569" w:type="pct"/>
                  <w:vAlign w:val="center"/>
                </w:tcPr>
                <w:p>
                  <w:pPr>
                    <w:wordWrap w:val="0"/>
                    <w:topLinePunct/>
                    <w:adjustRightInd w:val="0"/>
                    <w:snapToGrid w:val="0"/>
                    <w:spacing w:line="240" w:lineRule="auto"/>
                    <w:ind w:left="-120" w:leftChars="-50" w:right="-120" w:rightChars="-50"/>
                    <w:jc w:val="center"/>
                    <w:rPr>
                      <w:sz w:val="21"/>
                      <w:szCs w:val="21"/>
                      <w:u w:val="single"/>
                    </w:rPr>
                  </w:pPr>
                  <w:r>
                    <w:rPr>
                      <w:sz w:val="21"/>
                      <w:szCs w:val="21"/>
                      <w:u w:val="single"/>
                    </w:rPr>
                    <w:t>一般固废暂存区</w:t>
                  </w:r>
                </w:p>
              </w:tc>
              <w:tc>
                <w:tcPr>
                  <w:tcW w:w="324" w:type="pct"/>
                  <w:vAlign w:val="center"/>
                </w:tcPr>
                <w:p>
                  <w:pPr>
                    <w:wordWrap w:val="0"/>
                    <w:topLinePunct/>
                    <w:adjustRightInd w:val="0"/>
                    <w:snapToGrid w:val="0"/>
                    <w:spacing w:line="240" w:lineRule="auto"/>
                    <w:jc w:val="center"/>
                    <w:rPr>
                      <w:sz w:val="21"/>
                      <w:szCs w:val="21"/>
                      <w:u w:val="single"/>
                    </w:rPr>
                  </w:pPr>
                  <w:r>
                    <w:rPr>
                      <w:sz w:val="21"/>
                      <w:szCs w:val="21"/>
                      <w:u w:val="single"/>
                    </w:rPr>
                    <w:t>1个</w:t>
                  </w:r>
                </w:p>
              </w:tc>
              <w:tc>
                <w:tcPr>
                  <w:tcW w:w="478" w:type="pct"/>
                  <w:vAlign w:val="center"/>
                </w:tcPr>
                <w:p>
                  <w:pPr>
                    <w:wordWrap w:val="0"/>
                    <w:topLinePunct/>
                    <w:adjustRightInd w:val="0"/>
                    <w:snapToGrid w:val="0"/>
                    <w:spacing w:line="240" w:lineRule="auto"/>
                    <w:jc w:val="center"/>
                    <w:rPr>
                      <w:sz w:val="21"/>
                      <w:szCs w:val="21"/>
                      <w:u w:val="single"/>
                    </w:rPr>
                  </w:pPr>
                  <w:r>
                    <w:rPr>
                      <w:sz w:val="21"/>
                      <w:szCs w:val="21"/>
                      <w:u w:val="single"/>
                    </w:rPr>
                    <w:t>4</w:t>
                  </w:r>
                </w:p>
              </w:tc>
              <w:tc>
                <w:tcPr>
                  <w:tcW w:w="478" w:type="pct"/>
                  <w:vAlign w:val="center"/>
                </w:tcPr>
                <w:p>
                  <w:pPr>
                    <w:wordWrap w:val="0"/>
                    <w:topLinePunct/>
                    <w:adjustRightInd w:val="0"/>
                    <w:snapToGrid w:val="0"/>
                    <w:spacing w:line="240" w:lineRule="auto"/>
                    <w:jc w:val="center"/>
                    <w:rPr>
                      <w:sz w:val="21"/>
                      <w:szCs w:val="21"/>
                      <w:u w:val="single"/>
                    </w:rPr>
                  </w:pPr>
                  <w:r>
                    <w:rPr>
                      <w:rFonts w:hint="eastAsia"/>
                      <w:sz w:val="21"/>
                      <w:szCs w:val="21"/>
                      <w:u w:val="single"/>
                    </w:rPr>
                    <w:t>已投入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8" w:hRule="atLeast"/>
                <w:jc w:val="center"/>
              </w:trPr>
              <w:tc>
                <w:tcPr>
                  <w:tcW w:w="376" w:type="pct"/>
                  <w:vMerge w:val="continue"/>
                  <w:vAlign w:val="center"/>
                </w:tcPr>
                <w:p>
                  <w:pPr>
                    <w:wordWrap w:val="0"/>
                    <w:topLinePunct/>
                    <w:adjustRightInd w:val="0"/>
                    <w:snapToGrid w:val="0"/>
                    <w:spacing w:line="240" w:lineRule="auto"/>
                    <w:jc w:val="center"/>
                    <w:rPr>
                      <w:sz w:val="21"/>
                      <w:szCs w:val="21"/>
                      <w:u w:val="single"/>
                    </w:rPr>
                  </w:pPr>
                </w:p>
              </w:tc>
              <w:tc>
                <w:tcPr>
                  <w:tcW w:w="604" w:type="pct"/>
                  <w:vAlign w:val="center"/>
                </w:tcPr>
                <w:p>
                  <w:pPr>
                    <w:wordWrap w:val="0"/>
                    <w:topLinePunct/>
                    <w:adjustRightInd w:val="0"/>
                    <w:snapToGrid w:val="0"/>
                    <w:spacing w:line="240" w:lineRule="auto"/>
                    <w:jc w:val="center"/>
                    <w:rPr>
                      <w:sz w:val="21"/>
                      <w:szCs w:val="21"/>
                      <w:u w:val="single"/>
                    </w:rPr>
                  </w:pPr>
                  <w:r>
                    <w:rPr>
                      <w:sz w:val="21"/>
                      <w:szCs w:val="21"/>
                      <w:u w:val="single"/>
                    </w:rPr>
                    <w:t>生产</w:t>
                  </w:r>
                </w:p>
              </w:tc>
              <w:tc>
                <w:tcPr>
                  <w:tcW w:w="1168" w:type="pct"/>
                  <w:vAlign w:val="center"/>
                </w:tcPr>
                <w:p>
                  <w:pPr>
                    <w:wordWrap w:val="0"/>
                    <w:topLinePunct/>
                    <w:adjustRightInd w:val="0"/>
                    <w:snapToGrid w:val="0"/>
                    <w:spacing w:line="240" w:lineRule="auto"/>
                    <w:jc w:val="center"/>
                    <w:rPr>
                      <w:sz w:val="21"/>
                      <w:szCs w:val="21"/>
                      <w:u w:val="single"/>
                    </w:rPr>
                  </w:pPr>
                  <w:r>
                    <w:rPr>
                      <w:sz w:val="21"/>
                      <w:szCs w:val="21"/>
                      <w:u w:val="single"/>
                    </w:rPr>
                    <w:t>危险废物</w:t>
                  </w:r>
                </w:p>
              </w:tc>
              <w:tc>
                <w:tcPr>
                  <w:tcW w:w="1569" w:type="pct"/>
                  <w:vAlign w:val="center"/>
                </w:tcPr>
                <w:p>
                  <w:pPr>
                    <w:wordWrap w:val="0"/>
                    <w:topLinePunct/>
                    <w:adjustRightInd w:val="0"/>
                    <w:snapToGrid w:val="0"/>
                    <w:spacing w:line="240" w:lineRule="auto"/>
                    <w:ind w:left="-120" w:leftChars="-50" w:right="-120" w:rightChars="-50"/>
                    <w:jc w:val="center"/>
                    <w:rPr>
                      <w:sz w:val="21"/>
                      <w:szCs w:val="21"/>
                      <w:u w:val="single"/>
                    </w:rPr>
                  </w:pPr>
                  <w:r>
                    <w:rPr>
                      <w:sz w:val="21"/>
                      <w:szCs w:val="21"/>
                      <w:u w:val="single"/>
                    </w:rPr>
                    <w:t>危险废物暂存间</w:t>
                  </w:r>
                </w:p>
              </w:tc>
              <w:tc>
                <w:tcPr>
                  <w:tcW w:w="324" w:type="pct"/>
                  <w:vAlign w:val="center"/>
                </w:tcPr>
                <w:p>
                  <w:pPr>
                    <w:wordWrap w:val="0"/>
                    <w:topLinePunct/>
                    <w:adjustRightInd w:val="0"/>
                    <w:snapToGrid w:val="0"/>
                    <w:spacing w:line="240" w:lineRule="auto"/>
                    <w:jc w:val="center"/>
                    <w:rPr>
                      <w:sz w:val="21"/>
                      <w:szCs w:val="21"/>
                      <w:u w:val="single"/>
                    </w:rPr>
                  </w:pPr>
                  <w:r>
                    <w:rPr>
                      <w:sz w:val="21"/>
                      <w:szCs w:val="21"/>
                      <w:u w:val="single"/>
                    </w:rPr>
                    <w:t>1个</w:t>
                  </w:r>
                </w:p>
              </w:tc>
              <w:tc>
                <w:tcPr>
                  <w:tcW w:w="478" w:type="pct"/>
                  <w:vAlign w:val="center"/>
                </w:tcPr>
                <w:p>
                  <w:pPr>
                    <w:wordWrap w:val="0"/>
                    <w:topLinePunct/>
                    <w:adjustRightInd w:val="0"/>
                    <w:snapToGrid w:val="0"/>
                    <w:spacing w:line="240" w:lineRule="auto"/>
                    <w:jc w:val="center"/>
                    <w:rPr>
                      <w:sz w:val="21"/>
                      <w:szCs w:val="21"/>
                      <w:u w:val="single"/>
                    </w:rPr>
                  </w:pPr>
                  <w:r>
                    <w:rPr>
                      <w:rFonts w:hint="eastAsia"/>
                      <w:sz w:val="21"/>
                      <w:szCs w:val="21"/>
                      <w:u w:val="single"/>
                    </w:rPr>
                    <w:t>10</w:t>
                  </w:r>
                </w:p>
              </w:tc>
              <w:tc>
                <w:tcPr>
                  <w:tcW w:w="478" w:type="pct"/>
                  <w:vAlign w:val="center"/>
                </w:tcPr>
                <w:p>
                  <w:pPr>
                    <w:wordWrap w:val="0"/>
                    <w:topLinePunct/>
                    <w:adjustRightInd w:val="0"/>
                    <w:snapToGrid w:val="0"/>
                    <w:spacing w:line="240" w:lineRule="auto"/>
                    <w:jc w:val="center"/>
                    <w:rPr>
                      <w:sz w:val="21"/>
                      <w:szCs w:val="21"/>
                      <w:u w:val="single"/>
                    </w:rPr>
                  </w:pPr>
                  <w:r>
                    <w:rPr>
                      <w:rFonts w:hint="eastAsia"/>
                      <w:sz w:val="21"/>
                      <w:szCs w:val="21"/>
                      <w:u w:val="singl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76" w:type="pct"/>
                  <w:vMerge w:val="continue"/>
                  <w:vAlign w:val="center"/>
                </w:tcPr>
                <w:p>
                  <w:pPr>
                    <w:wordWrap w:val="0"/>
                    <w:topLinePunct/>
                    <w:adjustRightInd w:val="0"/>
                    <w:snapToGrid w:val="0"/>
                    <w:spacing w:line="240" w:lineRule="auto"/>
                    <w:jc w:val="center"/>
                    <w:rPr>
                      <w:sz w:val="21"/>
                      <w:szCs w:val="21"/>
                      <w:u w:val="single"/>
                    </w:rPr>
                  </w:pPr>
                </w:p>
              </w:tc>
              <w:tc>
                <w:tcPr>
                  <w:tcW w:w="604" w:type="pct"/>
                  <w:vAlign w:val="center"/>
                </w:tcPr>
                <w:p>
                  <w:pPr>
                    <w:wordWrap w:val="0"/>
                    <w:topLinePunct/>
                    <w:adjustRightInd w:val="0"/>
                    <w:snapToGrid w:val="0"/>
                    <w:spacing w:line="240" w:lineRule="auto"/>
                    <w:jc w:val="center"/>
                    <w:rPr>
                      <w:sz w:val="21"/>
                      <w:szCs w:val="21"/>
                      <w:u w:val="single"/>
                    </w:rPr>
                  </w:pPr>
                  <w:r>
                    <w:rPr>
                      <w:sz w:val="21"/>
                      <w:szCs w:val="21"/>
                      <w:u w:val="single"/>
                    </w:rPr>
                    <w:t>办公生活</w:t>
                  </w:r>
                </w:p>
              </w:tc>
              <w:tc>
                <w:tcPr>
                  <w:tcW w:w="1168" w:type="pct"/>
                  <w:vAlign w:val="center"/>
                </w:tcPr>
                <w:p>
                  <w:pPr>
                    <w:wordWrap w:val="0"/>
                    <w:topLinePunct/>
                    <w:adjustRightInd w:val="0"/>
                    <w:snapToGrid w:val="0"/>
                    <w:spacing w:line="240" w:lineRule="auto"/>
                    <w:jc w:val="center"/>
                    <w:rPr>
                      <w:sz w:val="21"/>
                      <w:szCs w:val="21"/>
                      <w:u w:val="single"/>
                    </w:rPr>
                  </w:pPr>
                  <w:r>
                    <w:rPr>
                      <w:sz w:val="21"/>
                      <w:szCs w:val="21"/>
                      <w:u w:val="single"/>
                    </w:rPr>
                    <w:t>生活垃圾</w:t>
                  </w:r>
                </w:p>
              </w:tc>
              <w:tc>
                <w:tcPr>
                  <w:tcW w:w="1569" w:type="pct"/>
                  <w:vAlign w:val="center"/>
                </w:tcPr>
                <w:p>
                  <w:pPr>
                    <w:wordWrap w:val="0"/>
                    <w:topLinePunct/>
                    <w:adjustRightInd w:val="0"/>
                    <w:snapToGrid w:val="0"/>
                    <w:spacing w:line="240" w:lineRule="auto"/>
                    <w:jc w:val="center"/>
                    <w:rPr>
                      <w:sz w:val="21"/>
                      <w:szCs w:val="21"/>
                      <w:u w:val="single"/>
                    </w:rPr>
                  </w:pPr>
                  <w:r>
                    <w:rPr>
                      <w:sz w:val="21"/>
                      <w:szCs w:val="21"/>
                      <w:u w:val="single"/>
                    </w:rPr>
                    <w:t>生活垃圾收集桶</w:t>
                  </w:r>
                </w:p>
              </w:tc>
              <w:tc>
                <w:tcPr>
                  <w:tcW w:w="324" w:type="pct"/>
                  <w:vAlign w:val="center"/>
                </w:tcPr>
                <w:p>
                  <w:pPr>
                    <w:wordWrap w:val="0"/>
                    <w:topLinePunct/>
                    <w:adjustRightInd w:val="0"/>
                    <w:snapToGrid w:val="0"/>
                    <w:spacing w:line="240" w:lineRule="auto"/>
                    <w:jc w:val="center"/>
                    <w:rPr>
                      <w:sz w:val="21"/>
                      <w:szCs w:val="21"/>
                      <w:u w:val="single"/>
                    </w:rPr>
                  </w:pPr>
                  <w:r>
                    <w:rPr>
                      <w:sz w:val="21"/>
                      <w:szCs w:val="21"/>
                      <w:u w:val="single"/>
                    </w:rPr>
                    <w:t>5个</w:t>
                  </w:r>
                </w:p>
              </w:tc>
              <w:tc>
                <w:tcPr>
                  <w:tcW w:w="478" w:type="pct"/>
                  <w:vAlign w:val="center"/>
                </w:tcPr>
                <w:p>
                  <w:pPr>
                    <w:wordWrap w:val="0"/>
                    <w:topLinePunct/>
                    <w:adjustRightInd w:val="0"/>
                    <w:snapToGrid w:val="0"/>
                    <w:spacing w:line="240" w:lineRule="auto"/>
                    <w:jc w:val="center"/>
                    <w:rPr>
                      <w:sz w:val="21"/>
                      <w:szCs w:val="21"/>
                      <w:u w:val="single"/>
                    </w:rPr>
                  </w:pPr>
                  <w:r>
                    <w:rPr>
                      <w:sz w:val="21"/>
                      <w:szCs w:val="21"/>
                      <w:u w:val="single"/>
                    </w:rPr>
                    <w:t>1</w:t>
                  </w:r>
                </w:p>
              </w:tc>
              <w:tc>
                <w:tcPr>
                  <w:tcW w:w="478" w:type="pct"/>
                  <w:vAlign w:val="center"/>
                </w:tcPr>
                <w:p>
                  <w:pPr>
                    <w:wordWrap w:val="0"/>
                    <w:topLinePunct/>
                    <w:adjustRightInd w:val="0"/>
                    <w:snapToGrid w:val="0"/>
                    <w:spacing w:line="240" w:lineRule="auto"/>
                    <w:jc w:val="center"/>
                    <w:rPr>
                      <w:sz w:val="21"/>
                      <w:szCs w:val="21"/>
                      <w:u w:val="single"/>
                    </w:rPr>
                  </w:pPr>
                  <w:r>
                    <w:rPr>
                      <w:rFonts w:hint="eastAsia"/>
                      <w:sz w:val="21"/>
                      <w:szCs w:val="21"/>
                      <w:u w:val="single"/>
                    </w:rPr>
                    <w:t>已投入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76" w:type="pct"/>
                  <w:vAlign w:val="center"/>
                </w:tcPr>
                <w:p>
                  <w:pPr>
                    <w:wordWrap w:val="0"/>
                    <w:topLinePunct/>
                    <w:adjustRightInd w:val="0"/>
                    <w:snapToGrid w:val="0"/>
                    <w:spacing w:line="240" w:lineRule="auto"/>
                    <w:jc w:val="center"/>
                    <w:rPr>
                      <w:sz w:val="21"/>
                      <w:szCs w:val="21"/>
                      <w:u w:val="single"/>
                    </w:rPr>
                  </w:pPr>
                  <w:r>
                    <w:rPr>
                      <w:sz w:val="21"/>
                      <w:szCs w:val="21"/>
                      <w:u w:val="single"/>
                    </w:rPr>
                    <w:t>噪声</w:t>
                  </w:r>
                </w:p>
              </w:tc>
              <w:tc>
                <w:tcPr>
                  <w:tcW w:w="604" w:type="pct"/>
                  <w:vAlign w:val="center"/>
                </w:tcPr>
                <w:p>
                  <w:pPr>
                    <w:wordWrap w:val="0"/>
                    <w:topLinePunct/>
                    <w:adjustRightInd w:val="0"/>
                    <w:snapToGrid w:val="0"/>
                    <w:spacing w:line="240" w:lineRule="auto"/>
                    <w:jc w:val="center"/>
                    <w:rPr>
                      <w:sz w:val="21"/>
                      <w:szCs w:val="21"/>
                      <w:u w:val="single"/>
                    </w:rPr>
                  </w:pPr>
                  <w:r>
                    <w:rPr>
                      <w:sz w:val="21"/>
                      <w:szCs w:val="21"/>
                      <w:u w:val="single"/>
                    </w:rPr>
                    <w:t>生产设备</w:t>
                  </w:r>
                </w:p>
              </w:tc>
              <w:tc>
                <w:tcPr>
                  <w:tcW w:w="1168" w:type="pct"/>
                  <w:vAlign w:val="center"/>
                </w:tcPr>
                <w:p>
                  <w:pPr>
                    <w:wordWrap w:val="0"/>
                    <w:topLinePunct/>
                    <w:adjustRightInd w:val="0"/>
                    <w:snapToGrid w:val="0"/>
                    <w:spacing w:line="240" w:lineRule="auto"/>
                    <w:jc w:val="center"/>
                    <w:rPr>
                      <w:sz w:val="21"/>
                      <w:szCs w:val="21"/>
                      <w:u w:val="single"/>
                    </w:rPr>
                  </w:pPr>
                  <w:r>
                    <w:rPr>
                      <w:sz w:val="21"/>
                      <w:szCs w:val="21"/>
                      <w:u w:val="single"/>
                    </w:rPr>
                    <w:t>机械噪声</w:t>
                  </w:r>
                </w:p>
              </w:tc>
              <w:tc>
                <w:tcPr>
                  <w:tcW w:w="1569" w:type="pct"/>
                  <w:vAlign w:val="center"/>
                </w:tcPr>
                <w:p>
                  <w:pPr>
                    <w:wordWrap w:val="0"/>
                    <w:topLinePunct/>
                    <w:adjustRightInd w:val="0"/>
                    <w:snapToGrid w:val="0"/>
                    <w:spacing w:line="240" w:lineRule="auto"/>
                    <w:jc w:val="center"/>
                    <w:rPr>
                      <w:sz w:val="21"/>
                      <w:szCs w:val="21"/>
                      <w:u w:val="single"/>
                    </w:rPr>
                  </w:pPr>
                  <w:r>
                    <w:rPr>
                      <w:sz w:val="21"/>
                      <w:szCs w:val="21"/>
                      <w:u w:val="single"/>
                    </w:rPr>
                    <w:t>消声、隔声、减振措施</w:t>
                  </w:r>
                </w:p>
              </w:tc>
              <w:tc>
                <w:tcPr>
                  <w:tcW w:w="324" w:type="pct"/>
                  <w:vAlign w:val="center"/>
                </w:tcPr>
                <w:p>
                  <w:pPr>
                    <w:wordWrap w:val="0"/>
                    <w:topLinePunct/>
                    <w:adjustRightInd w:val="0"/>
                    <w:snapToGrid w:val="0"/>
                    <w:spacing w:line="240" w:lineRule="auto"/>
                    <w:jc w:val="center"/>
                    <w:rPr>
                      <w:sz w:val="21"/>
                      <w:szCs w:val="21"/>
                      <w:u w:val="single"/>
                    </w:rPr>
                  </w:pPr>
                  <w:r>
                    <w:rPr>
                      <w:sz w:val="21"/>
                      <w:szCs w:val="21"/>
                      <w:u w:val="single"/>
                    </w:rPr>
                    <w:t>/</w:t>
                  </w:r>
                </w:p>
              </w:tc>
              <w:tc>
                <w:tcPr>
                  <w:tcW w:w="478" w:type="pct"/>
                  <w:vAlign w:val="center"/>
                </w:tcPr>
                <w:p>
                  <w:pPr>
                    <w:wordWrap w:val="0"/>
                    <w:topLinePunct/>
                    <w:adjustRightInd w:val="0"/>
                    <w:snapToGrid w:val="0"/>
                    <w:spacing w:line="240" w:lineRule="auto"/>
                    <w:jc w:val="center"/>
                    <w:rPr>
                      <w:sz w:val="21"/>
                      <w:szCs w:val="21"/>
                      <w:u w:val="single"/>
                    </w:rPr>
                  </w:pPr>
                  <w:r>
                    <w:rPr>
                      <w:rFonts w:hint="eastAsia"/>
                      <w:sz w:val="21"/>
                      <w:szCs w:val="21"/>
                      <w:u w:val="single"/>
                    </w:rPr>
                    <w:t>10</w:t>
                  </w:r>
                </w:p>
              </w:tc>
              <w:tc>
                <w:tcPr>
                  <w:tcW w:w="478" w:type="pct"/>
                  <w:vAlign w:val="center"/>
                </w:tcPr>
                <w:p>
                  <w:pPr>
                    <w:wordWrap w:val="0"/>
                    <w:topLinePunct/>
                    <w:adjustRightInd w:val="0"/>
                    <w:snapToGrid w:val="0"/>
                    <w:spacing w:line="240" w:lineRule="auto"/>
                    <w:jc w:val="center"/>
                    <w:rPr>
                      <w:sz w:val="21"/>
                      <w:szCs w:val="21"/>
                      <w:u w:val="single"/>
                    </w:rPr>
                  </w:pPr>
                  <w:r>
                    <w:rPr>
                      <w:rFonts w:hint="eastAsia"/>
                      <w:sz w:val="21"/>
                      <w:szCs w:val="21"/>
                      <w:u w:val="single"/>
                    </w:rPr>
                    <w:t>已投入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76" w:type="pct"/>
                  <w:vAlign w:val="center"/>
                </w:tcPr>
                <w:p>
                  <w:pPr>
                    <w:wordWrap w:val="0"/>
                    <w:topLinePunct/>
                    <w:adjustRightInd w:val="0"/>
                    <w:snapToGrid w:val="0"/>
                    <w:spacing w:line="240" w:lineRule="auto"/>
                    <w:jc w:val="center"/>
                    <w:rPr>
                      <w:sz w:val="21"/>
                      <w:szCs w:val="21"/>
                      <w:u w:val="single"/>
                    </w:rPr>
                  </w:pPr>
                  <w:r>
                    <w:rPr>
                      <w:sz w:val="21"/>
                      <w:szCs w:val="21"/>
                      <w:u w:val="single"/>
                    </w:rPr>
                    <w:t>地下水及土壤</w:t>
                  </w:r>
                </w:p>
              </w:tc>
              <w:tc>
                <w:tcPr>
                  <w:tcW w:w="604" w:type="pct"/>
                  <w:vAlign w:val="center"/>
                </w:tcPr>
                <w:p>
                  <w:pPr>
                    <w:spacing w:line="240" w:lineRule="auto"/>
                    <w:jc w:val="center"/>
                    <w:rPr>
                      <w:sz w:val="21"/>
                      <w:szCs w:val="21"/>
                      <w:u w:val="single"/>
                    </w:rPr>
                  </w:pPr>
                  <w:r>
                    <w:rPr>
                      <w:sz w:val="21"/>
                      <w:szCs w:val="21"/>
                      <w:u w:val="single"/>
                    </w:rPr>
                    <w:t>危险固废间</w:t>
                  </w:r>
                </w:p>
              </w:tc>
              <w:tc>
                <w:tcPr>
                  <w:tcW w:w="1168" w:type="pct"/>
                  <w:vAlign w:val="center"/>
                </w:tcPr>
                <w:p>
                  <w:pPr>
                    <w:wordWrap w:val="0"/>
                    <w:topLinePunct/>
                    <w:adjustRightInd w:val="0"/>
                    <w:snapToGrid w:val="0"/>
                    <w:spacing w:line="240" w:lineRule="auto"/>
                    <w:jc w:val="center"/>
                    <w:rPr>
                      <w:sz w:val="21"/>
                      <w:szCs w:val="21"/>
                      <w:u w:val="single"/>
                    </w:rPr>
                  </w:pPr>
                  <w:r>
                    <w:rPr>
                      <w:sz w:val="21"/>
                      <w:szCs w:val="21"/>
                      <w:u w:val="single"/>
                    </w:rPr>
                    <w:t>石油类</w:t>
                  </w:r>
                </w:p>
              </w:tc>
              <w:tc>
                <w:tcPr>
                  <w:tcW w:w="1569" w:type="pct"/>
                  <w:vAlign w:val="center"/>
                </w:tcPr>
                <w:p>
                  <w:pPr>
                    <w:wordWrap w:val="0"/>
                    <w:topLinePunct/>
                    <w:adjustRightInd w:val="0"/>
                    <w:snapToGrid w:val="0"/>
                    <w:spacing w:line="240" w:lineRule="auto"/>
                    <w:jc w:val="center"/>
                    <w:rPr>
                      <w:sz w:val="21"/>
                      <w:szCs w:val="21"/>
                      <w:u w:val="single"/>
                    </w:rPr>
                  </w:pPr>
                  <w:r>
                    <w:rPr>
                      <w:sz w:val="21"/>
                      <w:szCs w:val="21"/>
                      <w:u w:val="single"/>
                    </w:rPr>
                    <w:t>危险废物暂存间</w:t>
                  </w:r>
                </w:p>
              </w:tc>
              <w:tc>
                <w:tcPr>
                  <w:tcW w:w="324" w:type="pct"/>
                  <w:vAlign w:val="center"/>
                </w:tcPr>
                <w:p>
                  <w:pPr>
                    <w:wordWrap w:val="0"/>
                    <w:topLinePunct/>
                    <w:adjustRightInd w:val="0"/>
                    <w:snapToGrid w:val="0"/>
                    <w:spacing w:line="240" w:lineRule="auto"/>
                    <w:jc w:val="center"/>
                    <w:rPr>
                      <w:sz w:val="21"/>
                      <w:szCs w:val="21"/>
                      <w:u w:val="single"/>
                    </w:rPr>
                  </w:pPr>
                  <w:r>
                    <w:rPr>
                      <w:sz w:val="21"/>
                      <w:szCs w:val="21"/>
                      <w:u w:val="single"/>
                    </w:rPr>
                    <w:t>/</w:t>
                  </w:r>
                </w:p>
              </w:tc>
              <w:tc>
                <w:tcPr>
                  <w:tcW w:w="478" w:type="pct"/>
                  <w:vAlign w:val="center"/>
                </w:tcPr>
                <w:p>
                  <w:pPr>
                    <w:wordWrap w:val="0"/>
                    <w:topLinePunct/>
                    <w:adjustRightInd w:val="0"/>
                    <w:snapToGrid w:val="0"/>
                    <w:spacing w:line="240" w:lineRule="auto"/>
                    <w:jc w:val="center"/>
                    <w:rPr>
                      <w:sz w:val="21"/>
                      <w:szCs w:val="21"/>
                      <w:u w:val="single"/>
                    </w:rPr>
                  </w:pPr>
                  <w:r>
                    <w:rPr>
                      <w:sz w:val="21"/>
                      <w:szCs w:val="21"/>
                      <w:u w:val="single"/>
                    </w:rPr>
                    <w:t>0</w:t>
                  </w:r>
                </w:p>
              </w:tc>
              <w:tc>
                <w:tcPr>
                  <w:tcW w:w="478" w:type="pct"/>
                  <w:vAlign w:val="center"/>
                </w:tcPr>
                <w:p>
                  <w:pPr>
                    <w:wordWrap w:val="0"/>
                    <w:topLinePunct/>
                    <w:adjustRightInd w:val="0"/>
                    <w:snapToGrid w:val="0"/>
                    <w:spacing w:line="240" w:lineRule="auto"/>
                    <w:jc w:val="center"/>
                    <w:rPr>
                      <w:sz w:val="21"/>
                      <w:szCs w:val="21"/>
                      <w:u w:val="single"/>
                    </w:rPr>
                  </w:pPr>
                  <w:r>
                    <w:rPr>
                      <w:rFonts w:hint="eastAsia"/>
                      <w:sz w:val="21"/>
                      <w:szCs w:val="21"/>
                      <w:u w:val="singl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980" w:type="pct"/>
                  <w:gridSpan w:val="2"/>
                  <w:vAlign w:val="center"/>
                </w:tcPr>
                <w:p>
                  <w:pPr>
                    <w:wordWrap w:val="0"/>
                    <w:topLinePunct/>
                    <w:adjustRightInd w:val="0"/>
                    <w:snapToGrid w:val="0"/>
                    <w:spacing w:line="240" w:lineRule="auto"/>
                    <w:jc w:val="center"/>
                    <w:rPr>
                      <w:sz w:val="21"/>
                      <w:szCs w:val="21"/>
                      <w:u w:val="single"/>
                    </w:rPr>
                  </w:pPr>
                  <w:r>
                    <w:rPr>
                      <w:sz w:val="21"/>
                      <w:szCs w:val="21"/>
                      <w:u w:val="single"/>
                    </w:rPr>
                    <w:t>绿化</w:t>
                  </w:r>
                </w:p>
              </w:tc>
              <w:tc>
                <w:tcPr>
                  <w:tcW w:w="2737" w:type="pct"/>
                  <w:gridSpan w:val="2"/>
                  <w:vAlign w:val="center"/>
                </w:tcPr>
                <w:p>
                  <w:pPr>
                    <w:wordWrap w:val="0"/>
                    <w:topLinePunct/>
                    <w:adjustRightInd w:val="0"/>
                    <w:snapToGrid w:val="0"/>
                    <w:spacing w:line="240" w:lineRule="auto"/>
                    <w:jc w:val="center"/>
                    <w:rPr>
                      <w:sz w:val="21"/>
                      <w:szCs w:val="21"/>
                      <w:u w:val="single"/>
                    </w:rPr>
                  </w:pPr>
                  <w:r>
                    <w:rPr>
                      <w:sz w:val="21"/>
                      <w:szCs w:val="21"/>
                      <w:u w:val="single"/>
                    </w:rPr>
                    <w:t>乔木、灌木、草地</w:t>
                  </w:r>
                </w:p>
              </w:tc>
              <w:tc>
                <w:tcPr>
                  <w:tcW w:w="324" w:type="pct"/>
                  <w:vAlign w:val="center"/>
                </w:tcPr>
                <w:p>
                  <w:pPr>
                    <w:wordWrap w:val="0"/>
                    <w:topLinePunct/>
                    <w:adjustRightInd w:val="0"/>
                    <w:snapToGrid w:val="0"/>
                    <w:spacing w:line="240" w:lineRule="auto"/>
                    <w:jc w:val="center"/>
                    <w:rPr>
                      <w:sz w:val="21"/>
                      <w:szCs w:val="21"/>
                      <w:u w:val="single"/>
                    </w:rPr>
                  </w:pPr>
                  <w:r>
                    <w:rPr>
                      <w:sz w:val="21"/>
                      <w:szCs w:val="21"/>
                      <w:u w:val="single"/>
                    </w:rPr>
                    <w:t>/</w:t>
                  </w:r>
                </w:p>
              </w:tc>
              <w:tc>
                <w:tcPr>
                  <w:tcW w:w="478" w:type="pct"/>
                  <w:vAlign w:val="center"/>
                </w:tcPr>
                <w:p>
                  <w:pPr>
                    <w:wordWrap w:val="0"/>
                    <w:topLinePunct/>
                    <w:adjustRightInd w:val="0"/>
                    <w:snapToGrid w:val="0"/>
                    <w:spacing w:line="240" w:lineRule="auto"/>
                    <w:jc w:val="center"/>
                    <w:rPr>
                      <w:sz w:val="21"/>
                      <w:szCs w:val="21"/>
                      <w:u w:val="single"/>
                    </w:rPr>
                  </w:pPr>
                  <w:r>
                    <w:rPr>
                      <w:rFonts w:hint="eastAsia"/>
                      <w:sz w:val="21"/>
                      <w:szCs w:val="21"/>
                      <w:u w:val="single"/>
                    </w:rPr>
                    <w:t>10</w:t>
                  </w:r>
                </w:p>
              </w:tc>
              <w:tc>
                <w:tcPr>
                  <w:tcW w:w="478" w:type="pct"/>
                  <w:vAlign w:val="center"/>
                </w:tcPr>
                <w:p>
                  <w:pPr>
                    <w:wordWrap w:val="0"/>
                    <w:topLinePunct/>
                    <w:adjustRightInd w:val="0"/>
                    <w:snapToGrid w:val="0"/>
                    <w:spacing w:line="240" w:lineRule="auto"/>
                    <w:jc w:val="center"/>
                    <w:rPr>
                      <w:sz w:val="21"/>
                      <w:szCs w:val="21"/>
                      <w:u w:val="single"/>
                    </w:rPr>
                  </w:pPr>
                  <w:r>
                    <w:rPr>
                      <w:rFonts w:hint="eastAsia"/>
                      <w:sz w:val="21"/>
                      <w:szCs w:val="21"/>
                      <w:u w:val="single"/>
                    </w:rPr>
                    <w:t>已投入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043" w:type="pct"/>
                  <w:gridSpan w:val="5"/>
                  <w:vAlign w:val="center"/>
                </w:tcPr>
                <w:p>
                  <w:pPr>
                    <w:wordWrap w:val="0"/>
                    <w:topLinePunct/>
                    <w:adjustRightInd w:val="0"/>
                    <w:snapToGrid w:val="0"/>
                    <w:spacing w:line="240" w:lineRule="auto"/>
                    <w:jc w:val="center"/>
                    <w:rPr>
                      <w:sz w:val="21"/>
                      <w:szCs w:val="21"/>
                      <w:u w:val="single"/>
                    </w:rPr>
                  </w:pPr>
                  <w:r>
                    <w:rPr>
                      <w:sz w:val="21"/>
                      <w:szCs w:val="21"/>
                      <w:u w:val="single"/>
                    </w:rPr>
                    <w:t>合计</w:t>
                  </w:r>
                </w:p>
              </w:tc>
              <w:tc>
                <w:tcPr>
                  <w:tcW w:w="478" w:type="pct"/>
                  <w:vAlign w:val="center"/>
                </w:tcPr>
                <w:p>
                  <w:pPr>
                    <w:wordWrap w:val="0"/>
                    <w:topLinePunct/>
                    <w:adjustRightInd w:val="0"/>
                    <w:snapToGrid w:val="0"/>
                    <w:spacing w:line="240" w:lineRule="auto"/>
                    <w:jc w:val="center"/>
                    <w:rPr>
                      <w:sz w:val="21"/>
                      <w:szCs w:val="21"/>
                      <w:u w:val="single"/>
                    </w:rPr>
                  </w:pPr>
                  <w:r>
                    <w:rPr>
                      <w:rFonts w:hint="eastAsia"/>
                      <w:sz w:val="21"/>
                      <w:szCs w:val="21"/>
                      <w:u w:val="single"/>
                    </w:rPr>
                    <w:t>200</w:t>
                  </w:r>
                </w:p>
              </w:tc>
              <w:tc>
                <w:tcPr>
                  <w:tcW w:w="478" w:type="pct"/>
                  <w:vAlign w:val="center"/>
                </w:tcPr>
                <w:p>
                  <w:pPr>
                    <w:wordWrap w:val="0"/>
                    <w:topLinePunct/>
                    <w:adjustRightInd w:val="0"/>
                    <w:snapToGrid w:val="0"/>
                    <w:spacing w:line="240" w:lineRule="auto"/>
                    <w:jc w:val="center"/>
                    <w:rPr>
                      <w:sz w:val="21"/>
                      <w:szCs w:val="21"/>
                      <w:u w:val="single"/>
                    </w:rPr>
                  </w:pPr>
                  <w:r>
                    <w:rPr>
                      <w:rFonts w:hint="eastAsia"/>
                      <w:sz w:val="21"/>
                      <w:szCs w:val="21"/>
                      <w:u w:val="single"/>
                    </w:rPr>
                    <w:t>/</w:t>
                  </w:r>
                </w:p>
              </w:tc>
            </w:tr>
          </w:tbl>
          <w:p>
            <w:pPr>
              <w:ind w:firstLine="481" w:firstLineChars="200"/>
              <w:rPr>
                <w:b/>
                <w:bCs/>
              </w:rPr>
            </w:pPr>
            <w:r>
              <w:rPr>
                <w:b/>
                <w:bCs/>
              </w:rPr>
              <w:t>4.2.</w:t>
            </w:r>
            <w:r>
              <w:rPr>
                <w:rFonts w:hint="eastAsia"/>
                <w:b/>
                <w:bCs/>
              </w:rPr>
              <w:t>10</w:t>
            </w:r>
            <w:r>
              <w:rPr>
                <w:b/>
                <w:bCs/>
              </w:rPr>
              <w:t>排污许可衔接</w:t>
            </w:r>
          </w:p>
          <w:p>
            <w:pPr>
              <w:pStyle w:val="30"/>
              <w:numPr>
                <w:ilvl w:val="1"/>
                <w:numId w:val="0"/>
              </w:numPr>
              <w:ind w:firstLine="480" w:firstLineChars="200"/>
              <w:jc w:val="both"/>
              <w:rPr>
                <w:b w:val="0"/>
                <w:bCs/>
              </w:rPr>
            </w:pPr>
            <w:r>
              <w:rPr>
                <w:b w:val="0"/>
                <w:bCs/>
                <w:u w:val="single"/>
              </w:rPr>
              <w:t>根据《固定污染源排污许可分类管理名录（2019年版）》第四条，现有排污单位应当在生态环境部规定的实施时限内申请取得排污许可证或者填报排污登记表。新建排污单位应当在启动生产设施或者发生实际排污之前申请取得排污许可证或者填报排污登记表。根据《国民经济行业分类》（GB/T4754-2017）（2019年修订），本项目属于“3039其他建筑材料制造”，根据《固定污染源排污许可分类管理名录（2019版）》中的“</w:t>
            </w:r>
            <w:r>
              <w:rPr>
                <w:rFonts w:hint="eastAsia"/>
                <w:b w:val="0"/>
                <w:bCs/>
                <w:u w:val="single"/>
              </w:rPr>
              <w:t>二十五</w:t>
            </w:r>
            <w:r>
              <w:rPr>
                <w:b w:val="0"/>
                <w:bCs/>
                <w:u w:val="single"/>
              </w:rPr>
              <w:t>、</w:t>
            </w:r>
            <w:r>
              <w:rPr>
                <w:rFonts w:hint="eastAsia"/>
                <w:b w:val="0"/>
                <w:bCs/>
                <w:u w:val="single"/>
              </w:rPr>
              <w:t>非金属矿物制品</w:t>
            </w:r>
            <w:r>
              <w:rPr>
                <w:b w:val="0"/>
                <w:bCs/>
                <w:u w:val="single"/>
              </w:rPr>
              <w:t>业</w:t>
            </w:r>
            <w:r>
              <w:rPr>
                <w:rFonts w:hint="eastAsia"/>
                <w:b w:val="0"/>
                <w:bCs/>
                <w:u w:val="single"/>
              </w:rPr>
              <w:t xml:space="preserve">30 </w:t>
            </w:r>
            <w:r>
              <w:rPr>
                <w:rFonts w:hint="eastAsia"/>
                <w:b w:val="0"/>
                <w:bCs/>
                <w:u w:val="single"/>
                <w:lang w:val="en-US" w:eastAsia="zh-CN"/>
              </w:rPr>
              <w:t>70</w:t>
            </w:r>
            <w:r>
              <w:rPr>
                <w:rFonts w:hint="eastAsia"/>
                <w:b w:val="0"/>
                <w:bCs/>
                <w:u w:val="single"/>
                <w:lang w:eastAsia="zh-CN"/>
              </w:rPr>
              <w:t>石墨及其他非金属矿物制品制造</w:t>
            </w:r>
            <w:r>
              <w:rPr>
                <w:rFonts w:hint="eastAsia"/>
                <w:b w:val="0"/>
                <w:bCs/>
                <w:u w:val="single"/>
                <w:lang w:val="en-US" w:eastAsia="zh-CN"/>
              </w:rPr>
              <w:t>309</w:t>
            </w:r>
            <w:r>
              <w:rPr>
                <w:b w:val="0"/>
                <w:bCs/>
                <w:u w:val="single"/>
              </w:rPr>
              <w:t>”“</w:t>
            </w:r>
            <w:r>
              <w:rPr>
                <w:rFonts w:hint="eastAsia"/>
                <w:b w:val="0"/>
                <w:bCs/>
                <w:u w:val="single"/>
                <w:lang w:eastAsia="zh-CN"/>
              </w:rPr>
              <w:t>其他非金属矿物制品制造</w:t>
            </w:r>
            <w:r>
              <w:rPr>
                <w:rFonts w:hint="eastAsia"/>
                <w:b w:val="0"/>
                <w:bCs/>
                <w:u w:val="single"/>
                <w:lang w:val="en-US" w:eastAsia="zh-CN"/>
              </w:rPr>
              <w:t xml:space="preserve"> 3099（除重点管理、简化管理以外的）</w:t>
            </w:r>
            <w:r>
              <w:rPr>
                <w:b w:val="0"/>
                <w:bCs/>
                <w:u w:val="single"/>
              </w:rPr>
              <w:t>”属于</w:t>
            </w:r>
            <w:r>
              <w:rPr>
                <w:rFonts w:hint="eastAsia"/>
                <w:b w:val="0"/>
                <w:bCs/>
                <w:u w:val="single"/>
                <w:lang w:eastAsia="zh-CN"/>
              </w:rPr>
              <w:t>登记</w:t>
            </w:r>
            <w:r>
              <w:rPr>
                <w:b w:val="0"/>
                <w:bCs/>
                <w:u w:val="single"/>
              </w:rPr>
              <w:t>管理，因此企业属于</w:t>
            </w:r>
            <w:r>
              <w:rPr>
                <w:rFonts w:hint="eastAsia"/>
                <w:b w:val="0"/>
                <w:bCs/>
                <w:u w:val="single"/>
                <w:lang w:eastAsia="zh-CN"/>
              </w:rPr>
              <w:t>登记</w:t>
            </w:r>
            <w:r>
              <w:rPr>
                <w:b w:val="0"/>
                <w:bCs/>
                <w:u w:val="single"/>
              </w:rPr>
              <w:t>管理的排污单位，企业</w:t>
            </w:r>
            <w:r>
              <w:rPr>
                <w:rFonts w:hint="eastAsia"/>
                <w:b w:val="0"/>
                <w:bCs/>
                <w:u w:val="single"/>
              </w:rPr>
              <w:t>应及时办理排污许可</w:t>
            </w:r>
            <w:r>
              <w:rPr>
                <w:rFonts w:hint="eastAsia"/>
                <w:b w:val="0"/>
                <w:bCs/>
                <w:u w:val="single"/>
                <w:lang w:eastAsia="zh-CN"/>
              </w:rPr>
              <w:t>登记</w:t>
            </w:r>
            <w:r>
              <w:rPr>
                <w:rFonts w:hint="eastAsia"/>
                <w:b w:val="0"/>
                <w:bCs/>
                <w:u w:val="single"/>
              </w:rPr>
              <w:t>手续</w:t>
            </w:r>
            <w:r>
              <w:rPr>
                <w:rFonts w:hint="eastAsia"/>
                <w:b w:val="0"/>
                <w:bCs/>
                <w:u w:val="single"/>
                <w:lang w:eastAsia="zh-CN"/>
              </w:rPr>
              <w:t>，且根据《排污许可管理条例》（</w:t>
            </w:r>
            <w:r>
              <w:rPr>
                <w:rFonts w:hint="eastAsia"/>
                <w:b w:val="0"/>
                <w:bCs/>
                <w:u w:val="single"/>
                <w:lang w:val="en-US" w:eastAsia="zh-CN"/>
              </w:rPr>
              <w:t>2021年3月1日</w:t>
            </w:r>
            <w:r>
              <w:rPr>
                <w:rFonts w:hint="eastAsia"/>
                <w:b w:val="0"/>
                <w:bCs/>
                <w:u w:val="single"/>
                <w:lang w:eastAsia="zh-CN"/>
              </w:rPr>
              <w:t>），对于属于登记管理的排污单位无自行监测要求</w:t>
            </w:r>
            <w:r>
              <w:rPr>
                <w:b w:val="0"/>
                <w:bCs/>
                <w:u w:val="single"/>
              </w:rPr>
              <w:t>。</w:t>
            </w:r>
          </w:p>
          <w:p>
            <w:pPr>
              <w:rPr>
                <w:color w:val="0000FF"/>
              </w:rPr>
            </w:pPr>
          </w:p>
        </w:tc>
      </w:tr>
    </w:tbl>
    <w:p>
      <w:pPr>
        <w:adjustRightInd w:val="0"/>
        <w:snapToGrid w:val="0"/>
        <w:rPr>
          <w:b/>
          <w:color w:val="0000FF"/>
          <w:kern w:val="0"/>
          <w:sz w:val="28"/>
          <w:szCs w:val="28"/>
        </w:rPr>
        <w:sectPr>
          <w:pgSz w:w="11907" w:h="16840"/>
          <w:pgMar w:top="1701" w:right="1531" w:bottom="2127" w:left="1531" w:header="851" w:footer="851" w:gutter="0"/>
          <w:cols w:space="720" w:num="1"/>
          <w:docGrid w:linePitch="326" w:charSpace="0"/>
        </w:sectPr>
      </w:pPr>
    </w:p>
    <w:p>
      <w:pPr>
        <w:pStyle w:val="53"/>
        <w:wordWrap w:val="0"/>
        <w:topLinePunct/>
        <w:rPr>
          <w:rFonts w:ascii="Times New Roman" w:hAnsi="Times New Roman" w:cs="Times New Roman"/>
        </w:rPr>
      </w:pPr>
      <w:bookmarkStart w:id="105" w:name="_Toc69851323"/>
      <w:r>
        <w:rPr>
          <w:rFonts w:ascii="Times New Roman" w:hAnsi="Times New Roman" w:cs="Times New Roman"/>
        </w:rPr>
        <w:t>五、</w:t>
      </w:r>
      <w:bookmarkStart w:id="106" w:name="_Hlk54167917"/>
      <w:r>
        <w:rPr>
          <w:rFonts w:ascii="Times New Roman" w:hAnsi="Times New Roman" w:cs="Times New Roman"/>
        </w:rPr>
        <w:t>环境保护措施监督检查清单</w:t>
      </w:r>
      <w:bookmarkEnd w:id="105"/>
      <w:bookmarkEnd w:id="106"/>
    </w:p>
    <w:tbl>
      <w:tblPr>
        <w:tblStyle w:val="2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825"/>
        <w:gridCol w:w="1399"/>
        <w:gridCol w:w="1843"/>
        <w:gridCol w:w="2177"/>
        <w:gridCol w:w="181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1007" w:type="pct"/>
            <w:tcBorders>
              <w:tl2br w:val="single" w:color="auto" w:sz="4" w:space="0"/>
            </w:tcBorders>
            <w:vAlign w:val="center"/>
          </w:tcPr>
          <w:p>
            <w:pPr>
              <w:wordWrap w:val="0"/>
              <w:topLinePunct/>
              <w:adjustRightInd w:val="0"/>
              <w:snapToGrid w:val="0"/>
              <w:spacing w:line="240" w:lineRule="auto"/>
              <w:jc w:val="right"/>
              <w:rPr>
                <w:b/>
                <w:bCs/>
                <w:sz w:val="21"/>
                <w:szCs w:val="21"/>
              </w:rPr>
            </w:pPr>
            <w:r>
              <w:rPr>
                <w:b/>
                <w:bCs/>
                <w:sz w:val="21"/>
                <w:szCs w:val="21"/>
              </w:rPr>
              <w:t>内容</w:t>
            </w:r>
          </w:p>
          <w:p>
            <w:pPr>
              <w:wordWrap w:val="0"/>
              <w:topLinePunct/>
              <w:adjustRightInd w:val="0"/>
              <w:snapToGrid w:val="0"/>
              <w:spacing w:line="240" w:lineRule="auto"/>
              <w:jc w:val="right"/>
              <w:rPr>
                <w:b/>
                <w:bCs/>
                <w:sz w:val="21"/>
                <w:szCs w:val="21"/>
              </w:rPr>
            </w:pPr>
          </w:p>
          <w:p>
            <w:pPr>
              <w:wordWrap w:val="0"/>
              <w:topLinePunct/>
              <w:adjustRightInd w:val="0"/>
              <w:snapToGrid w:val="0"/>
              <w:spacing w:line="240" w:lineRule="auto"/>
              <w:jc w:val="left"/>
              <w:rPr>
                <w:b/>
                <w:bCs/>
                <w:sz w:val="21"/>
                <w:szCs w:val="21"/>
              </w:rPr>
            </w:pPr>
            <w:r>
              <w:rPr>
                <w:b/>
                <w:bCs/>
                <w:sz w:val="21"/>
                <w:szCs w:val="21"/>
              </w:rPr>
              <w:t>要素</w:t>
            </w:r>
          </w:p>
        </w:tc>
        <w:tc>
          <w:tcPr>
            <w:tcW w:w="772" w:type="pct"/>
            <w:vAlign w:val="center"/>
          </w:tcPr>
          <w:p>
            <w:pPr>
              <w:wordWrap w:val="0"/>
              <w:topLinePunct/>
              <w:adjustRightInd w:val="0"/>
              <w:snapToGrid w:val="0"/>
              <w:spacing w:line="240" w:lineRule="auto"/>
              <w:jc w:val="center"/>
              <w:rPr>
                <w:b/>
                <w:bCs/>
                <w:sz w:val="21"/>
                <w:szCs w:val="21"/>
              </w:rPr>
            </w:pPr>
            <w:r>
              <w:rPr>
                <w:b/>
                <w:bCs/>
                <w:sz w:val="21"/>
                <w:szCs w:val="21"/>
              </w:rPr>
              <w:t>排放口(编号、名称)/污染源</w:t>
            </w:r>
          </w:p>
        </w:tc>
        <w:tc>
          <w:tcPr>
            <w:tcW w:w="1017" w:type="pct"/>
            <w:vAlign w:val="center"/>
          </w:tcPr>
          <w:p>
            <w:pPr>
              <w:wordWrap w:val="0"/>
              <w:topLinePunct/>
              <w:adjustRightInd w:val="0"/>
              <w:snapToGrid w:val="0"/>
              <w:spacing w:line="240" w:lineRule="auto"/>
              <w:jc w:val="center"/>
              <w:rPr>
                <w:b/>
                <w:bCs/>
                <w:sz w:val="21"/>
                <w:szCs w:val="21"/>
              </w:rPr>
            </w:pPr>
            <w:r>
              <w:rPr>
                <w:b/>
                <w:bCs/>
                <w:sz w:val="21"/>
                <w:szCs w:val="21"/>
              </w:rPr>
              <w:t>污染物项目</w:t>
            </w:r>
          </w:p>
        </w:tc>
        <w:tc>
          <w:tcPr>
            <w:tcW w:w="1201" w:type="pct"/>
            <w:vAlign w:val="center"/>
          </w:tcPr>
          <w:p>
            <w:pPr>
              <w:wordWrap w:val="0"/>
              <w:topLinePunct/>
              <w:adjustRightInd w:val="0"/>
              <w:snapToGrid w:val="0"/>
              <w:spacing w:line="240" w:lineRule="auto"/>
              <w:jc w:val="center"/>
              <w:rPr>
                <w:b/>
                <w:bCs/>
                <w:sz w:val="21"/>
                <w:szCs w:val="21"/>
              </w:rPr>
            </w:pPr>
            <w:r>
              <w:rPr>
                <w:b/>
                <w:bCs/>
                <w:sz w:val="21"/>
                <w:szCs w:val="21"/>
              </w:rPr>
              <w:t>环境保护措施</w:t>
            </w:r>
          </w:p>
        </w:tc>
        <w:tc>
          <w:tcPr>
            <w:tcW w:w="1002" w:type="pct"/>
            <w:vAlign w:val="center"/>
          </w:tcPr>
          <w:p>
            <w:pPr>
              <w:wordWrap w:val="0"/>
              <w:topLinePunct/>
              <w:adjustRightInd w:val="0"/>
              <w:snapToGrid w:val="0"/>
              <w:spacing w:line="240" w:lineRule="auto"/>
              <w:jc w:val="center"/>
              <w:rPr>
                <w:b/>
                <w:bCs/>
                <w:sz w:val="21"/>
                <w:szCs w:val="21"/>
              </w:rPr>
            </w:pPr>
            <w:r>
              <w:rPr>
                <w:b/>
                <w:bCs/>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3" w:hRule="atLeast"/>
          <w:jc w:val="center"/>
        </w:trPr>
        <w:tc>
          <w:tcPr>
            <w:tcW w:w="1007" w:type="pct"/>
            <w:vMerge w:val="restart"/>
            <w:vAlign w:val="center"/>
          </w:tcPr>
          <w:p>
            <w:pPr>
              <w:wordWrap w:val="0"/>
              <w:topLinePunct/>
              <w:adjustRightInd w:val="0"/>
              <w:snapToGrid w:val="0"/>
              <w:spacing w:line="240" w:lineRule="auto"/>
              <w:jc w:val="center"/>
              <w:rPr>
                <w:sz w:val="21"/>
                <w:szCs w:val="21"/>
              </w:rPr>
            </w:pPr>
            <w:r>
              <w:rPr>
                <w:sz w:val="21"/>
                <w:szCs w:val="21"/>
              </w:rPr>
              <w:t>大气环境</w:t>
            </w:r>
          </w:p>
        </w:tc>
        <w:tc>
          <w:tcPr>
            <w:tcW w:w="772" w:type="pct"/>
            <w:vAlign w:val="center"/>
          </w:tcPr>
          <w:p>
            <w:pPr>
              <w:wordWrap w:val="0"/>
              <w:topLinePunct/>
              <w:adjustRightInd w:val="0"/>
              <w:snapToGrid w:val="0"/>
              <w:spacing w:line="240" w:lineRule="auto"/>
              <w:jc w:val="center"/>
              <w:rPr>
                <w:sz w:val="21"/>
                <w:szCs w:val="21"/>
                <w:u w:val="single"/>
              </w:rPr>
            </w:pPr>
            <w:r>
              <w:rPr>
                <w:rFonts w:hint="eastAsia"/>
                <w:sz w:val="21"/>
                <w:szCs w:val="21"/>
                <w:u w:val="single"/>
              </w:rPr>
              <w:t>成品堆场</w:t>
            </w:r>
          </w:p>
        </w:tc>
        <w:tc>
          <w:tcPr>
            <w:tcW w:w="1017" w:type="pct"/>
            <w:vAlign w:val="center"/>
          </w:tcPr>
          <w:p>
            <w:pPr>
              <w:wordWrap w:val="0"/>
              <w:topLinePunct/>
              <w:adjustRightInd w:val="0"/>
              <w:snapToGrid w:val="0"/>
              <w:spacing w:line="240" w:lineRule="auto"/>
              <w:jc w:val="center"/>
              <w:rPr>
                <w:sz w:val="21"/>
                <w:szCs w:val="21"/>
                <w:u w:val="single"/>
              </w:rPr>
            </w:pPr>
            <w:r>
              <w:rPr>
                <w:sz w:val="21"/>
                <w:szCs w:val="21"/>
                <w:u w:val="single"/>
              </w:rPr>
              <w:t>颗粒物</w:t>
            </w:r>
          </w:p>
        </w:tc>
        <w:tc>
          <w:tcPr>
            <w:tcW w:w="1201" w:type="pct"/>
            <w:vAlign w:val="center"/>
          </w:tcPr>
          <w:p>
            <w:pPr>
              <w:wordWrap w:val="0"/>
              <w:topLinePunct/>
              <w:adjustRightInd w:val="0"/>
              <w:snapToGrid w:val="0"/>
              <w:spacing w:line="240" w:lineRule="auto"/>
              <w:jc w:val="center"/>
              <w:rPr>
                <w:sz w:val="21"/>
                <w:szCs w:val="21"/>
                <w:u w:val="single"/>
              </w:rPr>
            </w:pPr>
            <w:r>
              <w:rPr>
                <w:rStyle w:val="25"/>
                <w:kern w:val="0"/>
                <w:szCs w:val="21"/>
                <w:u w:val="single"/>
              </w:rPr>
              <w:t>无组织排放，设置</w:t>
            </w:r>
            <w:r>
              <w:rPr>
                <w:rStyle w:val="25"/>
                <w:rFonts w:hint="eastAsia"/>
                <w:kern w:val="0"/>
                <w:szCs w:val="21"/>
                <w:u w:val="single"/>
              </w:rPr>
              <w:t>喷淋抑尘设施</w:t>
            </w:r>
            <w:r>
              <w:rPr>
                <w:rStyle w:val="25"/>
                <w:kern w:val="0"/>
                <w:szCs w:val="21"/>
                <w:u w:val="single"/>
              </w:rPr>
              <w:t>。</w:t>
            </w:r>
          </w:p>
        </w:tc>
        <w:tc>
          <w:tcPr>
            <w:tcW w:w="1002" w:type="pct"/>
            <w:vAlign w:val="center"/>
          </w:tcPr>
          <w:p>
            <w:pPr>
              <w:wordWrap w:val="0"/>
              <w:topLinePunct/>
              <w:adjustRightInd w:val="0"/>
              <w:snapToGrid w:val="0"/>
              <w:spacing w:line="240" w:lineRule="auto"/>
              <w:jc w:val="center"/>
              <w:rPr>
                <w:sz w:val="21"/>
                <w:szCs w:val="21"/>
                <w:u w:val="single"/>
              </w:rPr>
            </w:pPr>
            <w:r>
              <w:rPr>
                <w:sz w:val="21"/>
                <w:szCs w:val="21"/>
                <w:u w:val="single"/>
              </w:rPr>
              <w:t>《大气污染源综合排放标准》（GB16297-1996）无组织排放监控浓度限值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3" w:hRule="atLeast"/>
          <w:jc w:val="center"/>
        </w:trPr>
        <w:tc>
          <w:tcPr>
            <w:tcW w:w="1007" w:type="pct"/>
            <w:vMerge w:val="continue"/>
            <w:vAlign w:val="center"/>
          </w:tcPr>
          <w:p>
            <w:pPr>
              <w:wordWrap w:val="0"/>
              <w:topLinePunct/>
              <w:adjustRightInd w:val="0"/>
              <w:snapToGrid w:val="0"/>
              <w:spacing w:line="240" w:lineRule="auto"/>
              <w:jc w:val="center"/>
              <w:rPr>
                <w:sz w:val="21"/>
                <w:szCs w:val="21"/>
              </w:rPr>
            </w:pPr>
          </w:p>
        </w:tc>
        <w:tc>
          <w:tcPr>
            <w:tcW w:w="772" w:type="pct"/>
            <w:vAlign w:val="center"/>
          </w:tcPr>
          <w:p>
            <w:pPr>
              <w:wordWrap w:val="0"/>
              <w:topLinePunct/>
              <w:adjustRightInd w:val="0"/>
              <w:snapToGrid w:val="0"/>
              <w:spacing w:line="240" w:lineRule="auto"/>
              <w:jc w:val="center"/>
              <w:rPr>
                <w:sz w:val="21"/>
                <w:szCs w:val="21"/>
              </w:rPr>
            </w:pPr>
            <w:r>
              <w:rPr>
                <w:rFonts w:hint="eastAsia"/>
                <w:sz w:val="21"/>
                <w:szCs w:val="21"/>
              </w:rPr>
              <w:t>装卸</w:t>
            </w:r>
          </w:p>
        </w:tc>
        <w:tc>
          <w:tcPr>
            <w:tcW w:w="1017" w:type="pct"/>
            <w:vAlign w:val="center"/>
          </w:tcPr>
          <w:p>
            <w:pPr>
              <w:wordWrap w:val="0"/>
              <w:topLinePunct/>
              <w:adjustRightInd w:val="0"/>
              <w:snapToGrid w:val="0"/>
              <w:spacing w:line="240" w:lineRule="auto"/>
              <w:jc w:val="center"/>
              <w:rPr>
                <w:sz w:val="21"/>
                <w:szCs w:val="21"/>
              </w:rPr>
            </w:pPr>
            <w:r>
              <w:rPr>
                <w:sz w:val="21"/>
                <w:szCs w:val="21"/>
              </w:rPr>
              <w:t>颗粒物</w:t>
            </w:r>
          </w:p>
        </w:tc>
        <w:tc>
          <w:tcPr>
            <w:tcW w:w="1201" w:type="pct"/>
            <w:vAlign w:val="center"/>
          </w:tcPr>
          <w:p>
            <w:pPr>
              <w:wordWrap w:val="0"/>
              <w:topLinePunct/>
              <w:adjustRightInd w:val="0"/>
              <w:snapToGrid w:val="0"/>
              <w:spacing w:line="240" w:lineRule="auto"/>
              <w:jc w:val="center"/>
              <w:rPr>
                <w:rStyle w:val="25"/>
                <w:kern w:val="0"/>
                <w:szCs w:val="21"/>
              </w:rPr>
            </w:pPr>
            <w:r>
              <w:rPr>
                <w:rStyle w:val="25"/>
                <w:kern w:val="0"/>
                <w:szCs w:val="21"/>
              </w:rPr>
              <w:t>在装卸过程中，加强洒水防尘力度、避开大风天气卸车等措施后，无组织排放。</w:t>
            </w:r>
          </w:p>
        </w:tc>
        <w:tc>
          <w:tcPr>
            <w:tcW w:w="1002" w:type="pct"/>
            <w:vAlign w:val="center"/>
          </w:tcPr>
          <w:p>
            <w:pPr>
              <w:wordWrap w:val="0"/>
              <w:topLinePunct/>
              <w:adjustRightInd w:val="0"/>
              <w:snapToGrid w:val="0"/>
              <w:spacing w:line="240" w:lineRule="auto"/>
              <w:jc w:val="center"/>
              <w:rPr>
                <w:sz w:val="21"/>
                <w:szCs w:val="21"/>
              </w:rPr>
            </w:pPr>
            <w:r>
              <w:rPr>
                <w:sz w:val="21"/>
                <w:szCs w:val="21"/>
              </w:rPr>
              <w:t>《大气污染源综合排放标准》（GB16297-1996）无组织排放监控浓度限值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3" w:hRule="atLeast"/>
          <w:jc w:val="center"/>
        </w:trPr>
        <w:tc>
          <w:tcPr>
            <w:tcW w:w="1007" w:type="pct"/>
            <w:vMerge w:val="continue"/>
            <w:vAlign w:val="center"/>
          </w:tcPr>
          <w:p>
            <w:pPr>
              <w:wordWrap w:val="0"/>
              <w:topLinePunct/>
              <w:adjustRightInd w:val="0"/>
              <w:snapToGrid w:val="0"/>
              <w:spacing w:line="240" w:lineRule="auto"/>
              <w:jc w:val="center"/>
              <w:rPr>
                <w:sz w:val="21"/>
                <w:szCs w:val="21"/>
              </w:rPr>
            </w:pPr>
          </w:p>
        </w:tc>
        <w:tc>
          <w:tcPr>
            <w:tcW w:w="772" w:type="pct"/>
            <w:vAlign w:val="center"/>
          </w:tcPr>
          <w:p>
            <w:pPr>
              <w:wordWrap w:val="0"/>
              <w:topLinePunct/>
              <w:adjustRightInd w:val="0"/>
              <w:snapToGrid w:val="0"/>
              <w:spacing w:line="240" w:lineRule="auto"/>
              <w:jc w:val="center"/>
              <w:rPr>
                <w:sz w:val="21"/>
                <w:szCs w:val="21"/>
              </w:rPr>
            </w:pPr>
            <w:r>
              <w:rPr>
                <w:rFonts w:hint="eastAsia"/>
                <w:sz w:val="21"/>
                <w:szCs w:val="21"/>
              </w:rPr>
              <w:t>运输车辆扬尘</w:t>
            </w:r>
          </w:p>
        </w:tc>
        <w:tc>
          <w:tcPr>
            <w:tcW w:w="1017" w:type="pct"/>
            <w:vAlign w:val="center"/>
          </w:tcPr>
          <w:p>
            <w:pPr>
              <w:wordWrap w:val="0"/>
              <w:topLinePunct/>
              <w:adjustRightInd w:val="0"/>
              <w:snapToGrid w:val="0"/>
              <w:spacing w:line="240" w:lineRule="auto"/>
              <w:jc w:val="center"/>
              <w:rPr>
                <w:sz w:val="21"/>
                <w:szCs w:val="21"/>
              </w:rPr>
            </w:pPr>
            <w:r>
              <w:rPr>
                <w:sz w:val="21"/>
                <w:szCs w:val="21"/>
              </w:rPr>
              <w:t>颗粒物</w:t>
            </w:r>
          </w:p>
        </w:tc>
        <w:tc>
          <w:tcPr>
            <w:tcW w:w="1201" w:type="pct"/>
            <w:vAlign w:val="center"/>
          </w:tcPr>
          <w:p>
            <w:pPr>
              <w:wordWrap w:val="0"/>
              <w:topLinePunct/>
              <w:adjustRightInd w:val="0"/>
              <w:snapToGrid w:val="0"/>
              <w:spacing w:line="240" w:lineRule="auto"/>
              <w:jc w:val="center"/>
              <w:rPr>
                <w:rStyle w:val="25"/>
                <w:kern w:val="0"/>
                <w:szCs w:val="21"/>
              </w:rPr>
            </w:pPr>
            <w:r>
              <w:rPr>
                <w:rStyle w:val="25"/>
                <w:rFonts w:hint="eastAsia"/>
                <w:kern w:val="0"/>
                <w:szCs w:val="21"/>
              </w:rPr>
              <w:t>采取</w:t>
            </w:r>
            <w:r>
              <w:rPr>
                <w:rStyle w:val="25"/>
                <w:kern w:val="0"/>
                <w:szCs w:val="21"/>
              </w:rPr>
              <w:t>减速慢行，对厂区道路进行洒水，进出厂区时必须进行加盖篷布</w:t>
            </w:r>
            <w:r>
              <w:rPr>
                <w:rStyle w:val="25"/>
                <w:rFonts w:hint="eastAsia"/>
                <w:kern w:val="0"/>
                <w:szCs w:val="21"/>
              </w:rPr>
              <w:t>等措施后无组织排放。</w:t>
            </w:r>
          </w:p>
        </w:tc>
        <w:tc>
          <w:tcPr>
            <w:tcW w:w="1002" w:type="pct"/>
            <w:vAlign w:val="center"/>
          </w:tcPr>
          <w:p>
            <w:pPr>
              <w:wordWrap w:val="0"/>
              <w:topLinePunct/>
              <w:adjustRightInd w:val="0"/>
              <w:snapToGrid w:val="0"/>
              <w:spacing w:line="240" w:lineRule="auto"/>
              <w:jc w:val="center"/>
              <w:rPr>
                <w:sz w:val="21"/>
                <w:szCs w:val="21"/>
              </w:rPr>
            </w:pPr>
            <w:r>
              <w:rPr>
                <w:sz w:val="21"/>
                <w:szCs w:val="21"/>
              </w:rPr>
              <w:t>《大气污染源综合排放标准》（GB16297-1996）无组织排放监控浓度限值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3" w:hRule="atLeast"/>
          <w:jc w:val="center"/>
        </w:trPr>
        <w:tc>
          <w:tcPr>
            <w:tcW w:w="1007" w:type="pct"/>
            <w:vMerge w:val="continue"/>
            <w:vAlign w:val="center"/>
          </w:tcPr>
          <w:p>
            <w:pPr>
              <w:wordWrap w:val="0"/>
              <w:topLinePunct/>
              <w:adjustRightInd w:val="0"/>
              <w:snapToGrid w:val="0"/>
              <w:spacing w:line="240" w:lineRule="auto"/>
              <w:jc w:val="center"/>
              <w:rPr>
                <w:sz w:val="21"/>
                <w:szCs w:val="21"/>
              </w:rPr>
            </w:pPr>
          </w:p>
        </w:tc>
        <w:tc>
          <w:tcPr>
            <w:tcW w:w="772" w:type="pct"/>
            <w:vAlign w:val="center"/>
          </w:tcPr>
          <w:p>
            <w:pPr>
              <w:wordWrap w:val="0"/>
              <w:topLinePunct/>
              <w:adjustRightInd w:val="0"/>
              <w:snapToGrid w:val="0"/>
              <w:spacing w:line="240" w:lineRule="auto"/>
              <w:jc w:val="center"/>
              <w:rPr>
                <w:sz w:val="21"/>
                <w:szCs w:val="21"/>
                <w:u w:val="single"/>
              </w:rPr>
            </w:pPr>
            <w:r>
              <w:rPr>
                <w:rFonts w:hint="eastAsia"/>
                <w:sz w:val="21"/>
                <w:szCs w:val="21"/>
                <w:u w:val="single"/>
              </w:rPr>
              <w:t>破碎、筛分、制砂粉尘</w:t>
            </w:r>
          </w:p>
        </w:tc>
        <w:tc>
          <w:tcPr>
            <w:tcW w:w="1017" w:type="pct"/>
            <w:vAlign w:val="center"/>
          </w:tcPr>
          <w:p>
            <w:pPr>
              <w:wordWrap w:val="0"/>
              <w:topLinePunct/>
              <w:adjustRightInd w:val="0"/>
              <w:snapToGrid w:val="0"/>
              <w:spacing w:line="240" w:lineRule="auto"/>
              <w:jc w:val="center"/>
              <w:rPr>
                <w:sz w:val="21"/>
                <w:szCs w:val="21"/>
                <w:u w:val="single"/>
              </w:rPr>
            </w:pPr>
            <w:r>
              <w:rPr>
                <w:sz w:val="21"/>
                <w:szCs w:val="21"/>
                <w:u w:val="single"/>
              </w:rPr>
              <w:t>颗粒物</w:t>
            </w:r>
          </w:p>
        </w:tc>
        <w:tc>
          <w:tcPr>
            <w:tcW w:w="1201" w:type="pct"/>
            <w:vAlign w:val="center"/>
          </w:tcPr>
          <w:p>
            <w:pPr>
              <w:wordWrap w:val="0"/>
              <w:topLinePunct/>
              <w:adjustRightInd w:val="0"/>
              <w:snapToGrid w:val="0"/>
              <w:spacing w:line="240" w:lineRule="auto"/>
              <w:jc w:val="center"/>
              <w:rPr>
                <w:rStyle w:val="25"/>
                <w:kern w:val="0"/>
                <w:szCs w:val="21"/>
                <w:u w:val="single"/>
              </w:rPr>
            </w:pPr>
            <w:r>
              <w:rPr>
                <w:rStyle w:val="25"/>
                <w:rFonts w:hint="eastAsia"/>
                <w:kern w:val="0"/>
                <w:szCs w:val="21"/>
                <w:u w:val="single"/>
              </w:rPr>
              <w:t>采用湿法作业，</w:t>
            </w:r>
            <w:r>
              <w:rPr>
                <w:rFonts w:hint="eastAsia"/>
                <w:sz w:val="21"/>
                <w:szCs w:val="21"/>
                <w:u w:val="single"/>
              </w:rPr>
              <w:t>对</w:t>
            </w:r>
            <w:r>
              <w:rPr>
                <w:rFonts w:hint="eastAsia"/>
                <w:sz w:val="21"/>
                <w:szCs w:val="21"/>
                <w:u w:val="single"/>
                <w:lang w:eastAsia="zh-CN"/>
              </w:rPr>
              <w:t>破碎工序</w:t>
            </w:r>
            <w:r>
              <w:rPr>
                <w:rFonts w:hint="eastAsia"/>
                <w:sz w:val="21"/>
                <w:szCs w:val="21"/>
                <w:u w:val="single"/>
              </w:rPr>
              <w:t>设置</w:t>
            </w:r>
            <w:r>
              <w:rPr>
                <w:rFonts w:hint="eastAsia"/>
                <w:sz w:val="21"/>
                <w:szCs w:val="21"/>
                <w:u w:val="single"/>
                <w:lang w:eastAsia="zh-CN"/>
              </w:rPr>
              <w:t>三面</w:t>
            </w:r>
            <w:r>
              <w:rPr>
                <w:rFonts w:hint="eastAsia"/>
                <w:sz w:val="21"/>
                <w:szCs w:val="21"/>
                <w:u w:val="single"/>
              </w:rPr>
              <w:t>围挡</w:t>
            </w:r>
            <w:r>
              <w:rPr>
                <w:rFonts w:hint="eastAsia"/>
                <w:sz w:val="21"/>
                <w:szCs w:val="21"/>
                <w:u w:val="single"/>
                <w:lang w:eastAsia="zh-CN"/>
              </w:rPr>
              <w:t>，</w:t>
            </w:r>
            <w:r>
              <w:rPr>
                <w:rStyle w:val="25"/>
                <w:rFonts w:hint="eastAsia"/>
                <w:kern w:val="0"/>
                <w:szCs w:val="21"/>
                <w:u w:val="single"/>
              </w:rPr>
              <w:t>粉尘产生量可忽略不计。</w:t>
            </w:r>
          </w:p>
        </w:tc>
        <w:tc>
          <w:tcPr>
            <w:tcW w:w="1002" w:type="pct"/>
            <w:vAlign w:val="center"/>
          </w:tcPr>
          <w:p>
            <w:pPr>
              <w:wordWrap w:val="0"/>
              <w:topLinePunct/>
              <w:adjustRightInd w:val="0"/>
              <w:snapToGrid w:val="0"/>
              <w:spacing w:line="240" w:lineRule="auto"/>
              <w:jc w:val="center"/>
              <w:rPr>
                <w:sz w:val="21"/>
                <w:szCs w:val="21"/>
                <w:u w:val="single"/>
              </w:rPr>
            </w:pPr>
            <w:r>
              <w:rPr>
                <w:sz w:val="21"/>
                <w:szCs w:val="21"/>
                <w:u w:val="single"/>
              </w:rPr>
              <w:t>《大气污染源综合排放标准》（GB16297-1996）无组织排放监控浓度限值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1007" w:type="pct"/>
            <w:vMerge w:val="continue"/>
            <w:vAlign w:val="center"/>
          </w:tcPr>
          <w:p>
            <w:pPr>
              <w:wordWrap w:val="0"/>
              <w:topLinePunct/>
              <w:adjustRightInd w:val="0"/>
              <w:snapToGrid w:val="0"/>
              <w:spacing w:line="240" w:lineRule="auto"/>
              <w:jc w:val="center"/>
              <w:rPr>
                <w:sz w:val="21"/>
                <w:szCs w:val="21"/>
              </w:rPr>
            </w:pPr>
          </w:p>
        </w:tc>
        <w:tc>
          <w:tcPr>
            <w:tcW w:w="772" w:type="pct"/>
            <w:vAlign w:val="center"/>
          </w:tcPr>
          <w:p>
            <w:pPr>
              <w:wordWrap w:val="0"/>
              <w:topLinePunct/>
              <w:adjustRightInd w:val="0"/>
              <w:snapToGrid w:val="0"/>
              <w:spacing w:line="240" w:lineRule="auto"/>
              <w:jc w:val="center"/>
              <w:rPr>
                <w:sz w:val="21"/>
                <w:szCs w:val="21"/>
              </w:rPr>
            </w:pPr>
            <w:r>
              <w:rPr>
                <w:sz w:val="21"/>
                <w:szCs w:val="21"/>
              </w:rPr>
              <w:t>食堂废气</w:t>
            </w:r>
          </w:p>
        </w:tc>
        <w:tc>
          <w:tcPr>
            <w:tcW w:w="1017" w:type="pct"/>
            <w:vAlign w:val="center"/>
          </w:tcPr>
          <w:p>
            <w:pPr>
              <w:wordWrap w:val="0"/>
              <w:topLinePunct/>
              <w:adjustRightInd w:val="0"/>
              <w:snapToGrid w:val="0"/>
              <w:spacing w:line="240" w:lineRule="auto"/>
              <w:jc w:val="center"/>
              <w:rPr>
                <w:sz w:val="21"/>
                <w:szCs w:val="21"/>
              </w:rPr>
            </w:pPr>
            <w:r>
              <w:rPr>
                <w:sz w:val="21"/>
                <w:szCs w:val="21"/>
              </w:rPr>
              <w:t>油烟</w:t>
            </w:r>
          </w:p>
        </w:tc>
        <w:tc>
          <w:tcPr>
            <w:tcW w:w="1201" w:type="pct"/>
            <w:vAlign w:val="center"/>
          </w:tcPr>
          <w:p>
            <w:pPr>
              <w:wordWrap w:val="0"/>
              <w:topLinePunct/>
              <w:adjustRightInd w:val="0"/>
              <w:snapToGrid w:val="0"/>
              <w:spacing w:line="240" w:lineRule="auto"/>
              <w:jc w:val="center"/>
              <w:rPr>
                <w:rStyle w:val="25"/>
                <w:kern w:val="0"/>
                <w:szCs w:val="21"/>
              </w:rPr>
            </w:pPr>
            <w:r>
              <w:rPr>
                <w:rStyle w:val="25"/>
                <w:rFonts w:hint="eastAsia"/>
                <w:kern w:val="0"/>
                <w:szCs w:val="21"/>
              </w:rPr>
              <w:t>经</w:t>
            </w:r>
            <w:r>
              <w:rPr>
                <w:rStyle w:val="25"/>
                <w:kern w:val="0"/>
                <w:szCs w:val="21"/>
              </w:rPr>
              <w:t>一套油烟净化装置处理后排放。</w:t>
            </w:r>
          </w:p>
        </w:tc>
        <w:tc>
          <w:tcPr>
            <w:tcW w:w="1002" w:type="pct"/>
            <w:vAlign w:val="center"/>
          </w:tcPr>
          <w:p>
            <w:pPr>
              <w:wordWrap w:val="0"/>
              <w:topLinePunct/>
              <w:adjustRightInd w:val="0"/>
              <w:snapToGrid w:val="0"/>
              <w:spacing w:line="240" w:lineRule="auto"/>
              <w:jc w:val="center"/>
              <w:rPr>
                <w:rFonts w:hint="default"/>
                <w:sz w:val="21"/>
                <w:szCs w:val="21"/>
                <w:lang w:val="en-US"/>
              </w:rPr>
            </w:pPr>
            <w:r>
              <w:rPr>
                <w:rFonts w:hint="eastAsia"/>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1007" w:type="pct"/>
            <w:vMerge w:val="restart"/>
            <w:vAlign w:val="center"/>
          </w:tcPr>
          <w:p>
            <w:pPr>
              <w:wordWrap w:val="0"/>
              <w:topLinePunct/>
              <w:adjustRightInd w:val="0"/>
              <w:snapToGrid w:val="0"/>
              <w:spacing w:line="240" w:lineRule="auto"/>
              <w:jc w:val="center"/>
              <w:rPr>
                <w:sz w:val="21"/>
                <w:szCs w:val="21"/>
              </w:rPr>
            </w:pPr>
            <w:r>
              <w:rPr>
                <w:sz w:val="21"/>
                <w:szCs w:val="21"/>
              </w:rPr>
              <w:t>地表水环境</w:t>
            </w:r>
          </w:p>
        </w:tc>
        <w:tc>
          <w:tcPr>
            <w:tcW w:w="772" w:type="pct"/>
            <w:vAlign w:val="center"/>
          </w:tcPr>
          <w:p>
            <w:pPr>
              <w:wordWrap w:val="0"/>
              <w:topLinePunct/>
              <w:adjustRightInd w:val="0"/>
              <w:snapToGrid w:val="0"/>
              <w:spacing w:line="240" w:lineRule="auto"/>
              <w:jc w:val="center"/>
              <w:rPr>
                <w:sz w:val="21"/>
                <w:szCs w:val="21"/>
              </w:rPr>
            </w:pPr>
            <w:r>
              <w:rPr>
                <w:sz w:val="21"/>
                <w:szCs w:val="21"/>
              </w:rPr>
              <w:t>生活污水</w:t>
            </w:r>
          </w:p>
        </w:tc>
        <w:tc>
          <w:tcPr>
            <w:tcW w:w="1017" w:type="pct"/>
            <w:vAlign w:val="center"/>
          </w:tcPr>
          <w:p>
            <w:pPr>
              <w:wordWrap w:val="0"/>
              <w:topLinePunct/>
              <w:adjustRightInd w:val="0"/>
              <w:snapToGrid w:val="0"/>
              <w:spacing w:line="240" w:lineRule="auto"/>
              <w:jc w:val="center"/>
              <w:rPr>
                <w:sz w:val="21"/>
                <w:szCs w:val="21"/>
              </w:rPr>
            </w:pPr>
            <w:r>
              <w:rPr>
                <w:sz w:val="21"/>
                <w:szCs w:val="21"/>
              </w:rPr>
              <w:t>COD</w:t>
            </w:r>
            <w:r>
              <w:rPr>
                <w:sz w:val="21"/>
                <w:szCs w:val="21"/>
                <w:vertAlign w:val="subscript"/>
              </w:rPr>
              <w:t>cr</w:t>
            </w:r>
            <w:r>
              <w:rPr>
                <w:kern w:val="0"/>
                <w:sz w:val="21"/>
                <w:szCs w:val="21"/>
              </w:rPr>
              <w:t>、氨氮、BOD</w:t>
            </w:r>
            <w:r>
              <w:rPr>
                <w:kern w:val="0"/>
                <w:sz w:val="21"/>
                <w:szCs w:val="21"/>
                <w:vertAlign w:val="subscript"/>
              </w:rPr>
              <w:t>5</w:t>
            </w:r>
            <w:r>
              <w:rPr>
                <w:kern w:val="0"/>
                <w:sz w:val="21"/>
                <w:szCs w:val="21"/>
              </w:rPr>
              <w:t>、SS、动植物油</w:t>
            </w:r>
          </w:p>
        </w:tc>
        <w:tc>
          <w:tcPr>
            <w:tcW w:w="1201" w:type="pct"/>
            <w:vAlign w:val="center"/>
          </w:tcPr>
          <w:p>
            <w:pPr>
              <w:wordWrap w:val="0"/>
              <w:topLinePunct/>
              <w:adjustRightInd w:val="0"/>
              <w:snapToGrid w:val="0"/>
              <w:spacing w:line="240" w:lineRule="auto"/>
              <w:jc w:val="center"/>
              <w:rPr>
                <w:sz w:val="21"/>
                <w:szCs w:val="21"/>
              </w:rPr>
            </w:pPr>
            <w:r>
              <w:rPr>
                <w:kern w:val="0"/>
                <w:sz w:val="21"/>
                <w:szCs w:val="21"/>
              </w:rPr>
              <w:t>经</w:t>
            </w:r>
            <w:r>
              <w:rPr>
                <w:rFonts w:hint="eastAsia"/>
                <w:kern w:val="0"/>
                <w:sz w:val="21"/>
                <w:szCs w:val="21"/>
              </w:rPr>
              <w:t>隔油</w:t>
            </w:r>
            <w:r>
              <w:rPr>
                <w:kern w:val="0"/>
                <w:sz w:val="21"/>
                <w:szCs w:val="21"/>
              </w:rPr>
              <w:t>化粪池处理用于周边林地、</w:t>
            </w:r>
            <w:r>
              <w:rPr>
                <w:rFonts w:hint="eastAsia"/>
                <w:kern w:val="0"/>
                <w:sz w:val="21"/>
                <w:szCs w:val="21"/>
              </w:rPr>
              <w:t>菜地</w:t>
            </w:r>
            <w:r>
              <w:rPr>
                <w:kern w:val="0"/>
                <w:sz w:val="21"/>
                <w:szCs w:val="21"/>
              </w:rPr>
              <w:t>浇灌，不外排</w:t>
            </w:r>
            <w:r>
              <w:rPr>
                <w:sz w:val="21"/>
                <w:szCs w:val="21"/>
              </w:rPr>
              <w:t>。</w:t>
            </w:r>
          </w:p>
        </w:tc>
        <w:tc>
          <w:tcPr>
            <w:tcW w:w="1002" w:type="pct"/>
            <w:vAlign w:val="center"/>
          </w:tcPr>
          <w:p>
            <w:pPr>
              <w:wordWrap w:val="0"/>
              <w:topLinePunct/>
              <w:adjustRightInd w:val="0"/>
              <w:snapToGrid w:val="0"/>
              <w:spacing w:line="240" w:lineRule="auto"/>
              <w:jc w:val="center"/>
              <w:rPr>
                <w:sz w:val="21"/>
                <w:szCs w:val="21"/>
              </w:rPr>
            </w:pPr>
            <w:r>
              <w:rPr>
                <w:rFonts w:hint="eastAsia"/>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1007" w:type="pct"/>
            <w:vMerge w:val="continue"/>
            <w:vAlign w:val="center"/>
          </w:tcPr>
          <w:p>
            <w:pPr>
              <w:wordWrap w:val="0"/>
              <w:topLinePunct/>
              <w:adjustRightInd w:val="0"/>
              <w:snapToGrid w:val="0"/>
              <w:spacing w:line="240" w:lineRule="auto"/>
              <w:jc w:val="center"/>
              <w:rPr>
                <w:sz w:val="21"/>
                <w:szCs w:val="21"/>
              </w:rPr>
            </w:pPr>
          </w:p>
        </w:tc>
        <w:tc>
          <w:tcPr>
            <w:tcW w:w="772" w:type="pct"/>
            <w:vAlign w:val="center"/>
          </w:tcPr>
          <w:p>
            <w:pPr>
              <w:wordWrap w:val="0"/>
              <w:topLinePunct/>
              <w:adjustRightInd w:val="0"/>
              <w:snapToGrid w:val="0"/>
              <w:spacing w:line="240" w:lineRule="auto"/>
              <w:jc w:val="center"/>
              <w:rPr>
                <w:sz w:val="21"/>
                <w:szCs w:val="21"/>
              </w:rPr>
            </w:pPr>
            <w:r>
              <w:rPr>
                <w:rFonts w:hint="eastAsia"/>
                <w:sz w:val="21"/>
                <w:szCs w:val="21"/>
              </w:rPr>
              <w:t>生产</w:t>
            </w:r>
            <w:r>
              <w:rPr>
                <w:rFonts w:hint="eastAsia"/>
                <w:sz w:val="21"/>
                <w:szCs w:val="21"/>
                <w:lang w:eastAsia="zh-CN"/>
              </w:rPr>
              <w:t>工艺</w:t>
            </w:r>
            <w:r>
              <w:rPr>
                <w:rFonts w:hint="eastAsia"/>
                <w:sz w:val="21"/>
                <w:szCs w:val="21"/>
              </w:rPr>
              <w:t>废水</w:t>
            </w:r>
          </w:p>
        </w:tc>
        <w:tc>
          <w:tcPr>
            <w:tcW w:w="1017" w:type="pct"/>
            <w:vAlign w:val="center"/>
          </w:tcPr>
          <w:p>
            <w:pPr>
              <w:wordWrap w:val="0"/>
              <w:topLinePunct/>
              <w:adjustRightInd w:val="0"/>
              <w:snapToGrid w:val="0"/>
              <w:spacing w:line="240" w:lineRule="auto"/>
              <w:jc w:val="center"/>
              <w:rPr>
                <w:sz w:val="21"/>
                <w:szCs w:val="21"/>
              </w:rPr>
            </w:pPr>
            <w:r>
              <w:rPr>
                <w:rFonts w:hint="eastAsia"/>
                <w:sz w:val="21"/>
                <w:szCs w:val="21"/>
              </w:rPr>
              <w:t>SS</w:t>
            </w:r>
          </w:p>
        </w:tc>
        <w:tc>
          <w:tcPr>
            <w:tcW w:w="1201" w:type="pct"/>
            <w:vAlign w:val="center"/>
          </w:tcPr>
          <w:p>
            <w:pPr>
              <w:wordWrap w:val="0"/>
              <w:topLinePunct/>
              <w:adjustRightInd w:val="0"/>
              <w:snapToGrid w:val="0"/>
              <w:spacing w:line="240" w:lineRule="auto"/>
              <w:jc w:val="center"/>
              <w:rPr>
                <w:kern w:val="0"/>
                <w:sz w:val="21"/>
                <w:szCs w:val="21"/>
              </w:rPr>
            </w:pPr>
            <w:r>
              <w:rPr>
                <w:rFonts w:hint="eastAsia"/>
                <w:kern w:val="0"/>
                <w:sz w:val="21"/>
                <w:szCs w:val="21"/>
              </w:rPr>
              <w:t>经</w:t>
            </w:r>
            <w:r>
              <w:rPr>
                <w:kern w:val="0"/>
                <w:sz w:val="21"/>
                <w:szCs w:val="21"/>
              </w:rPr>
              <w:t>沉淀池+环保罐+清水池处理后回用于生产，不外排</w:t>
            </w:r>
            <w:r>
              <w:rPr>
                <w:rFonts w:hint="eastAsia"/>
                <w:kern w:val="0"/>
                <w:sz w:val="21"/>
                <w:szCs w:val="21"/>
              </w:rPr>
              <w:t>。</w:t>
            </w:r>
          </w:p>
        </w:tc>
        <w:tc>
          <w:tcPr>
            <w:tcW w:w="1002" w:type="pct"/>
            <w:vAlign w:val="center"/>
          </w:tcPr>
          <w:p>
            <w:pPr>
              <w:wordWrap w:val="0"/>
              <w:topLinePunct/>
              <w:adjustRightInd w:val="0"/>
              <w:snapToGrid w:val="0"/>
              <w:spacing w:line="240" w:lineRule="auto"/>
              <w:jc w:val="center"/>
              <w:rPr>
                <w:sz w:val="21"/>
                <w:szCs w:val="21"/>
              </w:rPr>
            </w:pPr>
            <w:r>
              <w:rPr>
                <w:rFonts w:hint="eastAsia"/>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1007" w:type="pct"/>
            <w:vMerge w:val="continue"/>
            <w:vAlign w:val="center"/>
          </w:tcPr>
          <w:p>
            <w:pPr>
              <w:wordWrap w:val="0"/>
              <w:topLinePunct/>
              <w:adjustRightInd w:val="0"/>
              <w:snapToGrid w:val="0"/>
              <w:spacing w:line="240" w:lineRule="auto"/>
              <w:jc w:val="center"/>
              <w:rPr>
                <w:sz w:val="21"/>
                <w:szCs w:val="21"/>
              </w:rPr>
            </w:pPr>
          </w:p>
        </w:tc>
        <w:tc>
          <w:tcPr>
            <w:tcW w:w="772" w:type="pct"/>
            <w:vAlign w:val="center"/>
          </w:tcPr>
          <w:p>
            <w:pPr>
              <w:wordWrap w:val="0"/>
              <w:topLinePunct/>
              <w:adjustRightInd w:val="0"/>
              <w:snapToGrid w:val="0"/>
              <w:spacing w:line="240" w:lineRule="auto"/>
              <w:jc w:val="center"/>
              <w:rPr>
                <w:rFonts w:hint="eastAsia" w:eastAsia="宋体"/>
                <w:sz w:val="21"/>
                <w:szCs w:val="21"/>
                <w:lang w:eastAsia="zh-CN"/>
              </w:rPr>
            </w:pPr>
            <w:r>
              <w:rPr>
                <w:rFonts w:hint="eastAsia"/>
                <w:sz w:val="21"/>
                <w:szCs w:val="21"/>
                <w:lang w:eastAsia="zh-CN"/>
              </w:rPr>
              <w:t>洗车废水</w:t>
            </w:r>
          </w:p>
        </w:tc>
        <w:tc>
          <w:tcPr>
            <w:tcW w:w="1017" w:type="pct"/>
            <w:vAlign w:val="center"/>
          </w:tcPr>
          <w:p>
            <w:pPr>
              <w:wordWrap w:val="0"/>
              <w:topLinePunct/>
              <w:adjustRightInd w:val="0"/>
              <w:snapToGrid w:val="0"/>
              <w:spacing w:line="240" w:lineRule="auto"/>
              <w:jc w:val="center"/>
              <w:rPr>
                <w:rFonts w:hint="default" w:eastAsia="宋体"/>
                <w:sz w:val="21"/>
                <w:szCs w:val="21"/>
                <w:lang w:val="en-US" w:eastAsia="zh-CN"/>
              </w:rPr>
            </w:pPr>
            <w:r>
              <w:rPr>
                <w:rFonts w:hint="eastAsia"/>
                <w:sz w:val="21"/>
                <w:szCs w:val="21"/>
                <w:lang w:val="en-US" w:eastAsia="zh-CN"/>
              </w:rPr>
              <w:t>SS、石油类</w:t>
            </w:r>
          </w:p>
        </w:tc>
        <w:tc>
          <w:tcPr>
            <w:tcW w:w="1201" w:type="pct"/>
            <w:vAlign w:val="center"/>
          </w:tcPr>
          <w:p>
            <w:pPr>
              <w:wordWrap w:val="0"/>
              <w:topLinePunct/>
              <w:adjustRightInd w:val="0"/>
              <w:snapToGrid w:val="0"/>
              <w:spacing w:line="240" w:lineRule="auto"/>
              <w:jc w:val="center"/>
              <w:rPr>
                <w:rFonts w:hint="eastAsia"/>
                <w:kern w:val="0"/>
                <w:sz w:val="21"/>
                <w:szCs w:val="21"/>
              </w:rPr>
            </w:pPr>
            <w:r>
              <w:rPr>
                <w:rFonts w:hint="eastAsia"/>
                <w:sz w:val="21"/>
                <w:szCs w:val="21"/>
                <w:lang w:eastAsia="zh-CN"/>
              </w:rPr>
              <w:t>洗车废水经洗车平台沉淀池处理后回用于车辆轮胎清洗。</w:t>
            </w:r>
          </w:p>
        </w:tc>
        <w:tc>
          <w:tcPr>
            <w:tcW w:w="1002" w:type="pct"/>
            <w:vAlign w:val="center"/>
          </w:tcPr>
          <w:p>
            <w:pPr>
              <w:wordWrap w:val="0"/>
              <w:topLinePunct/>
              <w:adjustRightInd w:val="0"/>
              <w:snapToGrid w:val="0"/>
              <w:spacing w:line="240" w:lineRule="auto"/>
              <w:jc w:val="center"/>
              <w:rPr>
                <w:rFonts w:hint="eastAsia" w:eastAsia="宋体"/>
                <w:sz w:val="21"/>
                <w:szCs w:val="21"/>
                <w:lang w:val="en-US" w:eastAsia="zh-CN"/>
              </w:rPr>
            </w:pPr>
            <w:r>
              <w:rPr>
                <w:rFonts w:hint="eastAsia"/>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91" w:hRule="atLeast"/>
          <w:jc w:val="center"/>
        </w:trPr>
        <w:tc>
          <w:tcPr>
            <w:tcW w:w="1007" w:type="pct"/>
            <w:vMerge w:val="continue"/>
            <w:vAlign w:val="center"/>
          </w:tcPr>
          <w:p>
            <w:pPr>
              <w:wordWrap w:val="0"/>
              <w:topLinePunct/>
              <w:adjustRightInd w:val="0"/>
              <w:snapToGrid w:val="0"/>
              <w:spacing w:line="240" w:lineRule="auto"/>
              <w:jc w:val="center"/>
              <w:rPr>
                <w:sz w:val="21"/>
                <w:szCs w:val="21"/>
              </w:rPr>
            </w:pPr>
          </w:p>
        </w:tc>
        <w:tc>
          <w:tcPr>
            <w:tcW w:w="772" w:type="pct"/>
            <w:vAlign w:val="center"/>
          </w:tcPr>
          <w:p>
            <w:pPr>
              <w:wordWrap w:val="0"/>
              <w:topLinePunct/>
              <w:adjustRightInd w:val="0"/>
              <w:snapToGrid w:val="0"/>
              <w:spacing w:line="240" w:lineRule="auto"/>
              <w:jc w:val="center"/>
              <w:rPr>
                <w:sz w:val="21"/>
                <w:szCs w:val="21"/>
                <w:u w:val="single"/>
              </w:rPr>
            </w:pPr>
            <w:r>
              <w:rPr>
                <w:rFonts w:hint="eastAsia"/>
                <w:sz w:val="21"/>
                <w:szCs w:val="21"/>
                <w:u w:val="single"/>
              </w:rPr>
              <w:t>初期雨水</w:t>
            </w:r>
          </w:p>
        </w:tc>
        <w:tc>
          <w:tcPr>
            <w:tcW w:w="1017" w:type="pct"/>
            <w:vAlign w:val="center"/>
          </w:tcPr>
          <w:p>
            <w:pPr>
              <w:wordWrap w:val="0"/>
              <w:topLinePunct/>
              <w:adjustRightInd w:val="0"/>
              <w:snapToGrid w:val="0"/>
              <w:spacing w:line="240" w:lineRule="auto"/>
              <w:jc w:val="center"/>
              <w:rPr>
                <w:sz w:val="21"/>
                <w:szCs w:val="21"/>
                <w:u w:val="single"/>
              </w:rPr>
            </w:pPr>
            <w:r>
              <w:rPr>
                <w:rFonts w:hint="eastAsia"/>
                <w:sz w:val="21"/>
                <w:szCs w:val="21"/>
                <w:u w:val="single"/>
              </w:rPr>
              <w:t>SS</w:t>
            </w:r>
          </w:p>
        </w:tc>
        <w:tc>
          <w:tcPr>
            <w:tcW w:w="1201" w:type="pct"/>
            <w:vAlign w:val="center"/>
          </w:tcPr>
          <w:p>
            <w:pPr>
              <w:wordWrap w:val="0"/>
              <w:topLinePunct/>
              <w:adjustRightInd w:val="0"/>
              <w:snapToGrid w:val="0"/>
              <w:spacing w:line="240" w:lineRule="auto"/>
              <w:jc w:val="center"/>
              <w:rPr>
                <w:kern w:val="0"/>
                <w:sz w:val="21"/>
                <w:szCs w:val="21"/>
                <w:u w:val="single"/>
              </w:rPr>
            </w:pPr>
            <w:r>
              <w:rPr>
                <w:kern w:val="0"/>
                <w:sz w:val="21"/>
                <w:szCs w:val="21"/>
                <w:u w:val="single"/>
              </w:rPr>
              <w:t>厂区四周</w:t>
            </w:r>
            <w:r>
              <w:rPr>
                <w:rFonts w:hint="eastAsia"/>
                <w:kern w:val="0"/>
                <w:sz w:val="21"/>
                <w:szCs w:val="21"/>
                <w:u w:val="single"/>
              </w:rPr>
              <w:t>修整完善</w:t>
            </w:r>
            <w:r>
              <w:rPr>
                <w:kern w:val="0"/>
                <w:sz w:val="21"/>
                <w:szCs w:val="21"/>
                <w:u w:val="single"/>
              </w:rPr>
              <w:t>排水沟，大气降水依地势自流入排水沟，排水沟末端连接初期雨水收集池，</w:t>
            </w:r>
            <w:r>
              <w:rPr>
                <w:rFonts w:hint="eastAsia"/>
                <w:kern w:val="0"/>
                <w:sz w:val="21"/>
                <w:szCs w:val="21"/>
                <w:u w:val="single"/>
              </w:rPr>
              <w:t>初期</w:t>
            </w:r>
            <w:r>
              <w:rPr>
                <w:kern w:val="0"/>
                <w:sz w:val="21"/>
                <w:szCs w:val="21"/>
                <w:u w:val="single"/>
              </w:rPr>
              <w:t>雨水经沉淀后回用于厂区降尘洒水，不外排。</w:t>
            </w:r>
          </w:p>
        </w:tc>
        <w:tc>
          <w:tcPr>
            <w:tcW w:w="1002" w:type="pct"/>
            <w:vAlign w:val="center"/>
          </w:tcPr>
          <w:p>
            <w:pPr>
              <w:wordWrap w:val="0"/>
              <w:topLinePunct/>
              <w:adjustRightInd w:val="0"/>
              <w:snapToGrid w:val="0"/>
              <w:spacing w:line="240" w:lineRule="auto"/>
              <w:jc w:val="center"/>
              <w:rPr>
                <w:sz w:val="21"/>
                <w:szCs w:val="21"/>
                <w:u w:val="single"/>
              </w:rPr>
            </w:pPr>
            <w:r>
              <w:rPr>
                <w:rFonts w:hint="eastAsia"/>
                <w:sz w:val="21"/>
                <w:szCs w:val="21"/>
                <w:u w:val="singl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1007" w:type="pct"/>
            <w:vAlign w:val="center"/>
          </w:tcPr>
          <w:p>
            <w:pPr>
              <w:wordWrap w:val="0"/>
              <w:topLinePunct/>
              <w:adjustRightInd w:val="0"/>
              <w:snapToGrid w:val="0"/>
              <w:spacing w:line="240" w:lineRule="auto"/>
              <w:jc w:val="center"/>
              <w:rPr>
                <w:sz w:val="21"/>
                <w:szCs w:val="21"/>
              </w:rPr>
            </w:pPr>
            <w:r>
              <w:rPr>
                <w:sz w:val="21"/>
                <w:szCs w:val="21"/>
              </w:rPr>
              <w:t>声环境</w:t>
            </w:r>
          </w:p>
        </w:tc>
        <w:tc>
          <w:tcPr>
            <w:tcW w:w="772" w:type="pct"/>
            <w:vAlign w:val="center"/>
          </w:tcPr>
          <w:p>
            <w:pPr>
              <w:wordWrap w:val="0"/>
              <w:topLinePunct/>
              <w:adjustRightInd w:val="0"/>
              <w:snapToGrid w:val="0"/>
              <w:spacing w:line="240" w:lineRule="auto"/>
              <w:jc w:val="center"/>
              <w:rPr>
                <w:sz w:val="21"/>
                <w:szCs w:val="21"/>
              </w:rPr>
            </w:pPr>
            <w:r>
              <w:rPr>
                <w:sz w:val="21"/>
                <w:szCs w:val="21"/>
              </w:rPr>
              <w:t>生产过程</w:t>
            </w:r>
          </w:p>
        </w:tc>
        <w:tc>
          <w:tcPr>
            <w:tcW w:w="1017" w:type="pct"/>
            <w:vAlign w:val="center"/>
          </w:tcPr>
          <w:p>
            <w:pPr>
              <w:wordWrap w:val="0"/>
              <w:topLinePunct/>
              <w:adjustRightInd w:val="0"/>
              <w:snapToGrid w:val="0"/>
              <w:spacing w:line="240" w:lineRule="auto"/>
              <w:jc w:val="center"/>
              <w:rPr>
                <w:sz w:val="21"/>
                <w:szCs w:val="21"/>
              </w:rPr>
            </w:pPr>
            <w:r>
              <w:rPr>
                <w:bCs/>
                <w:sz w:val="21"/>
                <w:szCs w:val="21"/>
              </w:rPr>
              <w:t>生产设备及运输车辆噪声</w:t>
            </w:r>
          </w:p>
        </w:tc>
        <w:tc>
          <w:tcPr>
            <w:tcW w:w="1201" w:type="pct"/>
            <w:vAlign w:val="center"/>
          </w:tcPr>
          <w:p>
            <w:pPr>
              <w:wordWrap w:val="0"/>
              <w:topLinePunct/>
              <w:adjustRightInd w:val="0"/>
              <w:snapToGrid w:val="0"/>
              <w:spacing w:line="240" w:lineRule="auto"/>
              <w:jc w:val="center"/>
              <w:rPr>
                <w:sz w:val="21"/>
                <w:szCs w:val="21"/>
              </w:rPr>
            </w:pPr>
            <w:r>
              <w:rPr>
                <w:bCs/>
                <w:sz w:val="21"/>
                <w:szCs w:val="21"/>
              </w:rPr>
              <w:t>合理布局、基础减振、消声器</w:t>
            </w:r>
            <w:r>
              <w:rPr>
                <w:sz w:val="21"/>
                <w:szCs w:val="21"/>
              </w:rPr>
              <w:t>等。</w:t>
            </w:r>
          </w:p>
        </w:tc>
        <w:tc>
          <w:tcPr>
            <w:tcW w:w="1002" w:type="pct"/>
            <w:vAlign w:val="center"/>
          </w:tcPr>
          <w:p>
            <w:pPr>
              <w:wordWrap w:val="0"/>
              <w:topLinePunct/>
              <w:adjustRightInd w:val="0"/>
              <w:snapToGrid w:val="0"/>
              <w:spacing w:line="240" w:lineRule="auto"/>
              <w:jc w:val="center"/>
              <w:rPr>
                <w:sz w:val="21"/>
                <w:szCs w:val="21"/>
              </w:rPr>
            </w:pPr>
            <w:r>
              <w:rPr>
                <w:sz w:val="21"/>
                <w:szCs w:val="21"/>
              </w:rPr>
              <w:t>厂界噪声执行《工业企业厂界环境噪声排放标准》(GB12348-2008)中的</w:t>
            </w:r>
            <w:r>
              <w:rPr>
                <w:rFonts w:hint="eastAsia"/>
                <w:sz w:val="21"/>
                <w:szCs w:val="21"/>
              </w:rPr>
              <w:t>2</w:t>
            </w:r>
            <w:r>
              <w:rPr>
                <w:sz w:val="21"/>
                <w:szCs w:val="21"/>
              </w:rPr>
              <w:t>类及4类标准，敏感点噪声执行2类</w:t>
            </w:r>
            <w:r>
              <w:rPr>
                <w:rFonts w:hint="eastAsia"/>
                <w:sz w:val="21"/>
                <w:szCs w:val="21"/>
              </w:rPr>
              <w:t>及4a类</w:t>
            </w:r>
            <w:r>
              <w:rPr>
                <w:sz w:val="21"/>
                <w:szCs w:val="21"/>
              </w:rPr>
              <w:t>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007" w:type="pct"/>
            <w:vAlign w:val="center"/>
          </w:tcPr>
          <w:p>
            <w:pPr>
              <w:wordWrap w:val="0"/>
              <w:topLinePunct/>
              <w:adjustRightInd w:val="0"/>
              <w:snapToGrid w:val="0"/>
              <w:spacing w:line="240" w:lineRule="auto"/>
              <w:jc w:val="center"/>
              <w:rPr>
                <w:sz w:val="21"/>
                <w:szCs w:val="21"/>
              </w:rPr>
            </w:pPr>
            <w:r>
              <w:rPr>
                <w:sz w:val="21"/>
                <w:szCs w:val="21"/>
              </w:rPr>
              <w:t>电磁辐射</w:t>
            </w:r>
          </w:p>
        </w:tc>
        <w:tc>
          <w:tcPr>
            <w:tcW w:w="3992" w:type="pct"/>
            <w:gridSpan w:val="4"/>
            <w:vAlign w:val="center"/>
          </w:tcPr>
          <w:p>
            <w:pPr>
              <w:wordWrap w:val="0"/>
              <w:topLinePunct/>
              <w:adjustRightInd w:val="0"/>
              <w:snapToGrid w:val="0"/>
              <w:spacing w:line="240" w:lineRule="auto"/>
              <w:jc w:val="center"/>
              <w:rPr>
                <w:sz w:val="21"/>
                <w:szCs w:val="21"/>
              </w:rPr>
            </w:pPr>
            <w:r>
              <w:rPr>
                <w:sz w:val="21"/>
                <w:szCs w:val="21"/>
              </w:rPr>
              <w:t>本项目不涉及电磁辐射设备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007" w:type="pct"/>
            <w:vAlign w:val="center"/>
          </w:tcPr>
          <w:p>
            <w:pPr>
              <w:wordWrap w:val="0"/>
              <w:topLinePunct/>
              <w:adjustRightInd w:val="0"/>
              <w:snapToGrid w:val="0"/>
              <w:spacing w:line="240" w:lineRule="auto"/>
              <w:jc w:val="center"/>
              <w:rPr>
                <w:sz w:val="21"/>
                <w:szCs w:val="21"/>
              </w:rPr>
            </w:pPr>
            <w:r>
              <w:rPr>
                <w:sz w:val="21"/>
                <w:szCs w:val="21"/>
              </w:rPr>
              <w:t>固体废物</w:t>
            </w:r>
          </w:p>
        </w:tc>
        <w:tc>
          <w:tcPr>
            <w:tcW w:w="3992" w:type="pct"/>
            <w:gridSpan w:val="4"/>
            <w:vAlign w:val="center"/>
          </w:tcPr>
          <w:p>
            <w:pPr>
              <w:wordWrap w:val="0"/>
              <w:topLinePunct/>
              <w:adjustRightInd w:val="0"/>
              <w:snapToGrid w:val="0"/>
              <w:spacing w:line="240" w:lineRule="auto"/>
              <w:jc w:val="center"/>
              <w:rPr>
                <w:sz w:val="21"/>
                <w:szCs w:val="21"/>
                <w:u w:val="single"/>
              </w:rPr>
            </w:pPr>
            <w:r>
              <w:rPr>
                <w:rFonts w:hint="eastAsia"/>
                <w:sz w:val="21"/>
                <w:szCs w:val="21"/>
                <w:u w:val="single"/>
              </w:rPr>
              <w:t>压滤机产生的污泥</w:t>
            </w:r>
            <w:r>
              <w:rPr>
                <w:sz w:val="21"/>
                <w:szCs w:val="21"/>
                <w:u w:val="single"/>
              </w:rPr>
              <w:t>通过脱水后，送至砖厂做原料使用</w:t>
            </w:r>
            <w:r>
              <w:rPr>
                <w:rFonts w:eastAsia="宋体"/>
                <w:sz w:val="21"/>
                <w:szCs w:val="21"/>
                <w:u w:val="single"/>
              </w:rPr>
              <w:t>；</w:t>
            </w:r>
            <w:r>
              <w:rPr>
                <w:rFonts w:hint="default" w:cs="Times New Roman"/>
                <w:kern w:val="2"/>
                <w:sz w:val="21"/>
                <w:szCs w:val="21"/>
                <w:u w:val="single"/>
                <w:lang w:val="en-US" w:eastAsia="zh-CN"/>
              </w:rPr>
              <w:t>沉淀池沉砂</w:t>
            </w:r>
            <w:r>
              <w:rPr>
                <w:rFonts w:hint="default" w:eastAsia="宋体"/>
                <w:kern w:val="2"/>
                <w:sz w:val="21"/>
                <w:szCs w:val="21"/>
                <w:u w:val="single"/>
                <w:lang w:val="en-US" w:eastAsia="zh-CN"/>
              </w:rPr>
              <w:t>定期清捞，与泥饼一同交制砖厂进行综合利用</w:t>
            </w:r>
            <w:r>
              <w:rPr>
                <w:rFonts w:hint="eastAsia" w:eastAsia="宋体"/>
                <w:kern w:val="2"/>
                <w:sz w:val="21"/>
                <w:szCs w:val="21"/>
                <w:u w:val="single"/>
                <w:lang w:val="en-US" w:eastAsia="zh-CN"/>
              </w:rPr>
              <w:t>；</w:t>
            </w:r>
            <w:r>
              <w:rPr>
                <w:rFonts w:hint="eastAsia"/>
                <w:kern w:val="2"/>
                <w:sz w:val="21"/>
                <w:szCs w:val="21"/>
                <w:u w:val="single"/>
                <w:lang w:val="en-US" w:eastAsia="zh-CN"/>
              </w:rPr>
              <w:t>压滤机滤布、</w:t>
            </w:r>
            <w:r>
              <w:rPr>
                <w:rFonts w:hint="default" w:eastAsia="宋体"/>
                <w:sz w:val="21"/>
                <w:szCs w:val="21"/>
                <w:u w:val="single"/>
              </w:rPr>
              <w:t>生活垃圾</w:t>
            </w:r>
            <w:r>
              <w:rPr>
                <w:sz w:val="21"/>
                <w:szCs w:val="21"/>
                <w:u w:val="single"/>
              </w:rPr>
              <w:t>收集后送</w:t>
            </w:r>
            <w:r>
              <w:rPr>
                <w:rFonts w:hint="eastAsia"/>
                <w:sz w:val="21"/>
                <w:szCs w:val="21"/>
                <w:u w:val="single"/>
              </w:rPr>
              <w:t>附近</w:t>
            </w:r>
            <w:r>
              <w:rPr>
                <w:sz w:val="21"/>
                <w:szCs w:val="21"/>
                <w:u w:val="single"/>
              </w:rPr>
              <w:t>垃圾处置点处置；废机油、废润滑油</w:t>
            </w:r>
            <w:r>
              <w:rPr>
                <w:rFonts w:hint="eastAsia"/>
                <w:sz w:val="21"/>
                <w:szCs w:val="21"/>
                <w:u w:val="single"/>
                <w:lang w:eastAsia="zh-CN"/>
              </w:rPr>
              <w:t>、废含油抹布</w:t>
            </w:r>
            <w:r>
              <w:rPr>
                <w:sz w:val="21"/>
                <w:szCs w:val="21"/>
                <w:u w:val="single"/>
              </w:rPr>
              <w:t>定期交由有资质单位处置。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007" w:type="pct"/>
            <w:vAlign w:val="center"/>
          </w:tcPr>
          <w:p>
            <w:pPr>
              <w:wordWrap w:val="0"/>
              <w:topLinePunct/>
              <w:adjustRightInd w:val="0"/>
              <w:snapToGrid w:val="0"/>
              <w:spacing w:line="240" w:lineRule="auto"/>
              <w:jc w:val="center"/>
              <w:rPr>
                <w:sz w:val="21"/>
                <w:szCs w:val="21"/>
                <w:u w:val="single"/>
              </w:rPr>
            </w:pPr>
            <w:r>
              <w:rPr>
                <w:sz w:val="21"/>
                <w:szCs w:val="21"/>
                <w:u w:val="single"/>
              </w:rPr>
              <w:t>土壤及地下水</w:t>
            </w:r>
          </w:p>
          <w:p>
            <w:pPr>
              <w:wordWrap w:val="0"/>
              <w:topLinePunct/>
              <w:adjustRightInd w:val="0"/>
              <w:snapToGrid w:val="0"/>
              <w:spacing w:line="240" w:lineRule="auto"/>
              <w:jc w:val="center"/>
              <w:rPr>
                <w:sz w:val="21"/>
                <w:szCs w:val="21"/>
                <w:u w:val="single"/>
              </w:rPr>
            </w:pPr>
            <w:r>
              <w:rPr>
                <w:sz w:val="21"/>
                <w:szCs w:val="21"/>
                <w:u w:val="single"/>
              </w:rPr>
              <w:t>污染防治措施</w:t>
            </w:r>
          </w:p>
        </w:tc>
        <w:tc>
          <w:tcPr>
            <w:tcW w:w="3992" w:type="pct"/>
            <w:gridSpan w:val="4"/>
            <w:vAlign w:val="center"/>
          </w:tcPr>
          <w:p>
            <w:pPr>
              <w:wordWrap w:val="0"/>
              <w:topLinePunct/>
              <w:adjustRightInd w:val="0"/>
              <w:snapToGrid w:val="0"/>
              <w:spacing w:line="240" w:lineRule="auto"/>
              <w:jc w:val="center"/>
              <w:rPr>
                <w:sz w:val="21"/>
                <w:szCs w:val="21"/>
                <w:u w:val="single"/>
              </w:rPr>
            </w:pPr>
            <w:r>
              <w:rPr>
                <w:sz w:val="21"/>
                <w:szCs w:val="21"/>
                <w:u w:val="single"/>
              </w:rPr>
              <w:t>厂区地面采取一般地面硬化措施，</w:t>
            </w:r>
            <w:r>
              <w:rPr>
                <w:rFonts w:hint="eastAsia"/>
                <w:sz w:val="21"/>
                <w:szCs w:val="21"/>
                <w:u w:val="single"/>
                <w:lang w:eastAsia="zh-CN"/>
              </w:rPr>
              <w:t>厂区周边设置截排水沟，</w:t>
            </w:r>
            <w:r>
              <w:rPr>
                <w:sz w:val="21"/>
                <w:szCs w:val="21"/>
                <w:u w:val="single"/>
              </w:rPr>
              <w:t>分区防渗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1007" w:type="pct"/>
            <w:vAlign w:val="center"/>
          </w:tcPr>
          <w:p>
            <w:pPr>
              <w:wordWrap w:val="0"/>
              <w:topLinePunct/>
              <w:adjustRightInd w:val="0"/>
              <w:snapToGrid w:val="0"/>
              <w:spacing w:line="240" w:lineRule="auto"/>
              <w:jc w:val="center"/>
              <w:rPr>
                <w:sz w:val="21"/>
                <w:szCs w:val="21"/>
                <w:u w:val="single"/>
              </w:rPr>
            </w:pPr>
            <w:r>
              <w:rPr>
                <w:sz w:val="21"/>
                <w:szCs w:val="21"/>
                <w:u w:val="single"/>
              </w:rPr>
              <w:t>生态保护措施</w:t>
            </w:r>
          </w:p>
        </w:tc>
        <w:tc>
          <w:tcPr>
            <w:tcW w:w="3992" w:type="pct"/>
            <w:gridSpan w:val="4"/>
            <w:vAlign w:val="center"/>
          </w:tcPr>
          <w:p>
            <w:pPr>
              <w:wordWrap w:val="0"/>
              <w:topLinePunct/>
              <w:adjustRightInd w:val="0"/>
              <w:snapToGrid w:val="0"/>
              <w:spacing w:line="240" w:lineRule="auto"/>
              <w:jc w:val="center"/>
              <w:rPr>
                <w:sz w:val="21"/>
                <w:szCs w:val="21"/>
                <w:u w:val="single"/>
              </w:rPr>
            </w:pPr>
            <w:r>
              <w:rPr>
                <w:sz w:val="21"/>
                <w:szCs w:val="21"/>
                <w:u w:val="singl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1007" w:type="pct"/>
            <w:vAlign w:val="center"/>
          </w:tcPr>
          <w:p>
            <w:pPr>
              <w:wordWrap w:val="0"/>
              <w:topLinePunct/>
              <w:adjustRightInd w:val="0"/>
              <w:snapToGrid w:val="0"/>
              <w:spacing w:line="240" w:lineRule="auto"/>
              <w:jc w:val="center"/>
              <w:rPr>
                <w:spacing w:val="-8"/>
                <w:sz w:val="21"/>
                <w:szCs w:val="21"/>
                <w:u w:val="single"/>
              </w:rPr>
            </w:pPr>
            <w:r>
              <w:rPr>
                <w:spacing w:val="-8"/>
                <w:sz w:val="21"/>
                <w:szCs w:val="21"/>
                <w:u w:val="single"/>
              </w:rPr>
              <w:t>环境风险</w:t>
            </w:r>
          </w:p>
          <w:p>
            <w:pPr>
              <w:wordWrap w:val="0"/>
              <w:topLinePunct/>
              <w:adjustRightInd w:val="0"/>
              <w:snapToGrid w:val="0"/>
              <w:spacing w:line="240" w:lineRule="auto"/>
              <w:jc w:val="center"/>
              <w:rPr>
                <w:spacing w:val="-8"/>
                <w:sz w:val="21"/>
                <w:szCs w:val="21"/>
                <w:u w:val="single"/>
              </w:rPr>
            </w:pPr>
            <w:r>
              <w:rPr>
                <w:spacing w:val="-8"/>
                <w:sz w:val="21"/>
                <w:szCs w:val="21"/>
                <w:u w:val="single"/>
              </w:rPr>
              <w:t>防范措施</w:t>
            </w:r>
          </w:p>
        </w:tc>
        <w:tc>
          <w:tcPr>
            <w:tcW w:w="3992" w:type="pct"/>
            <w:gridSpan w:val="4"/>
            <w:vAlign w:val="center"/>
          </w:tcPr>
          <w:p>
            <w:pPr>
              <w:tabs>
                <w:tab w:val="left" w:pos="159"/>
              </w:tabs>
              <w:wordWrap w:val="0"/>
              <w:topLinePunct/>
              <w:adjustRightInd w:val="0"/>
              <w:snapToGrid w:val="0"/>
              <w:spacing w:line="240" w:lineRule="auto"/>
              <w:jc w:val="center"/>
              <w:rPr>
                <w:sz w:val="21"/>
                <w:szCs w:val="21"/>
                <w:u w:val="single"/>
              </w:rPr>
            </w:pPr>
            <w:r>
              <w:rPr>
                <w:rFonts w:ascii="Times New Roman" w:hAnsi="Times New Roman" w:eastAsia="宋体" w:cs="Times New Roman"/>
                <w:bCs/>
                <w:sz w:val="21"/>
                <w:szCs w:val="21"/>
                <w:u w:val="single"/>
              </w:rPr>
              <w:t>采取防渗、防漏、防雨淋措施</w:t>
            </w:r>
            <w:r>
              <w:rPr>
                <w:rFonts w:hint="eastAsia" w:ascii="Times New Roman" w:hAnsi="Times New Roman" w:eastAsia="宋体" w:cs="Times New Roman"/>
                <w:bCs/>
                <w:sz w:val="21"/>
                <w:szCs w:val="21"/>
                <w:u w:val="single"/>
                <w:lang w:eastAsia="zh-CN"/>
              </w:rPr>
              <w:t>；</w:t>
            </w:r>
            <w:r>
              <w:rPr>
                <w:sz w:val="21"/>
                <w:szCs w:val="21"/>
                <w:u w:val="single"/>
              </w:rPr>
              <w:t>厂区应配置手提式干粉灭火器。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9" w:hRule="atLeast"/>
          <w:jc w:val="center"/>
        </w:trPr>
        <w:tc>
          <w:tcPr>
            <w:tcW w:w="1007" w:type="pct"/>
            <w:vAlign w:val="center"/>
          </w:tcPr>
          <w:p>
            <w:pPr>
              <w:wordWrap w:val="0"/>
              <w:topLinePunct/>
              <w:adjustRightInd w:val="0"/>
              <w:snapToGrid w:val="0"/>
              <w:spacing w:line="240" w:lineRule="auto"/>
              <w:jc w:val="center"/>
              <w:rPr>
                <w:spacing w:val="-8"/>
                <w:sz w:val="21"/>
                <w:szCs w:val="21"/>
                <w:u w:val="single"/>
              </w:rPr>
            </w:pPr>
            <w:r>
              <w:rPr>
                <w:spacing w:val="-8"/>
                <w:sz w:val="21"/>
                <w:szCs w:val="21"/>
                <w:u w:val="single"/>
              </w:rPr>
              <w:t>其他环境</w:t>
            </w:r>
          </w:p>
          <w:p>
            <w:pPr>
              <w:wordWrap w:val="0"/>
              <w:topLinePunct/>
              <w:adjustRightInd w:val="0"/>
              <w:snapToGrid w:val="0"/>
              <w:spacing w:line="240" w:lineRule="auto"/>
              <w:jc w:val="center"/>
              <w:rPr>
                <w:spacing w:val="-8"/>
                <w:sz w:val="21"/>
                <w:szCs w:val="21"/>
                <w:u w:val="single"/>
              </w:rPr>
            </w:pPr>
            <w:r>
              <w:rPr>
                <w:spacing w:val="-8"/>
                <w:sz w:val="21"/>
                <w:szCs w:val="21"/>
                <w:u w:val="single"/>
              </w:rPr>
              <w:t>管理要求</w:t>
            </w:r>
          </w:p>
        </w:tc>
        <w:tc>
          <w:tcPr>
            <w:tcW w:w="3992" w:type="pct"/>
            <w:gridSpan w:val="4"/>
            <w:vAlign w:val="center"/>
          </w:tcPr>
          <w:p>
            <w:pPr>
              <w:wordWrap w:val="0"/>
              <w:topLinePunct/>
              <w:adjustRightInd w:val="0"/>
              <w:snapToGrid w:val="0"/>
              <w:spacing w:line="240" w:lineRule="auto"/>
              <w:rPr>
                <w:sz w:val="21"/>
                <w:szCs w:val="21"/>
                <w:u w:val="single"/>
              </w:rPr>
            </w:pPr>
            <w:r>
              <w:rPr>
                <w:sz w:val="21"/>
                <w:szCs w:val="21"/>
                <w:u w:val="single"/>
              </w:rPr>
              <w:t>1、本项目</w:t>
            </w:r>
            <w:r>
              <w:rPr>
                <w:rFonts w:hint="eastAsia"/>
                <w:sz w:val="21"/>
                <w:szCs w:val="21"/>
                <w:u w:val="single"/>
              </w:rPr>
              <w:t>应及时办理排污许可手续</w:t>
            </w:r>
            <w:r>
              <w:rPr>
                <w:sz w:val="21"/>
                <w:szCs w:val="21"/>
                <w:u w:val="single"/>
              </w:rPr>
              <w:t>；</w:t>
            </w:r>
          </w:p>
          <w:p>
            <w:pPr>
              <w:wordWrap w:val="0"/>
              <w:topLinePunct/>
              <w:adjustRightInd w:val="0"/>
              <w:snapToGrid w:val="0"/>
              <w:spacing w:line="240" w:lineRule="auto"/>
              <w:rPr>
                <w:sz w:val="21"/>
                <w:szCs w:val="21"/>
                <w:u w:val="single"/>
              </w:rPr>
            </w:pPr>
            <w:r>
              <w:rPr>
                <w:sz w:val="21"/>
                <w:szCs w:val="21"/>
                <w:u w:val="single"/>
              </w:rPr>
              <w:t>2、本项目应</w:t>
            </w:r>
            <w:r>
              <w:rPr>
                <w:rFonts w:hint="eastAsia"/>
                <w:sz w:val="21"/>
                <w:szCs w:val="21"/>
                <w:u w:val="single"/>
              </w:rPr>
              <w:t>及时编制</w:t>
            </w:r>
            <w:r>
              <w:rPr>
                <w:sz w:val="21"/>
                <w:szCs w:val="21"/>
                <w:u w:val="single"/>
              </w:rPr>
              <w:t>应急预案；</w:t>
            </w:r>
          </w:p>
          <w:p>
            <w:pPr>
              <w:pStyle w:val="10"/>
              <w:spacing w:after="0" w:line="240" w:lineRule="auto"/>
              <w:rPr>
                <w:sz w:val="21"/>
                <w:szCs w:val="21"/>
                <w:u w:val="single"/>
              </w:rPr>
            </w:pPr>
            <w:r>
              <w:rPr>
                <w:rStyle w:val="25"/>
                <w:szCs w:val="21"/>
                <w:u w:val="single"/>
              </w:rPr>
              <w:t>3、</w:t>
            </w:r>
            <w:r>
              <w:rPr>
                <w:sz w:val="21"/>
                <w:szCs w:val="21"/>
                <w:u w:val="single"/>
              </w:rPr>
              <w:t>本项目在取得环评批复后，并配套环评要求的环保设施，在具备投入正常生产的条件下应尽快完成本项目验收工作。</w:t>
            </w:r>
          </w:p>
        </w:tc>
      </w:tr>
    </w:tbl>
    <w:p>
      <w:pPr>
        <w:adjustRightInd w:val="0"/>
        <w:snapToGrid w:val="0"/>
        <w:spacing w:line="240" w:lineRule="auto"/>
        <w:jc w:val="center"/>
        <w:rPr>
          <w:snapToGrid w:val="0"/>
          <w:color w:val="0000FF"/>
        </w:rPr>
      </w:pPr>
    </w:p>
    <w:p>
      <w:pPr>
        <w:pStyle w:val="31"/>
        <w:numPr>
          <w:ilvl w:val="0"/>
          <w:numId w:val="0"/>
        </w:numPr>
        <w:rPr>
          <w:snapToGrid w:val="0"/>
        </w:rPr>
      </w:pPr>
      <w:r>
        <w:rPr>
          <w:snapToGrid w:val="0"/>
          <w:color w:val="0000FF"/>
          <w:szCs w:val="20"/>
        </w:rPr>
        <w:br w:type="page"/>
      </w:r>
      <w:bookmarkStart w:id="107" w:name="_Toc68160402"/>
      <w:bookmarkStart w:id="108" w:name="_Toc29005"/>
      <w:r>
        <w:rPr>
          <w:b w:val="0"/>
          <w:snapToGrid w:val="0"/>
          <w:kern w:val="0"/>
          <w:sz w:val="30"/>
          <w:szCs w:val="30"/>
        </w:rPr>
        <w:t>六、结论</w:t>
      </w:r>
      <w:bookmarkEnd w:id="107"/>
      <w:bookmarkEnd w:id="108"/>
    </w:p>
    <w:tbl>
      <w:tblPr>
        <w:tblStyle w:val="22"/>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ind w:firstLine="480" w:firstLineChars="200"/>
            </w:pPr>
          </w:p>
          <w:p>
            <w:pPr>
              <w:ind w:firstLine="480" w:firstLineChars="200"/>
            </w:pPr>
          </w:p>
          <w:p>
            <w:pPr>
              <w:ind w:firstLine="480" w:firstLineChars="200"/>
            </w:pPr>
          </w:p>
          <w:p>
            <w:pPr>
              <w:ind w:firstLine="480" w:firstLineChars="200"/>
            </w:pPr>
          </w:p>
          <w:p>
            <w:pPr>
              <w:ind w:firstLine="480" w:firstLineChars="200"/>
            </w:pPr>
          </w:p>
          <w:p>
            <w:pPr>
              <w:ind w:firstLine="480" w:firstLineChars="200"/>
            </w:pPr>
          </w:p>
          <w:p>
            <w:pPr>
              <w:ind w:firstLine="480" w:firstLineChars="200"/>
            </w:pPr>
          </w:p>
          <w:p>
            <w:pPr>
              <w:ind w:firstLine="480" w:firstLineChars="200"/>
            </w:pPr>
          </w:p>
          <w:p>
            <w:pPr>
              <w:ind w:firstLine="480" w:firstLineChars="200"/>
            </w:pPr>
          </w:p>
          <w:p>
            <w:pPr>
              <w:ind w:firstLine="480" w:firstLineChars="200"/>
            </w:pPr>
          </w:p>
          <w:p>
            <w:pPr>
              <w:ind w:firstLine="480" w:firstLineChars="200"/>
            </w:pPr>
          </w:p>
          <w:p>
            <w:pPr>
              <w:ind w:firstLine="480" w:firstLineChars="200"/>
              <w:rPr>
                <w:color w:val="0000FF"/>
              </w:rPr>
            </w:pPr>
            <w:r>
              <w:t>“</w:t>
            </w:r>
            <w:r>
              <w:rPr>
                <w:rFonts w:hint="eastAsia"/>
              </w:rPr>
              <w:t>辰溪县广润砂石加工项目</w:t>
            </w:r>
            <w:r>
              <w:t>”符合国家产业政策；项目选址符合相关规划要求，通过采取有效的环保措施可实现达标排放，对周边环境的影响也能控制在可接受程度。因此，建设单位在严格执行环保“三同时”制度，严格落实本报告提出的各项环保措施后，项目建设对环境的影响是可接受的。因此，从环保的角度分析，本项目的建设是可行的。</w:t>
            </w:r>
          </w:p>
          <w:p>
            <w:pPr>
              <w:ind w:firstLine="480" w:firstLineChars="200"/>
              <w:rPr>
                <w:color w:val="0000FF"/>
              </w:rPr>
            </w:pPr>
          </w:p>
          <w:p>
            <w:pPr>
              <w:ind w:firstLine="480" w:firstLineChars="200"/>
              <w:rPr>
                <w:color w:val="0000FF"/>
              </w:rPr>
            </w:pPr>
          </w:p>
          <w:p>
            <w:pPr>
              <w:ind w:firstLine="480" w:firstLineChars="200"/>
              <w:rPr>
                <w:color w:val="0000FF"/>
              </w:rPr>
            </w:pPr>
          </w:p>
          <w:p>
            <w:pPr>
              <w:ind w:firstLine="480" w:firstLineChars="200"/>
              <w:rPr>
                <w:color w:val="0000FF"/>
              </w:rPr>
            </w:pPr>
          </w:p>
          <w:p>
            <w:pPr>
              <w:ind w:firstLine="480" w:firstLineChars="200"/>
              <w:rPr>
                <w:color w:val="0000FF"/>
              </w:rPr>
            </w:pPr>
          </w:p>
          <w:p>
            <w:pPr>
              <w:ind w:firstLine="480" w:firstLineChars="200"/>
              <w:rPr>
                <w:color w:val="0000FF"/>
              </w:rPr>
            </w:pPr>
          </w:p>
          <w:p>
            <w:pPr>
              <w:ind w:firstLine="480" w:firstLineChars="200"/>
              <w:rPr>
                <w:color w:val="0000FF"/>
              </w:rPr>
            </w:pPr>
          </w:p>
          <w:p>
            <w:pPr>
              <w:ind w:firstLine="480" w:firstLineChars="200"/>
              <w:rPr>
                <w:color w:val="0000FF"/>
              </w:rPr>
            </w:pPr>
          </w:p>
          <w:p>
            <w:pPr>
              <w:ind w:firstLine="480" w:firstLineChars="200"/>
              <w:rPr>
                <w:color w:val="0000FF"/>
              </w:rPr>
            </w:pPr>
          </w:p>
          <w:p>
            <w:pPr>
              <w:ind w:firstLine="480" w:firstLineChars="200"/>
              <w:rPr>
                <w:color w:val="0000FF"/>
              </w:rPr>
            </w:pPr>
          </w:p>
          <w:p>
            <w:pPr>
              <w:ind w:firstLine="480" w:firstLineChars="200"/>
              <w:rPr>
                <w:color w:val="0000FF"/>
              </w:rPr>
            </w:pPr>
          </w:p>
        </w:tc>
      </w:tr>
    </w:tbl>
    <w:p>
      <w:pPr>
        <w:spacing w:line="240" w:lineRule="auto"/>
        <w:rPr>
          <w:color w:val="0000FF"/>
          <w:sz w:val="21"/>
        </w:rPr>
        <w:sectPr>
          <w:pgSz w:w="11906" w:h="16838"/>
          <w:pgMar w:top="1701" w:right="1531" w:bottom="1701" w:left="1531" w:header="851" w:footer="851" w:gutter="0"/>
          <w:cols w:space="720" w:num="1"/>
          <w:docGrid w:linePitch="312" w:charSpace="0"/>
        </w:sectPr>
      </w:pPr>
    </w:p>
    <w:p>
      <w:pPr>
        <w:widowControl/>
        <w:adjustRightInd w:val="0"/>
        <w:snapToGrid w:val="0"/>
        <w:spacing w:line="240" w:lineRule="auto"/>
        <w:jc w:val="left"/>
        <w:outlineLvl w:val="0"/>
        <w:rPr>
          <w:snapToGrid w:val="0"/>
          <w:kern w:val="0"/>
          <w:sz w:val="32"/>
          <w:szCs w:val="32"/>
        </w:rPr>
      </w:pPr>
      <w:bookmarkStart w:id="109" w:name="_Toc68160403"/>
      <w:bookmarkStart w:id="110" w:name="_Toc19927"/>
      <w:r>
        <w:rPr>
          <w:snapToGrid w:val="0"/>
          <w:kern w:val="0"/>
          <w:sz w:val="32"/>
          <w:szCs w:val="32"/>
        </w:rPr>
        <w:t>附表</w:t>
      </w:r>
      <w:bookmarkEnd w:id="109"/>
      <w:bookmarkEnd w:id="110"/>
    </w:p>
    <w:p>
      <w:pPr>
        <w:widowControl/>
        <w:adjustRightInd w:val="0"/>
        <w:snapToGrid w:val="0"/>
        <w:jc w:val="center"/>
        <w:outlineLvl w:val="0"/>
        <w:rPr>
          <w:snapToGrid w:val="0"/>
          <w:kern w:val="0"/>
          <w:sz w:val="38"/>
          <w:szCs w:val="38"/>
        </w:rPr>
      </w:pPr>
      <w:bookmarkStart w:id="111" w:name="_Toc68160404"/>
      <w:bookmarkStart w:id="112" w:name="_Toc9062"/>
      <w:r>
        <w:rPr>
          <w:snapToGrid w:val="0"/>
          <w:kern w:val="0"/>
          <w:sz w:val="38"/>
          <w:szCs w:val="38"/>
        </w:rPr>
        <w:t>建设项目污染物排放量汇总表</w:t>
      </w:r>
      <w:bookmarkEnd w:id="111"/>
      <w:bookmarkEnd w:id="112"/>
    </w:p>
    <w:tbl>
      <w:tblPr>
        <w:tblStyle w:val="2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30"/>
        <w:gridCol w:w="1360"/>
        <w:gridCol w:w="1652"/>
        <w:gridCol w:w="1217"/>
        <w:gridCol w:w="1652"/>
        <w:gridCol w:w="1624"/>
        <w:gridCol w:w="1714"/>
        <w:gridCol w:w="1913"/>
        <w:gridCol w:w="135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562" w:type="pct"/>
            <w:tcBorders>
              <w:tl2br w:val="single" w:color="auto" w:sz="4" w:space="0"/>
            </w:tcBorders>
            <w:tcMar>
              <w:left w:w="28" w:type="dxa"/>
              <w:right w:w="28" w:type="dxa"/>
            </w:tcMar>
            <w:vAlign w:val="center"/>
          </w:tcPr>
          <w:p>
            <w:pPr>
              <w:adjustRightInd w:val="0"/>
              <w:snapToGrid w:val="0"/>
              <w:spacing w:line="240" w:lineRule="auto"/>
              <w:jc w:val="center"/>
              <w:rPr>
                <w:snapToGrid w:val="0"/>
                <w:spacing w:val="-6"/>
                <w:kern w:val="21"/>
                <w:sz w:val="21"/>
                <w:szCs w:val="21"/>
              </w:rPr>
            </w:pPr>
            <w:r>
              <w:rPr>
                <w:snapToGrid w:val="0"/>
                <w:spacing w:val="-6"/>
                <w:kern w:val="21"/>
                <w:sz w:val="21"/>
                <w:szCs w:val="21"/>
              </w:rPr>
              <w:t>项目</w:t>
            </w:r>
          </w:p>
          <w:p>
            <w:pPr>
              <w:adjustRightInd w:val="0"/>
              <w:snapToGrid w:val="0"/>
              <w:spacing w:line="240" w:lineRule="auto"/>
              <w:jc w:val="center"/>
              <w:rPr>
                <w:snapToGrid w:val="0"/>
                <w:spacing w:val="-6"/>
                <w:kern w:val="21"/>
                <w:sz w:val="21"/>
                <w:szCs w:val="21"/>
              </w:rPr>
            </w:pPr>
            <w:r>
              <w:rPr>
                <w:snapToGrid w:val="0"/>
                <w:spacing w:val="-6"/>
                <w:kern w:val="21"/>
                <w:sz w:val="21"/>
                <w:szCs w:val="21"/>
              </w:rPr>
              <w:t>分类</w:t>
            </w:r>
          </w:p>
        </w:tc>
        <w:tc>
          <w:tcPr>
            <w:tcW w:w="501" w:type="pct"/>
            <w:tcMar>
              <w:left w:w="28" w:type="dxa"/>
              <w:right w:w="28" w:type="dxa"/>
            </w:tcMar>
            <w:vAlign w:val="center"/>
          </w:tcPr>
          <w:p>
            <w:pPr>
              <w:adjustRightInd w:val="0"/>
              <w:snapToGrid w:val="0"/>
              <w:spacing w:line="240" w:lineRule="auto"/>
              <w:jc w:val="center"/>
              <w:rPr>
                <w:snapToGrid w:val="0"/>
                <w:spacing w:val="-6"/>
                <w:kern w:val="21"/>
                <w:sz w:val="21"/>
                <w:szCs w:val="21"/>
              </w:rPr>
            </w:pPr>
            <w:r>
              <w:rPr>
                <w:snapToGrid w:val="0"/>
                <w:spacing w:val="-6"/>
                <w:kern w:val="21"/>
                <w:sz w:val="21"/>
                <w:szCs w:val="21"/>
              </w:rPr>
              <w:t>污染物名称</w:t>
            </w:r>
          </w:p>
        </w:tc>
        <w:tc>
          <w:tcPr>
            <w:tcW w:w="605" w:type="pct"/>
            <w:tcMar>
              <w:left w:w="28" w:type="dxa"/>
              <w:right w:w="28" w:type="dxa"/>
            </w:tcMar>
            <w:vAlign w:val="center"/>
          </w:tcPr>
          <w:p>
            <w:pPr>
              <w:adjustRightInd w:val="0"/>
              <w:snapToGrid w:val="0"/>
              <w:spacing w:line="240" w:lineRule="auto"/>
              <w:jc w:val="center"/>
              <w:rPr>
                <w:snapToGrid w:val="0"/>
                <w:spacing w:val="-6"/>
                <w:kern w:val="21"/>
                <w:sz w:val="21"/>
                <w:szCs w:val="21"/>
              </w:rPr>
            </w:pPr>
            <w:r>
              <w:rPr>
                <w:snapToGrid w:val="0"/>
                <w:spacing w:val="-6"/>
                <w:kern w:val="21"/>
                <w:sz w:val="21"/>
                <w:szCs w:val="21"/>
              </w:rPr>
              <w:t>现有工程</w:t>
            </w:r>
          </w:p>
          <w:p>
            <w:pPr>
              <w:adjustRightInd w:val="0"/>
              <w:snapToGrid w:val="0"/>
              <w:spacing w:line="240" w:lineRule="auto"/>
              <w:jc w:val="center"/>
              <w:rPr>
                <w:snapToGrid w:val="0"/>
                <w:spacing w:val="-6"/>
                <w:kern w:val="21"/>
                <w:sz w:val="21"/>
                <w:szCs w:val="21"/>
              </w:rPr>
            </w:pPr>
            <w:r>
              <w:rPr>
                <w:snapToGrid w:val="0"/>
                <w:spacing w:val="-6"/>
                <w:kern w:val="21"/>
                <w:sz w:val="21"/>
                <w:szCs w:val="21"/>
              </w:rPr>
              <w:t>排放量（固体废物产生量）</w:t>
            </w:r>
            <w:r>
              <w:rPr>
                <w:snapToGrid w:val="0"/>
                <w:spacing w:val="-6"/>
                <w:kern w:val="21"/>
                <w:sz w:val="21"/>
                <w:szCs w:val="21"/>
              </w:rPr>
              <w:fldChar w:fldCharType="begin"/>
            </w:r>
            <w:r>
              <w:rPr>
                <w:snapToGrid w:val="0"/>
                <w:spacing w:val="-6"/>
                <w:kern w:val="21"/>
                <w:sz w:val="21"/>
                <w:szCs w:val="21"/>
              </w:rPr>
              <w:instrText xml:space="preserve"> = 1 \* GB3 \* MERGEFORMAT </w:instrText>
            </w:r>
            <w:r>
              <w:rPr>
                <w:snapToGrid w:val="0"/>
                <w:spacing w:val="-6"/>
                <w:kern w:val="21"/>
                <w:sz w:val="21"/>
                <w:szCs w:val="21"/>
              </w:rPr>
              <w:fldChar w:fldCharType="separate"/>
            </w:r>
            <w:r>
              <w:rPr>
                <w:sz w:val="21"/>
                <w:szCs w:val="21"/>
              </w:rPr>
              <w:t>①</w:t>
            </w:r>
            <w:r>
              <w:rPr>
                <w:snapToGrid w:val="0"/>
                <w:spacing w:val="-6"/>
                <w:kern w:val="21"/>
                <w:sz w:val="21"/>
                <w:szCs w:val="21"/>
              </w:rPr>
              <w:fldChar w:fldCharType="end"/>
            </w:r>
          </w:p>
        </w:tc>
        <w:tc>
          <w:tcPr>
            <w:tcW w:w="450" w:type="pct"/>
            <w:tcMar>
              <w:left w:w="28" w:type="dxa"/>
              <w:right w:w="28" w:type="dxa"/>
            </w:tcMar>
            <w:vAlign w:val="center"/>
          </w:tcPr>
          <w:p>
            <w:pPr>
              <w:adjustRightInd w:val="0"/>
              <w:snapToGrid w:val="0"/>
              <w:spacing w:line="240" w:lineRule="auto"/>
              <w:jc w:val="center"/>
              <w:rPr>
                <w:snapToGrid w:val="0"/>
                <w:spacing w:val="-6"/>
                <w:kern w:val="21"/>
                <w:sz w:val="21"/>
                <w:szCs w:val="21"/>
              </w:rPr>
            </w:pPr>
            <w:r>
              <w:rPr>
                <w:snapToGrid w:val="0"/>
                <w:spacing w:val="-6"/>
                <w:kern w:val="21"/>
                <w:sz w:val="21"/>
                <w:szCs w:val="21"/>
              </w:rPr>
              <w:t>现有工程</w:t>
            </w:r>
          </w:p>
          <w:p>
            <w:pPr>
              <w:adjustRightInd w:val="0"/>
              <w:snapToGrid w:val="0"/>
              <w:spacing w:line="240" w:lineRule="auto"/>
              <w:jc w:val="center"/>
              <w:rPr>
                <w:snapToGrid w:val="0"/>
                <w:spacing w:val="-6"/>
                <w:kern w:val="21"/>
                <w:sz w:val="21"/>
                <w:szCs w:val="21"/>
              </w:rPr>
            </w:pPr>
            <w:r>
              <w:rPr>
                <w:snapToGrid w:val="0"/>
                <w:spacing w:val="-6"/>
                <w:kern w:val="21"/>
                <w:sz w:val="21"/>
                <w:szCs w:val="21"/>
              </w:rPr>
              <w:t>许可排放量</w:t>
            </w:r>
          </w:p>
          <w:p>
            <w:pPr>
              <w:adjustRightInd w:val="0"/>
              <w:snapToGrid w:val="0"/>
              <w:spacing w:line="259" w:lineRule="auto"/>
              <w:jc w:val="center"/>
              <w:rPr>
                <w:snapToGrid w:val="0"/>
                <w:spacing w:val="-6"/>
                <w:kern w:val="21"/>
                <w:sz w:val="21"/>
                <w:szCs w:val="21"/>
              </w:rPr>
            </w:pPr>
            <w:r>
              <w:rPr>
                <w:snapToGrid w:val="0"/>
                <w:spacing w:val="-6"/>
                <w:kern w:val="21"/>
                <w:sz w:val="21"/>
                <w:szCs w:val="21"/>
              </w:rPr>
              <w:fldChar w:fldCharType="begin"/>
            </w:r>
            <w:r>
              <w:rPr>
                <w:snapToGrid w:val="0"/>
                <w:spacing w:val="-6"/>
                <w:kern w:val="21"/>
                <w:sz w:val="21"/>
                <w:szCs w:val="21"/>
              </w:rPr>
              <w:instrText xml:space="preserve"> = 2 \* GB3 \* MERGEFORMAT </w:instrText>
            </w:r>
            <w:r>
              <w:rPr>
                <w:snapToGrid w:val="0"/>
                <w:spacing w:val="-6"/>
                <w:kern w:val="21"/>
                <w:sz w:val="21"/>
                <w:szCs w:val="21"/>
              </w:rPr>
              <w:fldChar w:fldCharType="separate"/>
            </w:r>
            <w:r>
              <w:rPr>
                <w:snapToGrid w:val="0"/>
                <w:spacing w:val="-6"/>
                <w:kern w:val="21"/>
                <w:sz w:val="21"/>
                <w:szCs w:val="21"/>
              </w:rPr>
              <w:t>②</w:t>
            </w:r>
            <w:r>
              <w:rPr>
                <w:snapToGrid w:val="0"/>
                <w:spacing w:val="-6"/>
                <w:kern w:val="21"/>
                <w:sz w:val="21"/>
                <w:szCs w:val="21"/>
              </w:rPr>
              <w:fldChar w:fldCharType="end"/>
            </w:r>
          </w:p>
        </w:tc>
        <w:tc>
          <w:tcPr>
            <w:tcW w:w="605" w:type="pct"/>
            <w:tcMar>
              <w:left w:w="28" w:type="dxa"/>
              <w:right w:w="28" w:type="dxa"/>
            </w:tcMar>
            <w:vAlign w:val="center"/>
          </w:tcPr>
          <w:p>
            <w:pPr>
              <w:adjustRightInd w:val="0"/>
              <w:snapToGrid w:val="0"/>
              <w:spacing w:line="240" w:lineRule="auto"/>
              <w:jc w:val="center"/>
              <w:rPr>
                <w:snapToGrid w:val="0"/>
                <w:spacing w:val="-6"/>
                <w:kern w:val="21"/>
                <w:sz w:val="21"/>
                <w:szCs w:val="21"/>
              </w:rPr>
            </w:pPr>
            <w:r>
              <w:rPr>
                <w:snapToGrid w:val="0"/>
                <w:spacing w:val="-6"/>
                <w:kern w:val="21"/>
                <w:sz w:val="21"/>
                <w:szCs w:val="21"/>
              </w:rPr>
              <w:t>在建工程</w:t>
            </w:r>
          </w:p>
          <w:p>
            <w:pPr>
              <w:adjustRightInd w:val="0"/>
              <w:snapToGrid w:val="0"/>
              <w:spacing w:line="240" w:lineRule="auto"/>
              <w:jc w:val="center"/>
              <w:rPr>
                <w:snapToGrid w:val="0"/>
                <w:spacing w:val="-6"/>
                <w:kern w:val="21"/>
                <w:sz w:val="21"/>
                <w:szCs w:val="21"/>
              </w:rPr>
            </w:pPr>
            <w:r>
              <w:rPr>
                <w:snapToGrid w:val="0"/>
                <w:spacing w:val="-6"/>
                <w:kern w:val="21"/>
                <w:sz w:val="21"/>
                <w:szCs w:val="21"/>
              </w:rPr>
              <w:t>排放量（固体废物产生量）</w:t>
            </w:r>
            <w:r>
              <w:rPr>
                <w:snapToGrid w:val="0"/>
                <w:spacing w:val="-6"/>
                <w:kern w:val="21"/>
                <w:sz w:val="21"/>
                <w:szCs w:val="21"/>
              </w:rPr>
              <w:fldChar w:fldCharType="begin"/>
            </w:r>
            <w:r>
              <w:rPr>
                <w:snapToGrid w:val="0"/>
                <w:spacing w:val="-6"/>
                <w:kern w:val="21"/>
                <w:sz w:val="21"/>
                <w:szCs w:val="21"/>
              </w:rPr>
              <w:instrText xml:space="preserve"> = 3 \* GB3 \* MERGEFORMAT </w:instrText>
            </w:r>
            <w:r>
              <w:rPr>
                <w:snapToGrid w:val="0"/>
                <w:spacing w:val="-6"/>
                <w:kern w:val="21"/>
                <w:sz w:val="21"/>
                <w:szCs w:val="21"/>
              </w:rPr>
              <w:fldChar w:fldCharType="separate"/>
            </w:r>
            <w:r>
              <w:rPr>
                <w:sz w:val="21"/>
                <w:szCs w:val="21"/>
              </w:rPr>
              <w:t>③</w:t>
            </w:r>
            <w:r>
              <w:rPr>
                <w:snapToGrid w:val="0"/>
                <w:spacing w:val="-6"/>
                <w:kern w:val="21"/>
                <w:sz w:val="21"/>
                <w:szCs w:val="21"/>
              </w:rPr>
              <w:fldChar w:fldCharType="end"/>
            </w:r>
          </w:p>
        </w:tc>
        <w:tc>
          <w:tcPr>
            <w:tcW w:w="553" w:type="pct"/>
            <w:tcMar>
              <w:left w:w="28" w:type="dxa"/>
              <w:right w:w="28" w:type="dxa"/>
            </w:tcMar>
            <w:vAlign w:val="center"/>
          </w:tcPr>
          <w:p>
            <w:pPr>
              <w:adjustRightInd w:val="0"/>
              <w:snapToGrid w:val="0"/>
              <w:spacing w:line="240" w:lineRule="auto"/>
              <w:jc w:val="center"/>
              <w:rPr>
                <w:snapToGrid w:val="0"/>
                <w:spacing w:val="-6"/>
                <w:kern w:val="21"/>
                <w:sz w:val="21"/>
                <w:szCs w:val="21"/>
              </w:rPr>
            </w:pPr>
            <w:r>
              <w:rPr>
                <w:snapToGrid w:val="0"/>
                <w:spacing w:val="-6"/>
                <w:kern w:val="21"/>
                <w:sz w:val="21"/>
                <w:szCs w:val="21"/>
              </w:rPr>
              <w:t>本项目</w:t>
            </w:r>
          </w:p>
          <w:p>
            <w:pPr>
              <w:adjustRightInd w:val="0"/>
              <w:snapToGrid w:val="0"/>
              <w:spacing w:line="240" w:lineRule="auto"/>
              <w:jc w:val="center"/>
              <w:rPr>
                <w:snapToGrid w:val="0"/>
                <w:spacing w:val="-6"/>
                <w:kern w:val="21"/>
                <w:sz w:val="21"/>
                <w:szCs w:val="21"/>
              </w:rPr>
            </w:pPr>
            <w:r>
              <w:rPr>
                <w:snapToGrid w:val="0"/>
                <w:spacing w:val="-6"/>
                <w:kern w:val="21"/>
                <w:sz w:val="21"/>
                <w:szCs w:val="21"/>
              </w:rPr>
              <w:t>排放量（固体废物产生量）</w:t>
            </w:r>
            <w:r>
              <w:rPr>
                <w:snapToGrid w:val="0"/>
                <w:spacing w:val="-6"/>
                <w:kern w:val="21"/>
                <w:sz w:val="21"/>
                <w:szCs w:val="21"/>
              </w:rPr>
              <w:fldChar w:fldCharType="begin"/>
            </w:r>
            <w:r>
              <w:rPr>
                <w:snapToGrid w:val="0"/>
                <w:spacing w:val="-6"/>
                <w:kern w:val="21"/>
                <w:sz w:val="21"/>
                <w:szCs w:val="21"/>
              </w:rPr>
              <w:instrText xml:space="preserve"> = 4 \* GB3 \* MERGEFORMAT </w:instrText>
            </w:r>
            <w:r>
              <w:rPr>
                <w:snapToGrid w:val="0"/>
                <w:spacing w:val="-6"/>
                <w:kern w:val="21"/>
                <w:sz w:val="21"/>
                <w:szCs w:val="21"/>
              </w:rPr>
              <w:fldChar w:fldCharType="separate"/>
            </w:r>
            <w:r>
              <w:rPr>
                <w:sz w:val="21"/>
                <w:szCs w:val="21"/>
              </w:rPr>
              <w:t>④</w:t>
            </w:r>
            <w:r>
              <w:rPr>
                <w:snapToGrid w:val="0"/>
                <w:spacing w:val="-6"/>
                <w:kern w:val="21"/>
                <w:sz w:val="21"/>
                <w:szCs w:val="21"/>
              </w:rPr>
              <w:fldChar w:fldCharType="end"/>
            </w:r>
          </w:p>
        </w:tc>
        <w:tc>
          <w:tcPr>
            <w:tcW w:w="627" w:type="pct"/>
            <w:tcMar>
              <w:left w:w="28" w:type="dxa"/>
              <w:right w:w="28" w:type="dxa"/>
            </w:tcMar>
            <w:vAlign w:val="center"/>
          </w:tcPr>
          <w:p>
            <w:pPr>
              <w:adjustRightInd w:val="0"/>
              <w:snapToGrid w:val="0"/>
              <w:spacing w:line="240" w:lineRule="auto"/>
              <w:jc w:val="center"/>
              <w:rPr>
                <w:snapToGrid w:val="0"/>
                <w:spacing w:val="-16"/>
                <w:kern w:val="21"/>
                <w:sz w:val="21"/>
                <w:szCs w:val="21"/>
              </w:rPr>
            </w:pPr>
            <w:r>
              <w:rPr>
                <w:snapToGrid w:val="0"/>
                <w:spacing w:val="-16"/>
                <w:kern w:val="21"/>
                <w:sz w:val="21"/>
                <w:szCs w:val="21"/>
              </w:rPr>
              <w:t>以新带老削减量</w:t>
            </w:r>
          </w:p>
          <w:p>
            <w:pPr>
              <w:adjustRightInd w:val="0"/>
              <w:snapToGrid w:val="0"/>
              <w:spacing w:line="240" w:lineRule="auto"/>
              <w:jc w:val="center"/>
              <w:rPr>
                <w:snapToGrid w:val="0"/>
                <w:spacing w:val="-16"/>
                <w:kern w:val="21"/>
                <w:sz w:val="21"/>
                <w:szCs w:val="21"/>
              </w:rPr>
            </w:pPr>
            <w:r>
              <w:rPr>
                <w:snapToGrid w:val="0"/>
                <w:spacing w:val="-16"/>
                <w:kern w:val="21"/>
                <w:sz w:val="21"/>
                <w:szCs w:val="21"/>
              </w:rPr>
              <w:t>（新建项目不填）</w:t>
            </w:r>
            <w:r>
              <w:rPr>
                <w:snapToGrid w:val="0"/>
                <w:spacing w:val="-16"/>
                <w:kern w:val="21"/>
                <w:sz w:val="21"/>
                <w:szCs w:val="21"/>
              </w:rPr>
              <w:fldChar w:fldCharType="begin"/>
            </w:r>
            <w:r>
              <w:rPr>
                <w:snapToGrid w:val="0"/>
                <w:spacing w:val="-16"/>
                <w:kern w:val="21"/>
                <w:sz w:val="21"/>
                <w:szCs w:val="21"/>
              </w:rPr>
              <w:instrText xml:space="preserve"> = 5 \* GB3 \* MERGEFORMAT </w:instrText>
            </w:r>
            <w:r>
              <w:rPr>
                <w:snapToGrid w:val="0"/>
                <w:spacing w:val="-16"/>
                <w:kern w:val="21"/>
                <w:sz w:val="21"/>
                <w:szCs w:val="21"/>
              </w:rPr>
              <w:fldChar w:fldCharType="separate"/>
            </w:r>
            <w:r>
              <w:rPr>
                <w:sz w:val="21"/>
                <w:szCs w:val="21"/>
              </w:rPr>
              <w:t>⑤</w:t>
            </w:r>
            <w:r>
              <w:rPr>
                <w:snapToGrid w:val="0"/>
                <w:spacing w:val="-16"/>
                <w:kern w:val="21"/>
                <w:sz w:val="21"/>
                <w:szCs w:val="21"/>
              </w:rPr>
              <w:fldChar w:fldCharType="end"/>
            </w:r>
          </w:p>
        </w:tc>
        <w:tc>
          <w:tcPr>
            <w:tcW w:w="698" w:type="pct"/>
            <w:tcMar>
              <w:left w:w="28" w:type="dxa"/>
              <w:right w:w="28" w:type="dxa"/>
            </w:tcMar>
            <w:vAlign w:val="center"/>
          </w:tcPr>
          <w:p>
            <w:pPr>
              <w:adjustRightInd w:val="0"/>
              <w:snapToGrid w:val="0"/>
              <w:spacing w:line="240" w:lineRule="auto"/>
              <w:jc w:val="center"/>
              <w:rPr>
                <w:snapToGrid w:val="0"/>
                <w:spacing w:val="-16"/>
                <w:kern w:val="21"/>
                <w:sz w:val="21"/>
                <w:szCs w:val="21"/>
              </w:rPr>
            </w:pPr>
            <w:r>
              <w:rPr>
                <w:snapToGrid w:val="0"/>
                <w:spacing w:val="-16"/>
                <w:kern w:val="21"/>
                <w:sz w:val="21"/>
                <w:szCs w:val="21"/>
              </w:rPr>
              <w:t>本项目建成后</w:t>
            </w:r>
          </w:p>
          <w:p>
            <w:pPr>
              <w:adjustRightInd w:val="0"/>
              <w:snapToGrid w:val="0"/>
              <w:spacing w:line="240" w:lineRule="auto"/>
              <w:jc w:val="center"/>
              <w:rPr>
                <w:snapToGrid w:val="0"/>
                <w:spacing w:val="-16"/>
                <w:kern w:val="21"/>
                <w:sz w:val="21"/>
                <w:szCs w:val="21"/>
              </w:rPr>
            </w:pPr>
            <w:r>
              <w:rPr>
                <w:snapToGrid w:val="0"/>
                <w:spacing w:val="-16"/>
                <w:kern w:val="21"/>
                <w:sz w:val="21"/>
                <w:szCs w:val="21"/>
              </w:rPr>
              <w:t>全厂排放量（固体废物产生量）</w:t>
            </w:r>
            <w:r>
              <w:rPr>
                <w:snapToGrid w:val="0"/>
                <w:spacing w:val="-16"/>
                <w:kern w:val="21"/>
                <w:sz w:val="21"/>
                <w:szCs w:val="21"/>
              </w:rPr>
              <w:fldChar w:fldCharType="begin"/>
            </w:r>
            <w:r>
              <w:rPr>
                <w:snapToGrid w:val="0"/>
                <w:spacing w:val="-16"/>
                <w:kern w:val="21"/>
                <w:sz w:val="21"/>
                <w:szCs w:val="21"/>
              </w:rPr>
              <w:instrText xml:space="preserve"> = 6 \* GB3 \* MERGEFORMAT </w:instrText>
            </w:r>
            <w:r>
              <w:rPr>
                <w:snapToGrid w:val="0"/>
                <w:spacing w:val="-16"/>
                <w:kern w:val="21"/>
                <w:sz w:val="21"/>
                <w:szCs w:val="21"/>
              </w:rPr>
              <w:fldChar w:fldCharType="separate"/>
            </w:r>
            <w:r>
              <w:rPr>
                <w:sz w:val="21"/>
                <w:szCs w:val="21"/>
              </w:rPr>
              <w:t>⑥</w:t>
            </w:r>
            <w:r>
              <w:rPr>
                <w:snapToGrid w:val="0"/>
                <w:spacing w:val="-16"/>
                <w:kern w:val="21"/>
                <w:sz w:val="21"/>
                <w:szCs w:val="21"/>
              </w:rPr>
              <w:fldChar w:fldCharType="end"/>
            </w:r>
          </w:p>
        </w:tc>
        <w:tc>
          <w:tcPr>
            <w:tcW w:w="395" w:type="pct"/>
            <w:tcMar>
              <w:left w:w="28" w:type="dxa"/>
              <w:right w:w="28" w:type="dxa"/>
            </w:tcMar>
            <w:vAlign w:val="center"/>
          </w:tcPr>
          <w:p>
            <w:pPr>
              <w:adjustRightInd w:val="0"/>
              <w:snapToGrid w:val="0"/>
              <w:spacing w:line="240" w:lineRule="auto"/>
              <w:jc w:val="center"/>
              <w:rPr>
                <w:snapToGrid w:val="0"/>
                <w:spacing w:val="-6"/>
                <w:kern w:val="21"/>
                <w:sz w:val="21"/>
                <w:szCs w:val="21"/>
              </w:rPr>
            </w:pPr>
            <w:r>
              <w:rPr>
                <w:snapToGrid w:val="0"/>
                <w:spacing w:val="-6"/>
                <w:kern w:val="21"/>
                <w:sz w:val="21"/>
                <w:szCs w:val="21"/>
              </w:rPr>
              <w:t>变化量</w:t>
            </w:r>
          </w:p>
          <w:p>
            <w:pPr>
              <w:adjustRightInd w:val="0"/>
              <w:snapToGrid w:val="0"/>
              <w:spacing w:line="240" w:lineRule="auto"/>
              <w:jc w:val="center"/>
              <w:rPr>
                <w:snapToGrid w:val="0"/>
                <w:spacing w:val="-6"/>
                <w:kern w:val="21"/>
                <w:sz w:val="21"/>
                <w:szCs w:val="21"/>
              </w:rPr>
            </w:pPr>
            <w:r>
              <w:rPr>
                <w:snapToGrid w:val="0"/>
                <w:spacing w:val="-6"/>
                <w:kern w:val="21"/>
                <w:sz w:val="21"/>
                <w:szCs w:val="21"/>
              </w:rPr>
              <w:fldChar w:fldCharType="begin"/>
            </w:r>
            <w:r>
              <w:rPr>
                <w:snapToGrid w:val="0"/>
                <w:spacing w:val="-6"/>
                <w:kern w:val="21"/>
                <w:sz w:val="21"/>
                <w:szCs w:val="21"/>
              </w:rPr>
              <w:instrText xml:space="preserve"> = 7 \* GB3 \* MERGEFORMAT </w:instrText>
            </w:r>
            <w:r>
              <w:rPr>
                <w:snapToGrid w:val="0"/>
                <w:spacing w:val="-6"/>
                <w:kern w:val="21"/>
                <w:sz w:val="21"/>
                <w:szCs w:val="21"/>
              </w:rPr>
              <w:fldChar w:fldCharType="separate"/>
            </w:r>
            <w:r>
              <w:rPr>
                <w:sz w:val="21"/>
                <w:szCs w:val="21"/>
              </w:rPr>
              <w:t>⑦</w:t>
            </w:r>
            <w:r>
              <w:rPr>
                <w:snapToGrid w:val="0"/>
                <w:spacing w:val="-6"/>
                <w:kern w:val="21"/>
                <w:sz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2" w:type="pct"/>
            <w:vMerge w:val="restart"/>
            <w:vAlign w:val="center"/>
          </w:tcPr>
          <w:p>
            <w:pPr>
              <w:adjustRightInd w:val="0"/>
              <w:snapToGrid w:val="0"/>
              <w:spacing w:line="240" w:lineRule="auto"/>
              <w:jc w:val="center"/>
              <w:rPr>
                <w:snapToGrid w:val="0"/>
                <w:kern w:val="21"/>
                <w:sz w:val="21"/>
                <w:szCs w:val="21"/>
              </w:rPr>
            </w:pPr>
            <w:r>
              <w:rPr>
                <w:snapToGrid w:val="0"/>
                <w:kern w:val="21"/>
                <w:sz w:val="21"/>
                <w:szCs w:val="21"/>
              </w:rPr>
              <w:t>废气</w:t>
            </w:r>
          </w:p>
        </w:tc>
        <w:tc>
          <w:tcPr>
            <w:tcW w:w="501" w:type="pct"/>
            <w:vAlign w:val="center"/>
          </w:tcPr>
          <w:p>
            <w:pPr>
              <w:adjustRightInd w:val="0"/>
              <w:snapToGrid w:val="0"/>
              <w:spacing w:line="240" w:lineRule="auto"/>
              <w:jc w:val="center"/>
              <w:rPr>
                <w:snapToGrid w:val="0"/>
                <w:kern w:val="21"/>
                <w:sz w:val="21"/>
                <w:szCs w:val="21"/>
                <w:u w:val="single"/>
              </w:rPr>
            </w:pPr>
            <w:r>
              <w:rPr>
                <w:snapToGrid w:val="0"/>
                <w:kern w:val="21"/>
                <w:sz w:val="21"/>
                <w:szCs w:val="21"/>
                <w:u w:val="single"/>
              </w:rPr>
              <w:t>颗粒物</w:t>
            </w:r>
          </w:p>
        </w:tc>
        <w:tc>
          <w:tcPr>
            <w:tcW w:w="605" w:type="pct"/>
            <w:vAlign w:val="center"/>
          </w:tcPr>
          <w:p>
            <w:pPr>
              <w:adjustRightInd w:val="0"/>
              <w:snapToGrid w:val="0"/>
              <w:spacing w:line="240" w:lineRule="auto"/>
              <w:jc w:val="center"/>
              <w:rPr>
                <w:snapToGrid w:val="0"/>
                <w:kern w:val="21"/>
                <w:sz w:val="21"/>
                <w:szCs w:val="21"/>
                <w:u w:val="single"/>
              </w:rPr>
            </w:pPr>
            <w:r>
              <w:rPr>
                <w:snapToGrid w:val="0"/>
                <w:kern w:val="21"/>
                <w:sz w:val="21"/>
                <w:szCs w:val="21"/>
                <w:u w:val="single"/>
              </w:rPr>
              <w:t>0</w:t>
            </w:r>
          </w:p>
        </w:tc>
        <w:tc>
          <w:tcPr>
            <w:tcW w:w="450" w:type="pct"/>
            <w:vAlign w:val="center"/>
          </w:tcPr>
          <w:p>
            <w:pPr>
              <w:jc w:val="center"/>
              <w:rPr>
                <w:snapToGrid w:val="0"/>
                <w:kern w:val="21"/>
                <w:sz w:val="21"/>
                <w:szCs w:val="21"/>
                <w:u w:val="single"/>
              </w:rPr>
            </w:pPr>
            <w:r>
              <w:rPr>
                <w:snapToGrid w:val="0"/>
                <w:kern w:val="21"/>
                <w:sz w:val="21"/>
                <w:szCs w:val="21"/>
                <w:u w:val="single"/>
              </w:rPr>
              <w:t>0</w:t>
            </w:r>
          </w:p>
        </w:tc>
        <w:tc>
          <w:tcPr>
            <w:tcW w:w="605" w:type="pct"/>
            <w:vAlign w:val="center"/>
          </w:tcPr>
          <w:p>
            <w:pPr>
              <w:jc w:val="center"/>
              <w:rPr>
                <w:snapToGrid w:val="0"/>
                <w:kern w:val="21"/>
                <w:sz w:val="21"/>
                <w:szCs w:val="21"/>
                <w:u w:val="single"/>
              </w:rPr>
            </w:pPr>
            <w:r>
              <w:rPr>
                <w:snapToGrid w:val="0"/>
                <w:kern w:val="21"/>
                <w:sz w:val="21"/>
                <w:szCs w:val="21"/>
                <w:u w:val="single"/>
              </w:rPr>
              <w:t>0</w:t>
            </w:r>
          </w:p>
        </w:tc>
        <w:tc>
          <w:tcPr>
            <w:tcW w:w="553" w:type="pct"/>
            <w:shd w:val="clear" w:color="auto" w:fill="auto"/>
            <w:vAlign w:val="center"/>
          </w:tcPr>
          <w:p>
            <w:pPr>
              <w:widowControl/>
              <w:adjustRightInd w:val="0"/>
              <w:snapToGrid w:val="0"/>
              <w:spacing w:line="240" w:lineRule="auto"/>
              <w:jc w:val="center"/>
              <w:rPr>
                <w:kern w:val="0"/>
                <w:sz w:val="20"/>
                <w:u w:val="single"/>
              </w:rPr>
            </w:pPr>
            <w:r>
              <w:rPr>
                <w:rFonts w:hint="eastAsia"/>
                <w:kern w:val="0"/>
                <w:sz w:val="20"/>
                <w:u w:val="single"/>
                <w:lang w:val="en-US" w:eastAsia="zh-CN"/>
              </w:rPr>
              <w:t>0.734</w:t>
            </w:r>
            <w:r>
              <w:rPr>
                <w:kern w:val="0"/>
                <w:sz w:val="20"/>
                <w:u w:val="single"/>
              </w:rPr>
              <w:t>t/a</w:t>
            </w:r>
          </w:p>
        </w:tc>
        <w:tc>
          <w:tcPr>
            <w:tcW w:w="627" w:type="pct"/>
            <w:vAlign w:val="center"/>
          </w:tcPr>
          <w:p>
            <w:pPr>
              <w:adjustRightInd w:val="0"/>
              <w:snapToGrid w:val="0"/>
              <w:spacing w:line="240" w:lineRule="auto"/>
              <w:jc w:val="center"/>
              <w:rPr>
                <w:snapToGrid w:val="0"/>
                <w:kern w:val="21"/>
                <w:sz w:val="21"/>
                <w:szCs w:val="21"/>
                <w:u w:val="single"/>
              </w:rPr>
            </w:pPr>
            <w:r>
              <w:rPr>
                <w:snapToGrid w:val="0"/>
                <w:kern w:val="21"/>
                <w:sz w:val="21"/>
                <w:szCs w:val="21"/>
                <w:u w:val="single"/>
              </w:rPr>
              <w:t>0</w:t>
            </w:r>
          </w:p>
        </w:tc>
        <w:tc>
          <w:tcPr>
            <w:tcW w:w="698" w:type="pct"/>
            <w:vAlign w:val="center"/>
          </w:tcPr>
          <w:p>
            <w:pPr>
              <w:widowControl/>
              <w:adjustRightInd w:val="0"/>
              <w:snapToGrid w:val="0"/>
              <w:spacing w:line="240" w:lineRule="auto"/>
              <w:jc w:val="center"/>
              <w:rPr>
                <w:kern w:val="0"/>
                <w:sz w:val="20"/>
                <w:u w:val="single"/>
              </w:rPr>
            </w:pPr>
            <w:r>
              <w:rPr>
                <w:rFonts w:hint="eastAsia"/>
                <w:kern w:val="0"/>
                <w:sz w:val="20"/>
                <w:u w:val="single"/>
                <w:lang w:val="en-US" w:eastAsia="zh-CN"/>
              </w:rPr>
              <w:t>0.734</w:t>
            </w:r>
            <w:r>
              <w:rPr>
                <w:kern w:val="0"/>
                <w:sz w:val="20"/>
                <w:u w:val="single"/>
              </w:rPr>
              <w:t>t/a</w:t>
            </w:r>
          </w:p>
        </w:tc>
        <w:tc>
          <w:tcPr>
            <w:tcW w:w="395" w:type="pct"/>
            <w:vAlign w:val="center"/>
          </w:tcPr>
          <w:p>
            <w:pPr>
              <w:widowControl/>
              <w:adjustRightInd w:val="0"/>
              <w:snapToGrid w:val="0"/>
              <w:spacing w:line="240" w:lineRule="auto"/>
              <w:jc w:val="center"/>
              <w:rPr>
                <w:rFonts w:hint="default"/>
                <w:kern w:val="0"/>
                <w:sz w:val="20"/>
                <w:u w:val="single"/>
                <w:lang w:val="en-US"/>
              </w:rPr>
            </w:pPr>
            <w:r>
              <w:rPr>
                <w:rFonts w:hint="eastAsia"/>
                <w:kern w:val="0"/>
                <w:sz w:val="20"/>
                <w:u w:val="single"/>
                <w:lang w:val="en-US" w:eastAsia="zh-CN"/>
              </w:rPr>
              <w:t>0.734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562" w:type="pct"/>
            <w:vMerge w:val="continue"/>
            <w:vAlign w:val="center"/>
          </w:tcPr>
          <w:p>
            <w:pPr>
              <w:adjustRightInd w:val="0"/>
              <w:snapToGrid w:val="0"/>
              <w:spacing w:line="240" w:lineRule="auto"/>
              <w:jc w:val="center"/>
              <w:rPr>
                <w:snapToGrid w:val="0"/>
                <w:kern w:val="21"/>
                <w:sz w:val="21"/>
                <w:szCs w:val="21"/>
              </w:rPr>
            </w:pPr>
          </w:p>
        </w:tc>
        <w:tc>
          <w:tcPr>
            <w:tcW w:w="501" w:type="pct"/>
            <w:vAlign w:val="center"/>
          </w:tcPr>
          <w:p>
            <w:pPr>
              <w:adjustRightInd w:val="0"/>
              <w:snapToGrid w:val="0"/>
              <w:spacing w:line="240" w:lineRule="auto"/>
              <w:jc w:val="center"/>
              <w:rPr>
                <w:snapToGrid w:val="0"/>
                <w:kern w:val="21"/>
                <w:sz w:val="21"/>
                <w:szCs w:val="21"/>
              </w:rPr>
            </w:pPr>
            <w:r>
              <w:rPr>
                <w:rFonts w:hint="eastAsia"/>
                <w:snapToGrid w:val="0"/>
                <w:kern w:val="21"/>
                <w:sz w:val="21"/>
                <w:szCs w:val="21"/>
              </w:rPr>
              <w:t>食堂油烟</w:t>
            </w:r>
          </w:p>
        </w:tc>
        <w:tc>
          <w:tcPr>
            <w:tcW w:w="605" w:type="pct"/>
            <w:vAlign w:val="center"/>
          </w:tcPr>
          <w:p>
            <w:pPr>
              <w:adjustRightInd w:val="0"/>
              <w:snapToGrid w:val="0"/>
              <w:spacing w:line="240" w:lineRule="auto"/>
              <w:jc w:val="center"/>
              <w:rPr>
                <w:snapToGrid w:val="0"/>
                <w:kern w:val="21"/>
                <w:sz w:val="21"/>
                <w:szCs w:val="21"/>
              </w:rPr>
            </w:pPr>
            <w:r>
              <w:rPr>
                <w:snapToGrid w:val="0"/>
                <w:kern w:val="21"/>
                <w:sz w:val="21"/>
                <w:szCs w:val="21"/>
              </w:rPr>
              <w:t>0</w:t>
            </w:r>
          </w:p>
        </w:tc>
        <w:tc>
          <w:tcPr>
            <w:tcW w:w="450" w:type="pct"/>
            <w:vAlign w:val="center"/>
          </w:tcPr>
          <w:p>
            <w:pPr>
              <w:jc w:val="center"/>
              <w:rPr>
                <w:snapToGrid w:val="0"/>
                <w:kern w:val="21"/>
                <w:sz w:val="21"/>
                <w:szCs w:val="21"/>
              </w:rPr>
            </w:pPr>
            <w:r>
              <w:rPr>
                <w:snapToGrid w:val="0"/>
                <w:kern w:val="21"/>
                <w:sz w:val="21"/>
                <w:szCs w:val="21"/>
              </w:rPr>
              <w:t>0</w:t>
            </w:r>
          </w:p>
        </w:tc>
        <w:tc>
          <w:tcPr>
            <w:tcW w:w="605" w:type="pct"/>
            <w:vAlign w:val="center"/>
          </w:tcPr>
          <w:p>
            <w:pPr>
              <w:jc w:val="center"/>
              <w:rPr>
                <w:snapToGrid w:val="0"/>
                <w:kern w:val="21"/>
                <w:sz w:val="21"/>
                <w:szCs w:val="21"/>
              </w:rPr>
            </w:pPr>
            <w:r>
              <w:rPr>
                <w:snapToGrid w:val="0"/>
                <w:kern w:val="21"/>
                <w:sz w:val="21"/>
                <w:szCs w:val="21"/>
              </w:rPr>
              <w:t>0</w:t>
            </w:r>
          </w:p>
        </w:tc>
        <w:tc>
          <w:tcPr>
            <w:tcW w:w="553" w:type="pct"/>
            <w:shd w:val="clear" w:color="auto" w:fill="auto"/>
            <w:vAlign w:val="center"/>
          </w:tcPr>
          <w:p>
            <w:pPr>
              <w:widowControl/>
              <w:adjustRightInd w:val="0"/>
              <w:snapToGrid w:val="0"/>
              <w:spacing w:line="240" w:lineRule="auto"/>
              <w:jc w:val="center"/>
              <w:rPr>
                <w:kern w:val="0"/>
                <w:sz w:val="20"/>
              </w:rPr>
            </w:pPr>
            <w:r>
              <w:rPr>
                <w:rFonts w:hint="eastAsia"/>
                <w:kern w:val="0"/>
                <w:sz w:val="20"/>
              </w:rPr>
              <w:t>0.382Kg/a</w:t>
            </w:r>
          </w:p>
        </w:tc>
        <w:tc>
          <w:tcPr>
            <w:tcW w:w="627" w:type="pct"/>
            <w:vAlign w:val="center"/>
          </w:tcPr>
          <w:p>
            <w:pPr>
              <w:adjustRightInd w:val="0"/>
              <w:snapToGrid w:val="0"/>
              <w:spacing w:line="240" w:lineRule="auto"/>
              <w:jc w:val="center"/>
              <w:rPr>
                <w:snapToGrid w:val="0"/>
                <w:kern w:val="21"/>
                <w:sz w:val="21"/>
                <w:szCs w:val="21"/>
              </w:rPr>
            </w:pPr>
            <w:r>
              <w:rPr>
                <w:rFonts w:hint="eastAsia"/>
                <w:snapToGrid w:val="0"/>
                <w:kern w:val="21"/>
                <w:sz w:val="21"/>
                <w:szCs w:val="21"/>
              </w:rPr>
              <w:t>0</w:t>
            </w:r>
          </w:p>
        </w:tc>
        <w:tc>
          <w:tcPr>
            <w:tcW w:w="698" w:type="pct"/>
            <w:vAlign w:val="center"/>
          </w:tcPr>
          <w:p>
            <w:pPr>
              <w:widowControl/>
              <w:adjustRightInd w:val="0"/>
              <w:snapToGrid w:val="0"/>
              <w:spacing w:line="240" w:lineRule="auto"/>
              <w:jc w:val="center"/>
              <w:rPr>
                <w:kern w:val="0"/>
                <w:sz w:val="20"/>
              </w:rPr>
            </w:pPr>
            <w:r>
              <w:rPr>
                <w:rFonts w:hint="eastAsia"/>
                <w:kern w:val="0"/>
                <w:sz w:val="20"/>
              </w:rPr>
              <w:t>0.382Kg/a</w:t>
            </w:r>
          </w:p>
        </w:tc>
        <w:tc>
          <w:tcPr>
            <w:tcW w:w="395" w:type="pct"/>
            <w:vAlign w:val="center"/>
          </w:tcPr>
          <w:p>
            <w:pPr>
              <w:widowControl/>
              <w:adjustRightInd w:val="0"/>
              <w:snapToGrid w:val="0"/>
              <w:spacing w:line="240" w:lineRule="auto"/>
              <w:jc w:val="center"/>
              <w:rPr>
                <w:kern w:val="0"/>
                <w:sz w:val="20"/>
              </w:rPr>
            </w:pPr>
            <w:r>
              <w:rPr>
                <w:rFonts w:hint="eastAsia"/>
                <w:kern w:val="0"/>
                <w:sz w:val="20"/>
              </w:rPr>
              <w:t>0.382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562" w:type="pct"/>
            <w:vMerge w:val="restart"/>
            <w:vAlign w:val="center"/>
          </w:tcPr>
          <w:p>
            <w:pPr>
              <w:adjustRightInd w:val="0"/>
              <w:snapToGrid w:val="0"/>
              <w:spacing w:line="240" w:lineRule="auto"/>
              <w:jc w:val="center"/>
              <w:rPr>
                <w:snapToGrid w:val="0"/>
                <w:kern w:val="21"/>
                <w:sz w:val="21"/>
                <w:szCs w:val="21"/>
              </w:rPr>
            </w:pPr>
            <w:r>
              <w:rPr>
                <w:snapToGrid w:val="0"/>
                <w:kern w:val="21"/>
                <w:sz w:val="21"/>
                <w:szCs w:val="21"/>
              </w:rPr>
              <w:t>废水</w:t>
            </w:r>
          </w:p>
        </w:tc>
        <w:tc>
          <w:tcPr>
            <w:tcW w:w="501" w:type="pct"/>
            <w:vAlign w:val="center"/>
          </w:tcPr>
          <w:p>
            <w:pPr>
              <w:adjustRightInd w:val="0"/>
              <w:snapToGrid w:val="0"/>
              <w:spacing w:line="240" w:lineRule="auto"/>
              <w:jc w:val="center"/>
              <w:rPr>
                <w:snapToGrid w:val="0"/>
                <w:kern w:val="21"/>
                <w:sz w:val="21"/>
                <w:szCs w:val="21"/>
              </w:rPr>
            </w:pPr>
            <w:r>
              <w:rPr>
                <w:sz w:val="21"/>
                <w:szCs w:val="21"/>
              </w:rPr>
              <w:t>COD</w:t>
            </w:r>
          </w:p>
        </w:tc>
        <w:tc>
          <w:tcPr>
            <w:tcW w:w="605" w:type="pct"/>
            <w:vAlign w:val="center"/>
          </w:tcPr>
          <w:p>
            <w:pPr>
              <w:jc w:val="center"/>
            </w:pPr>
            <w:r>
              <w:rPr>
                <w:snapToGrid w:val="0"/>
                <w:kern w:val="21"/>
                <w:sz w:val="21"/>
                <w:szCs w:val="21"/>
              </w:rPr>
              <w:t>0</w:t>
            </w:r>
          </w:p>
        </w:tc>
        <w:tc>
          <w:tcPr>
            <w:tcW w:w="450" w:type="pct"/>
            <w:vAlign w:val="center"/>
          </w:tcPr>
          <w:p>
            <w:pPr>
              <w:jc w:val="center"/>
            </w:pPr>
            <w:r>
              <w:rPr>
                <w:snapToGrid w:val="0"/>
                <w:kern w:val="21"/>
                <w:sz w:val="21"/>
                <w:szCs w:val="21"/>
              </w:rPr>
              <w:t>0</w:t>
            </w:r>
          </w:p>
        </w:tc>
        <w:tc>
          <w:tcPr>
            <w:tcW w:w="605" w:type="pct"/>
            <w:vAlign w:val="center"/>
          </w:tcPr>
          <w:p>
            <w:pPr>
              <w:jc w:val="center"/>
            </w:pPr>
            <w:r>
              <w:rPr>
                <w:snapToGrid w:val="0"/>
                <w:kern w:val="21"/>
                <w:sz w:val="21"/>
                <w:szCs w:val="21"/>
              </w:rPr>
              <w:t>0</w:t>
            </w:r>
          </w:p>
        </w:tc>
        <w:tc>
          <w:tcPr>
            <w:tcW w:w="553" w:type="pct"/>
          </w:tcPr>
          <w:p>
            <w:pPr>
              <w:adjustRightInd w:val="0"/>
              <w:snapToGrid w:val="0"/>
              <w:spacing w:line="240" w:lineRule="auto"/>
              <w:jc w:val="center"/>
              <w:rPr>
                <w:snapToGrid w:val="0"/>
                <w:kern w:val="21"/>
                <w:sz w:val="21"/>
                <w:szCs w:val="21"/>
              </w:rPr>
            </w:pPr>
            <w:r>
              <w:rPr>
                <w:snapToGrid w:val="0"/>
                <w:kern w:val="21"/>
                <w:sz w:val="21"/>
                <w:szCs w:val="21"/>
              </w:rPr>
              <w:t>0</w:t>
            </w:r>
          </w:p>
        </w:tc>
        <w:tc>
          <w:tcPr>
            <w:tcW w:w="627" w:type="pct"/>
            <w:vAlign w:val="center"/>
          </w:tcPr>
          <w:p>
            <w:pPr>
              <w:adjustRightInd w:val="0"/>
              <w:snapToGrid w:val="0"/>
              <w:spacing w:line="240" w:lineRule="auto"/>
              <w:jc w:val="center"/>
              <w:rPr>
                <w:snapToGrid w:val="0"/>
                <w:kern w:val="21"/>
                <w:sz w:val="21"/>
                <w:szCs w:val="21"/>
              </w:rPr>
            </w:pPr>
            <w:r>
              <w:rPr>
                <w:snapToGrid w:val="0"/>
                <w:kern w:val="21"/>
                <w:sz w:val="21"/>
                <w:szCs w:val="21"/>
              </w:rPr>
              <w:t>0</w:t>
            </w:r>
          </w:p>
        </w:tc>
        <w:tc>
          <w:tcPr>
            <w:tcW w:w="698" w:type="pct"/>
          </w:tcPr>
          <w:p>
            <w:pPr>
              <w:adjustRightInd w:val="0"/>
              <w:snapToGrid w:val="0"/>
              <w:spacing w:line="240" w:lineRule="auto"/>
              <w:jc w:val="center"/>
              <w:rPr>
                <w:snapToGrid w:val="0"/>
                <w:kern w:val="21"/>
                <w:sz w:val="21"/>
                <w:szCs w:val="21"/>
              </w:rPr>
            </w:pPr>
            <w:r>
              <w:rPr>
                <w:snapToGrid w:val="0"/>
                <w:kern w:val="21"/>
                <w:sz w:val="21"/>
                <w:szCs w:val="21"/>
              </w:rPr>
              <w:t>0</w:t>
            </w:r>
          </w:p>
        </w:tc>
        <w:tc>
          <w:tcPr>
            <w:tcW w:w="395" w:type="pct"/>
          </w:tcPr>
          <w:p>
            <w:pPr>
              <w:adjustRightInd w:val="0"/>
              <w:snapToGrid w:val="0"/>
              <w:spacing w:line="240" w:lineRule="auto"/>
              <w:jc w:val="center"/>
              <w:rPr>
                <w:snapToGrid w:val="0"/>
                <w:kern w:val="21"/>
                <w:sz w:val="21"/>
                <w:szCs w:val="21"/>
              </w:rPr>
            </w:pPr>
            <w:r>
              <w:rPr>
                <w:snapToGrid w:val="0"/>
                <w:kern w:val="21"/>
                <w:sz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562" w:type="pct"/>
            <w:vMerge w:val="continue"/>
            <w:vAlign w:val="center"/>
          </w:tcPr>
          <w:p>
            <w:pPr>
              <w:adjustRightInd w:val="0"/>
              <w:snapToGrid w:val="0"/>
              <w:spacing w:line="240" w:lineRule="auto"/>
              <w:jc w:val="center"/>
              <w:rPr>
                <w:snapToGrid w:val="0"/>
                <w:kern w:val="21"/>
                <w:sz w:val="21"/>
                <w:szCs w:val="21"/>
              </w:rPr>
            </w:pPr>
          </w:p>
        </w:tc>
        <w:tc>
          <w:tcPr>
            <w:tcW w:w="501" w:type="pct"/>
            <w:vAlign w:val="center"/>
          </w:tcPr>
          <w:p>
            <w:pPr>
              <w:adjustRightInd w:val="0"/>
              <w:snapToGrid w:val="0"/>
              <w:spacing w:line="240" w:lineRule="auto"/>
              <w:jc w:val="center"/>
              <w:rPr>
                <w:snapToGrid w:val="0"/>
                <w:kern w:val="21"/>
                <w:sz w:val="21"/>
                <w:szCs w:val="21"/>
              </w:rPr>
            </w:pPr>
            <w:r>
              <w:rPr>
                <w:sz w:val="21"/>
                <w:szCs w:val="21"/>
              </w:rPr>
              <w:t>BOD</w:t>
            </w:r>
            <w:r>
              <w:rPr>
                <w:sz w:val="21"/>
                <w:szCs w:val="21"/>
                <w:vertAlign w:val="subscript"/>
              </w:rPr>
              <w:t>5</w:t>
            </w:r>
          </w:p>
        </w:tc>
        <w:tc>
          <w:tcPr>
            <w:tcW w:w="605" w:type="pct"/>
            <w:vAlign w:val="center"/>
          </w:tcPr>
          <w:p>
            <w:pPr>
              <w:jc w:val="center"/>
              <w:rPr>
                <w:snapToGrid w:val="0"/>
                <w:kern w:val="21"/>
                <w:sz w:val="21"/>
                <w:szCs w:val="21"/>
              </w:rPr>
            </w:pPr>
            <w:r>
              <w:rPr>
                <w:snapToGrid w:val="0"/>
                <w:kern w:val="21"/>
                <w:sz w:val="21"/>
                <w:szCs w:val="21"/>
              </w:rPr>
              <w:t>0</w:t>
            </w:r>
          </w:p>
        </w:tc>
        <w:tc>
          <w:tcPr>
            <w:tcW w:w="450" w:type="pct"/>
            <w:vAlign w:val="center"/>
          </w:tcPr>
          <w:p>
            <w:pPr>
              <w:jc w:val="center"/>
              <w:rPr>
                <w:snapToGrid w:val="0"/>
                <w:kern w:val="21"/>
                <w:sz w:val="21"/>
                <w:szCs w:val="21"/>
              </w:rPr>
            </w:pPr>
            <w:r>
              <w:rPr>
                <w:snapToGrid w:val="0"/>
                <w:kern w:val="21"/>
                <w:sz w:val="21"/>
                <w:szCs w:val="21"/>
              </w:rPr>
              <w:t>0</w:t>
            </w:r>
          </w:p>
        </w:tc>
        <w:tc>
          <w:tcPr>
            <w:tcW w:w="605" w:type="pct"/>
            <w:vAlign w:val="center"/>
          </w:tcPr>
          <w:p>
            <w:pPr>
              <w:jc w:val="center"/>
              <w:rPr>
                <w:snapToGrid w:val="0"/>
                <w:kern w:val="21"/>
                <w:sz w:val="21"/>
                <w:szCs w:val="21"/>
              </w:rPr>
            </w:pPr>
            <w:r>
              <w:rPr>
                <w:snapToGrid w:val="0"/>
                <w:kern w:val="21"/>
                <w:sz w:val="21"/>
                <w:szCs w:val="21"/>
              </w:rPr>
              <w:t>0</w:t>
            </w:r>
          </w:p>
        </w:tc>
        <w:tc>
          <w:tcPr>
            <w:tcW w:w="553" w:type="pct"/>
          </w:tcPr>
          <w:p>
            <w:pPr>
              <w:adjustRightInd w:val="0"/>
              <w:snapToGrid w:val="0"/>
              <w:spacing w:line="240" w:lineRule="auto"/>
              <w:jc w:val="center"/>
              <w:rPr>
                <w:snapToGrid w:val="0"/>
                <w:kern w:val="21"/>
                <w:sz w:val="21"/>
                <w:szCs w:val="21"/>
              </w:rPr>
            </w:pPr>
            <w:r>
              <w:rPr>
                <w:snapToGrid w:val="0"/>
                <w:kern w:val="21"/>
                <w:sz w:val="21"/>
                <w:szCs w:val="21"/>
              </w:rPr>
              <w:t>0</w:t>
            </w:r>
          </w:p>
        </w:tc>
        <w:tc>
          <w:tcPr>
            <w:tcW w:w="627" w:type="pct"/>
            <w:vAlign w:val="center"/>
          </w:tcPr>
          <w:p>
            <w:pPr>
              <w:adjustRightInd w:val="0"/>
              <w:snapToGrid w:val="0"/>
              <w:spacing w:line="240" w:lineRule="auto"/>
              <w:jc w:val="center"/>
              <w:rPr>
                <w:snapToGrid w:val="0"/>
                <w:kern w:val="21"/>
                <w:sz w:val="21"/>
                <w:szCs w:val="21"/>
              </w:rPr>
            </w:pPr>
            <w:r>
              <w:rPr>
                <w:snapToGrid w:val="0"/>
                <w:kern w:val="21"/>
                <w:sz w:val="21"/>
                <w:szCs w:val="21"/>
              </w:rPr>
              <w:t>0</w:t>
            </w:r>
          </w:p>
        </w:tc>
        <w:tc>
          <w:tcPr>
            <w:tcW w:w="698" w:type="pct"/>
          </w:tcPr>
          <w:p>
            <w:pPr>
              <w:adjustRightInd w:val="0"/>
              <w:snapToGrid w:val="0"/>
              <w:spacing w:line="240" w:lineRule="auto"/>
              <w:jc w:val="center"/>
              <w:rPr>
                <w:snapToGrid w:val="0"/>
                <w:kern w:val="21"/>
                <w:sz w:val="21"/>
                <w:szCs w:val="21"/>
              </w:rPr>
            </w:pPr>
            <w:r>
              <w:rPr>
                <w:snapToGrid w:val="0"/>
                <w:kern w:val="21"/>
                <w:sz w:val="21"/>
                <w:szCs w:val="21"/>
              </w:rPr>
              <w:t>0</w:t>
            </w:r>
          </w:p>
        </w:tc>
        <w:tc>
          <w:tcPr>
            <w:tcW w:w="395" w:type="pct"/>
          </w:tcPr>
          <w:p>
            <w:pPr>
              <w:adjustRightInd w:val="0"/>
              <w:snapToGrid w:val="0"/>
              <w:spacing w:line="240" w:lineRule="auto"/>
              <w:jc w:val="center"/>
              <w:rPr>
                <w:snapToGrid w:val="0"/>
                <w:kern w:val="21"/>
                <w:sz w:val="21"/>
                <w:szCs w:val="21"/>
              </w:rPr>
            </w:pPr>
            <w:r>
              <w:rPr>
                <w:snapToGrid w:val="0"/>
                <w:kern w:val="21"/>
                <w:sz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2" w:type="pct"/>
            <w:vMerge w:val="continue"/>
            <w:vAlign w:val="center"/>
          </w:tcPr>
          <w:p>
            <w:pPr>
              <w:adjustRightInd w:val="0"/>
              <w:snapToGrid w:val="0"/>
              <w:spacing w:line="240" w:lineRule="auto"/>
              <w:jc w:val="center"/>
              <w:rPr>
                <w:snapToGrid w:val="0"/>
                <w:kern w:val="21"/>
                <w:sz w:val="21"/>
                <w:szCs w:val="21"/>
              </w:rPr>
            </w:pPr>
          </w:p>
        </w:tc>
        <w:tc>
          <w:tcPr>
            <w:tcW w:w="501" w:type="pct"/>
            <w:vAlign w:val="center"/>
          </w:tcPr>
          <w:p>
            <w:pPr>
              <w:adjustRightInd w:val="0"/>
              <w:snapToGrid w:val="0"/>
              <w:spacing w:line="240" w:lineRule="auto"/>
              <w:jc w:val="center"/>
              <w:rPr>
                <w:snapToGrid w:val="0"/>
                <w:kern w:val="21"/>
                <w:sz w:val="21"/>
                <w:szCs w:val="21"/>
              </w:rPr>
            </w:pPr>
            <w:r>
              <w:rPr>
                <w:sz w:val="21"/>
                <w:szCs w:val="21"/>
              </w:rPr>
              <w:t>SS</w:t>
            </w:r>
          </w:p>
        </w:tc>
        <w:tc>
          <w:tcPr>
            <w:tcW w:w="605" w:type="pct"/>
            <w:vAlign w:val="center"/>
          </w:tcPr>
          <w:p>
            <w:pPr>
              <w:jc w:val="center"/>
              <w:rPr>
                <w:snapToGrid w:val="0"/>
                <w:kern w:val="21"/>
                <w:sz w:val="21"/>
                <w:szCs w:val="21"/>
              </w:rPr>
            </w:pPr>
            <w:r>
              <w:rPr>
                <w:snapToGrid w:val="0"/>
                <w:kern w:val="21"/>
                <w:sz w:val="21"/>
                <w:szCs w:val="21"/>
              </w:rPr>
              <w:t>0</w:t>
            </w:r>
          </w:p>
        </w:tc>
        <w:tc>
          <w:tcPr>
            <w:tcW w:w="450" w:type="pct"/>
            <w:vAlign w:val="center"/>
          </w:tcPr>
          <w:p>
            <w:pPr>
              <w:jc w:val="center"/>
              <w:rPr>
                <w:snapToGrid w:val="0"/>
                <w:kern w:val="21"/>
                <w:sz w:val="21"/>
                <w:szCs w:val="21"/>
              </w:rPr>
            </w:pPr>
            <w:r>
              <w:rPr>
                <w:snapToGrid w:val="0"/>
                <w:kern w:val="21"/>
                <w:sz w:val="21"/>
                <w:szCs w:val="21"/>
              </w:rPr>
              <w:t>0</w:t>
            </w:r>
          </w:p>
        </w:tc>
        <w:tc>
          <w:tcPr>
            <w:tcW w:w="605" w:type="pct"/>
            <w:vAlign w:val="center"/>
          </w:tcPr>
          <w:p>
            <w:pPr>
              <w:jc w:val="center"/>
              <w:rPr>
                <w:snapToGrid w:val="0"/>
                <w:kern w:val="21"/>
                <w:sz w:val="21"/>
                <w:szCs w:val="21"/>
              </w:rPr>
            </w:pPr>
            <w:r>
              <w:rPr>
                <w:snapToGrid w:val="0"/>
                <w:kern w:val="21"/>
                <w:sz w:val="21"/>
                <w:szCs w:val="21"/>
              </w:rPr>
              <w:t>0</w:t>
            </w:r>
          </w:p>
        </w:tc>
        <w:tc>
          <w:tcPr>
            <w:tcW w:w="553" w:type="pct"/>
          </w:tcPr>
          <w:p>
            <w:pPr>
              <w:adjustRightInd w:val="0"/>
              <w:snapToGrid w:val="0"/>
              <w:spacing w:line="240" w:lineRule="auto"/>
              <w:jc w:val="center"/>
              <w:rPr>
                <w:snapToGrid w:val="0"/>
                <w:kern w:val="21"/>
                <w:sz w:val="21"/>
                <w:szCs w:val="21"/>
              </w:rPr>
            </w:pPr>
            <w:r>
              <w:rPr>
                <w:snapToGrid w:val="0"/>
                <w:kern w:val="21"/>
                <w:sz w:val="21"/>
                <w:szCs w:val="21"/>
              </w:rPr>
              <w:t>0</w:t>
            </w:r>
          </w:p>
        </w:tc>
        <w:tc>
          <w:tcPr>
            <w:tcW w:w="627" w:type="pct"/>
            <w:vAlign w:val="center"/>
          </w:tcPr>
          <w:p>
            <w:pPr>
              <w:adjustRightInd w:val="0"/>
              <w:snapToGrid w:val="0"/>
              <w:spacing w:line="240" w:lineRule="auto"/>
              <w:jc w:val="center"/>
              <w:rPr>
                <w:snapToGrid w:val="0"/>
                <w:kern w:val="21"/>
                <w:sz w:val="21"/>
                <w:szCs w:val="21"/>
              </w:rPr>
            </w:pPr>
            <w:r>
              <w:rPr>
                <w:snapToGrid w:val="0"/>
                <w:kern w:val="21"/>
                <w:sz w:val="21"/>
                <w:szCs w:val="21"/>
              </w:rPr>
              <w:t>0</w:t>
            </w:r>
          </w:p>
        </w:tc>
        <w:tc>
          <w:tcPr>
            <w:tcW w:w="698" w:type="pct"/>
          </w:tcPr>
          <w:p>
            <w:pPr>
              <w:adjustRightInd w:val="0"/>
              <w:snapToGrid w:val="0"/>
              <w:spacing w:line="240" w:lineRule="auto"/>
              <w:jc w:val="center"/>
              <w:rPr>
                <w:snapToGrid w:val="0"/>
                <w:kern w:val="21"/>
                <w:sz w:val="21"/>
                <w:szCs w:val="21"/>
              </w:rPr>
            </w:pPr>
            <w:r>
              <w:rPr>
                <w:snapToGrid w:val="0"/>
                <w:kern w:val="21"/>
                <w:sz w:val="21"/>
                <w:szCs w:val="21"/>
              </w:rPr>
              <w:t>0</w:t>
            </w:r>
          </w:p>
        </w:tc>
        <w:tc>
          <w:tcPr>
            <w:tcW w:w="395" w:type="pct"/>
          </w:tcPr>
          <w:p>
            <w:pPr>
              <w:adjustRightInd w:val="0"/>
              <w:snapToGrid w:val="0"/>
              <w:spacing w:line="240" w:lineRule="auto"/>
              <w:jc w:val="center"/>
              <w:rPr>
                <w:snapToGrid w:val="0"/>
                <w:kern w:val="21"/>
                <w:sz w:val="21"/>
                <w:szCs w:val="21"/>
              </w:rPr>
            </w:pPr>
            <w:r>
              <w:rPr>
                <w:snapToGrid w:val="0"/>
                <w:kern w:val="21"/>
                <w:sz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62" w:type="pct"/>
            <w:vMerge w:val="continue"/>
            <w:vAlign w:val="center"/>
          </w:tcPr>
          <w:p>
            <w:pPr>
              <w:adjustRightInd w:val="0"/>
              <w:snapToGrid w:val="0"/>
              <w:spacing w:line="240" w:lineRule="auto"/>
              <w:jc w:val="center"/>
              <w:rPr>
                <w:snapToGrid w:val="0"/>
                <w:kern w:val="21"/>
                <w:sz w:val="21"/>
                <w:szCs w:val="21"/>
              </w:rPr>
            </w:pPr>
          </w:p>
        </w:tc>
        <w:tc>
          <w:tcPr>
            <w:tcW w:w="501" w:type="pct"/>
            <w:vAlign w:val="center"/>
          </w:tcPr>
          <w:p>
            <w:pPr>
              <w:adjustRightInd w:val="0"/>
              <w:snapToGrid w:val="0"/>
              <w:spacing w:line="240" w:lineRule="auto"/>
              <w:jc w:val="center"/>
              <w:rPr>
                <w:snapToGrid w:val="0"/>
                <w:kern w:val="21"/>
                <w:sz w:val="21"/>
                <w:szCs w:val="21"/>
              </w:rPr>
            </w:pPr>
            <w:r>
              <w:rPr>
                <w:sz w:val="21"/>
                <w:szCs w:val="21"/>
              </w:rPr>
              <w:t>氨氮</w:t>
            </w:r>
          </w:p>
        </w:tc>
        <w:tc>
          <w:tcPr>
            <w:tcW w:w="605" w:type="pct"/>
            <w:vAlign w:val="center"/>
          </w:tcPr>
          <w:p>
            <w:pPr>
              <w:jc w:val="center"/>
              <w:rPr>
                <w:snapToGrid w:val="0"/>
                <w:kern w:val="21"/>
                <w:sz w:val="21"/>
                <w:szCs w:val="21"/>
              </w:rPr>
            </w:pPr>
            <w:r>
              <w:rPr>
                <w:snapToGrid w:val="0"/>
                <w:kern w:val="21"/>
                <w:sz w:val="21"/>
                <w:szCs w:val="21"/>
              </w:rPr>
              <w:t>0</w:t>
            </w:r>
          </w:p>
        </w:tc>
        <w:tc>
          <w:tcPr>
            <w:tcW w:w="450" w:type="pct"/>
            <w:vAlign w:val="center"/>
          </w:tcPr>
          <w:p>
            <w:pPr>
              <w:jc w:val="center"/>
              <w:rPr>
                <w:snapToGrid w:val="0"/>
                <w:kern w:val="21"/>
                <w:sz w:val="21"/>
                <w:szCs w:val="21"/>
              </w:rPr>
            </w:pPr>
            <w:r>
              <w:rPr>
                <w:snapToGrid w:val="0"/>
                <w:kern w:val="21"/>
                <w:sz w:val="21"/>
                <w:szCs w:val="21"/>
              </w:rPr>
              <w:t>0</w:t>
            </w:r>
          </w:p>
        </w:tc>
        <w:tc>
          <w:tcPr>
            <w:tcW w:w="605" w:type="pct"/>
            <w:vAlign w:val="center"/>
          </w:tcPr>
          <w:p>
            <w:pPr>
              <w:jc w:val="center"/>
              <w:rPr>
                <w:snapToGrid w:val="0"/>
                <w:kern w:val="21"/>
                <w:sz w:val="21"/>
                <w:szCs w:val="21"/>
              </w:rPr>
            </w:pPr>
            <w:r>
              <w:rPr>
                <w:snapToGrid w:val="0"/>
                <w:kern w:val="21"/>
                <w:sz w:val="21"/>
                <w:szCs w:val="21"/>
              </w:rPr>
              <w:t>0</w:t>
            </w:r>
          </w:p>
        </w:tc>
        <w:tc>
          <w:tcPr>
            <w:tcW w:w="553" w:type="pct"/>
          </w:tcPr>
          <w:p>
            <w:pPr>
              <w:adjustRightInd w:val="0"/>
              <w:snapToGrid w:val="0"/>
              <w:spacing w:line="240" w:lineRule="auto"/>
              <w:jc w:val="center"/>
              <w:rPr>
                <w:snapToGrid w:val="0"/>
                <w:kern w:val="21"/>
                <w:sz w:val="21"/>
                <w:szCs w:val="21"/>
              </w:rPr>
            </w:pPr>
            <w:r>
              <w:rPr>
                <w:snapToGrid w:val="0"/>
                <w:kern w:val="21"/>
                <w:sz w:val="21"/>
                <w:szCs w:val="21"/>
              </w:rPr>
              <w:t>0</w:t>
            </w:r>
          </w:p>
        </w:tc>
        <w:tc>
          <w:tcPr>
            <w:tcW w:w="627" w:type="pct"/>
            <w:vAlign w:val="center"/>
          </w:tcPr>
          <w:p>
            <w:pPr>
              <w:adjustRightInd w:val="0"/>
              <w:snapToGrid w:val="0"/>
              <w:spacing w:line="240" w:lineRule="auto"/>
              <w:jc w:val="center"/>
              <w:rPr>
                <w:snapToGrid w:val="0"/>
                <w:kern w:val="21"/>
                <w:sz w:val="21"/>
                <w:szCs w:val="21"/>
              </w:rPr>
            </w:pPr>
            <w:r>
              <w:rPr>
                <w:snapToGrid w:val="0"/>
                <w:kern w:val="21"/>
                <w:sz w:val="21"/>
                <w:szCs w:val="21"/>
              </w:rPr>
              <w:t>0</w:t>
            </w:r>
          </w:p>
        </w:tc>
        <w:tc>
          <w:tcPr>
            <w:tcW w:w="698" w:type="pct"/>
          </w:tcPr>
          <w:p>
            <w:pPr>
              <w:adjustRightInd w:val="0"/>
              <w:snapToGrid w:val="0"/>
              <w:spacing w:line="240" w:lineRule="auto"/>
              <w:jc w:val="center"/>
              <w:rPr>
                <w:snapToGrid w:val="0"/>
                <w:kern w:val="21"/>
                <w:sz w:val="21"/>
                <w:szCs w:val="21"/>
              </w:rPr>
            </w:pPr>
            <w:r>
              <w:rPr>
                <w:snapToGrid w:val="0"/>
                <w:kern w:val="21"/>
                <w:sz w:val="21"/>
                <w:szCs w:val="21"/>
              </w:rPr>
              <w:t>0</w:t>
            </w:r>
          </w:p>
        </w:tc>
        <w:tc>
          <w:tcPr>
            <w:tcW w:w="395" w:type="pct"/>
          </w:tcPr>
          <w:p>
            <w:pPr>
              <w:adjustRightInd w:val="0"/>
              <w:snapToGrid w:val="0"/>
              <w:spacing w:line="240" w:lineRule="auto"/>
              <w:jc w:val="center"/>
              <w:rPr>
                <w:snapToGrid w:val="0"/>
                <w:kern w:val="21"/>
                <w:sz w:val="21"/>
                <w:szCs w:val="21"/>
              </w:rPr>
            </w:pPr>
            <w:r>
              <w:rPr>
                <w:snapToGrid w:val="0"/>
                <w:kern w:val="21"/>
                <w:sz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562" w:type="pct"/>
            <w:vMerge w:val="continue"/>
            <w:vAlign w:val="center"/>
          </w:tcPr>
          <w:p>
            <w:pPr>
              <w:adjustRightInd w:val="0"/>
              <w:snapToGrid w:val="0"/>
              <w:spacing w:line="240" w:lineRule="auto"/>
              <w:jc w:val="center"/>
              <w:rPr>
                <w:snapToGrid w:val="0"/>
                <w:kern w:val="21"/>
                <w:sz w:val="21"/>
                <w:szCs w:val="21"/>
              </w:rPr>
            </w:pPr>
          </w:p>
        </w:tc>
        <w:tc>
          <w:tcPr>
            <w:tcW w:w="501" w:type="pct"/>
            <w:vAlign w:val="center"/>
          </w:tcPr>
          <w:p>
            <w:pPr>
              <w:adjustRightInd w:val="0"/>
              <w:snapToGrid w:val="0"/>
              <w:spacing w:line="240" w:lineRule="auto"/>
              <w:jc w:val="center"/>
              <w:rPr>
                <w:snapToGrid w:val="0"/>
                <w:kern w:val="21"/>
                <w:sz w:val="21"/>
                <w:szCs w:val="21"/>
              </w:rPr>
            </w:pPr>
            <w:r>
              <w:rPr>
                <w:sz w:val="21"/>
                <w:szCs w:val="21"/>
              </w:rPr>
              <w:t>动植物油</w:t>
            </w:r>
          </w:p>
        </w:tc>
        <w:tc>
          <w:tcPr>
            <w:tcW w:w="605" w:type="pct"/>
            <w:vAlign w:val="center"/>
          </w:tcPr>
          <w:p>
            <w:pPr>
              <w:jc w:val="center"/>
              <w:rPr>
                <w:snapToGrid w:val="0"/>
                <w:kern w:val="21"/>
                <w:sz w:val="21"/>
                <w:szCs w:val="21"/>
              </w:rPr>
            </w:pPr>
            <w:r>
              <w:rPr>
                <w:snapToGrid w:val="0"/>
                <w:kern w:val="21"/>
                <w:sz w:val="21"/>
                <w:szCs w:val="21"/>
              </w:rPr>
              <w:t>0</w:t>
            </w:r>
          </w:p>
        </w:tc>
        <w:tc>
          <w:tcPr>
            <w:tcW w:w="450" w:type="pct"/>
            <w:vAlign w:val="center"/>
          </w:tcPr>
          <w:p>
            <w:pPr>
              <w:jc w:val="center"/>
              <w:rPr>
                <w:snapToGrid w:val="0"/>
                <w:kern w:val="21"/>
                <w:sz w:val="21"/>
                <w:szCs w:val="21"/>
              </w:rPr>
            </w:pPr>
            <w:r>
              <w:rPr>
                <w:snapToGrid w:val="0"/>
                <w:kern w:val="21"/>
                <w:sz w:val="21"/>
                <w:szCs w:val="21"/>
              </w:rPr>
              <w:t>0</w:t>
            </w:r>
          </w:p>
        </w:tc>
        <w:tc>
          <w:tcPr>
            <w:tcW w:w="605" w:type="pct"/>
            <w:vAlign w:val="center"/>
          </w:tcPr>
          <w:p>
            <w:pPr>
              <w:jc w:val="center"/>
              <w:rPr>
                <w:snapToGrid w:val="0"/>
                <w:kern w:val="21"/>
                <w:sz w:val="21"/>
                <w:szCs w:val="21"/>
              </w:rPr>
            </w:pPr>
            <w:r>
              <w:rPr>
                <w:snapToGrid w:val="0"/>
                <w:kern w:val="21"/>
                <w:sz w:val="21"/>
                <w:szCs w:val="21"/>
              </w:rPr>
              <w:t>0</w:t>
            </w:r>
          </w:p>
        </w:tc>
        <w:tc>
          <w:tcPr>
            <w:tcW w:w="553" w:type="pct"/>
          </w:tcPr>
          <w:p>
            <w:pPr>
              <w:adjustRightInd w:val="0"/>
              <w:snapToGrid w:val="0"/>
              <w:spacing w:line="240" w:lineRule="auto"/>
              <w:jc w:val="center"/>
              <w:rPr>
                <w:snapToGrid w:val="0"/>
                <w:kern w:val="21"/>
                <w:sz w:val="21"/>
                <w:szCs w:val="21"/>
              </w:rPr>
            </w:pPr>
            <w:r>
              <w:rPr>
                <w:snapToGrid w:val="0"/>
                <w:kern w:val="21"/>
                <w:sz w:val="21"/>
                <w:szCs w:val="21"/>
              </w:rPr>
              <w:t>0</w:t>
            </w:r>
          </w:p>
        </w:tc>
        <w:tc>
          <w:tcPr>
            <w:tcW w:w="627" w:type="pct"/>
            <w:vAlign w:val="center"/>
          </w:tcPr>
          <w:p>
            <w:pPr>
              <w:adjustRightInd w:val="0"/>
              <w:snapToGrid w:val="0"/>
              <w:spacing w:line="240" w:lineRule="auto"/>
              <w:jc w:val="center"/>
              <w:rPr>
                <w:snapToGrid w:val="0"/>
                <w:kern w:val="21"/>
                <w:sz w:val="21"/>
                <w:szCs w:val="21"/>
              </w:rPr>
            </w:pPr>
            <w:r>
              <w:rPr>
                <w:snapToGrid w:val="0"/>
                <w:kern w:val="21"/>
                <w:sz w:val="21"/>
                <w:szCs w:val="21"/>
              </w:rPr>
              <w:t>0</w:t>
            </w:r>
          </w:p>
        </w:tc>
        <w:tc>
          <w:tcPr>
            <w:tcW w:w="698" w:type="pct"/>
          </w:tcPr>
          <w:p>
            <w:pPr>
              <w:adjustRightInd w:val="0"/>
              <w:snapToGrid w:val="0"/>
              <w:spacing w:line="240" w:lineRule="auto"/>
              <w:jc w:val="center"/>
              <w:rPr>
                <w:snapToGrid w:val="0"/>
                <w:kern w:val="21"/>
                <w:sz w:val="21"/>
                <w:szCs w:val="21"/>
              </w:rPr>
            </w:pPr>
            <w:r>
              <w:rPr>
                <w:snapToGrid w:val="0"/>
                <w:kern w:val="21"/>
                <w:sz w:val="21"/>
                <w:szCs w:val="21"/>
              </w:rPr>
              <w:t>0</w:t>
            </w:r>
          </w:p>
        </w:tc>
        <w:tc>
          <w:tcPr>
            <w:tcW w:w="395" w:type="pct"/>
          </w:tcPr>
          <w:p>
            <w:pPr>
              <w:adjustRightInd w:val="0"/>
              <w:snapToGrid w:val="0"/>
              <w:spacing w:line="240" w:lineRule="auto"/>
              <w:jc w:val="center"/>
              <w:rPr>
                <w:snapToGrid w:val="0"/>
                <w:kern w:val="21"/>
                <w:sz w:val="21"/>
                <w:szCs w:val="21"/>
              </w:rPr>
            </w:pPr>
            <w:r>
              <w:rPr>
                <w:snapToGrid w:val="0"/>
                <w:kern w:val="21"/>
                <w:sz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62" w:type="pct"/>
            <w:vMerge w:val="restart"/>
            <w:vAlign w:val="center"/>
          </w:tcPr>
          <w:p>
            <w:pPr>
              <w:adjustRightInd w:val="0"/>
              <w:snapToGrid w:val="0"/>
              <w:spacing w:line="240" w:lineRule="auto"/>
              <w:jc w:val="center"/>
              <w:rPr>
                <w:snapToGrid w:val="0"/>
                <w:kern w:val="21"/>
                <w:sz w:val="21"/>
                <w:szCs w:val="21"/>
              </w:rPr>
            </w:pPr>
            <w:r>
              <w:rPr>
                <w:snapToGrid w:val="0"/>
                <w:kern w:val="21"/>
                <w:sz w:val="21"/>
                <w:szCs w:val="21"/>
              </w:rPr>
              <w:t>一般工业</w:t>
            </w:r>
          </w:p>
          <w:p>
            <w:pPr>
              <w:adjustRightInd w:val="0"/>
              <w:snapToGrid w:val="0"/>
              <w:spacing w:line="240" w:lineRule="auto"/>
              <w:jc w:val="center"/>
              <w:rPr>
                <w:snapToGrid w:val="0"/>
                <w:kern w:val="21"/>
                <w:sz w:val="21"/>
                <w:szCs w:val="21"/>
              </w:rPr>
            </w:pPr>
            <w:r>
              <w:rPr>
                <w:snapToGrid w:val="0"/>
                <w:kern w:val="21"/>
                <w:sz w:val="21"/>
                <w:szCs w:val="21"/>
              </w:rPr>
              <w:t>固体废物</w:t>
            </w:r>
          </w:p>
        </w:tc>
        <w:tc>
          <w:tcPr>
            <w:tcW w:w="501" w:type="pct"/>
            <w:vAlign w:val="center"/>
          </w:tcPr>
          <w:p>
            <w:pPr>
              <w:adjustRightInd w:val="0"/>
              <w:snapToGrid w:val="0"/>
              <w:spacing w:line="240" w:lineRule="auto"/>
              <w:jc w:val="center"/>
              <w:rPr>
                <w:snapToGrid w:val="0"/>
                <w:kern w:val="21"/>
                <w:sz w:val="21"/>
                <w:szCs w:val="21"/>
              </w:rPr>
            </w:pPr>
            <w:r>
              <w:rPr>
                <w:snapToGrid w:val="0"/>
                <w:kern w:val="21"/>
                <w:sz w:val="21"/>
                <w:szCs w:val="21"/>
              </w:rPr>
              <w:t>压滤机产生的污泥</w:t>
            </w:r>
          </w:p>
        </w:tc>
        <w:tc>
          <w:tcPr>
            <w:tcW w:w="605" w:type="pct"/>
            <w:vAlign w:val="center"/>
          </w:tcPr>
          <w:p>
            <w:pPr>
              <w:jc w:val="center"/>
            </w:pPr>
            <w:r>
              <w:rPr>
                <w:snapToGrid w:val="0"/>
                <w:kern w:val="21"/>
                <w:sz w:val="21"/>
                <w:szCs w:val="21"/>
              </w:rPr>
              <w:t>0</w:t>
            </w:r>
          </w:p>
        </w:tc>
        <w:tc>
          <w:tcPr>
            <w:tcW w:w="450" w:type="pct"/>
            <w:vAlign w:val="center"/>
          </w:tcPr>
          <w:p>
            <w:pPr>
              <w:jc w:val="center"/>
            </w:pPr>
            <w:r>
              <w:rPr>
                <w:snapToGrid w:val="0"/>
                <w:kern w:val="21"/>
                <w:sz w:val="21"/>
                <w:szCs w:val="21"/>
              </w:rPr>
              <w:t>0</w:t>
            </w:r>
          </w:p>
        </w:tc>
        <w:tc>
          <w:tcPr>
            <w:tcW w:w="605" w:type="pct"/>
            <w:vAlign w:val="center"/>
          </w:tcPr>
          <w:p>
            <w:pPr>
              <w:jc w:val="center"/>
            </w:pPr>
            <w:r>
              <w:rPr>
                <w:snapToGrid w:val="0"/>
                <w:kern w:val="21"/>
                <w:sz w:val="21"/>
                <w:szCs w:val="21"/>
              </w:rPr>
              <w:t>0</w:t>
            </w:r>
          </w:p>
        </w:tc>
        <w:tc>
          <w:tcPr>
            <w:tcW w:w="553" w:type="pct"/>
            <w:vAlign w:val="center"/>
          </w:tcPr>
          <w:p>
            <w:pPr>
              <w:adjustRightInd w:val="0"/>
              <w:snapToGrid w:val="0"/>
              <w:spacing w:line="240" w:lineRule="auto"/>
              <w:jc w:val="center"/>
              <w:rPr>
                <w:snapToGrid w:val="0"/>
                <w:kern w:val="21"/>
                <w:sz w:val="21"/>
                <w:szCs w:val="21"/>
              </w:rPr>
            </w:pPr>
            <w:r>
              <w:rPr>
                <w:rFonts w:hint="default" w:ascii="Times New Roman" w:hAnsi="Times New Roman" w:eastAsia="宋体" w:cs="Times New Roman"/>
                <w:kern w:val="2"/>
                <w:sz w:val="21"/>
                <w:szCs w:val="21"/>
              </w:rPr>
              <w:t>14282</w:t>
            </w:r>
            <w:r>
              <w:rPr>
                <w:rFonts w:hint="default" w:ascii="Times New Roman" w:hAnsi="Times New Roman" w:eastAsia="宋体" w:cs="Times New Roman"/>
                <w:kern w:val="2"/>
                <w:sz w:val="21"/>
                <w:szCs w:val="21"/>
                <w:lang w:val="en-US" w:eastAsia="zh-CN"/>
              </w:rPr>
              <w:t>2</w:t>
            </w:r>
            <w:r>
              <w:rPr>
                <w:rFonts w:hint="default" w:ascii="Times New Roman" w:hAnsi="Times New Roman" w:eastAsia="宋体" w:cs="Times New Roman"/>
                <w:kern w:val="2"/>
                <w:sz w:val="21"/>
                <w:szCs w:val="21"/>
              </w:rPr>
              <w:t>.</w:t>
            </w:r>
            <w:r>
              <w:rPr>
                <w:rFonts w:hint="default" w:ascii="Times New Roman" w:hAnsi="Times New Roman" w:eastAsia="宋体" w:cs="Times New Roman"/>
                <w:kern w:val="2"/>
                <w:sz w:val="21"/>
                <w:szCs w:val="21"/>
                <w:lang w:val="en-US" w:eastAsia="zh-CN"/>
              </w:rPr>
              <w:t>97</w:t>
            </w:r>
            <w:r>
              <w:rPr>
                <w:snapToGrid w:val="0"/>
                <w:kern w:val="21"/>
                <w:sz w:val="21"/>
                <w:szCs w:val="21"/>
              </w:rPr>
              <w:t>t</w:t>
            </w:r>
            <w:r>
              <w:rPr>
                <w:kern w:val="0"/>
                <w:sz w:val="20"/>
              </w:rPr>
              <w:t>/a</w:t>
            </w:r>
          </w:p>
        </w:tc>
        <w:tc>
          <w:tcPr>
            <w:tcW w:w="627" w:type="pct"/>
            <w:vAlign w:val="center"/>
          </w:tcPr>
          <w:p>
            <w:pPr>
              <w:adjustRightInd w:val="0"/>
              <w:snapToGrid w:val="0"/>
              <w:spacing w:line="240" w:lineRule="auto"/>
              <w:jc w:val="center"/>
              <w:rPr>
                <w:snapToGrid w:val="0"/>
                <w:kern w:val="21"/>
                <w:sz w:val="21"/>
                <w:szCs w:val="21"/>
              </w:rPr>
            </w:pPr>
            <w:r>
              <w:rPr>
                <w:snapToGrid w:val="0"/>
                <w:kern w:val="21"/>
                <w:sz w:val="21"/>
                <w:szCs w:val="21"/>
              </w:rPr>
              <w:t>0</w:t>
            </w:r>
          </w:p>
        </w:tc>
        <w:tc>
          <w:tcPr>
            <w:tcW w:w="698" w:type="pct"/>
            <w:vAlign w:val="center"/>
          </w:tcPr>
          <w:p>
            <w:pPr>
              <w:adjustRightInd w:val="0"/>
              <w:snapToGrid w:val="0"/>
              <w:spacing w:line="240" w:lineRule="auto"/>
              <w:jc w:val="center"/>
              <w:rPr>
                <w:snapToGrid w:val="0"/>
                <w:kern w:val="21"/>
                <w:sz w:val="21"/>
                <w:szCs w:val="21"/>
              </w:rPr>
            </w:pPr>
            <w:r>
              <w:rPr>
                <w:rFonts w:hint="default" w:ascii="Times New Roman" w:hAnsi="Times New Roman" w:eastAsia="宋体" w:cs="Times New Roman"/>
                <w:kern w:val="2"/>
                <w:sz w:val="21"/>
                <w:szCs w:val="21"/>
              </w:rPr>
              <w:t>14282</w:t>
            </w:r>
            <w:r>
              <w:rPr>
                <w:rFonts w:hint="default" w:ascii="Times New Roman" w:hAnsi="Times New Roman" w:eastAsia="宋体" w:cs="Times New Roman"/>
                <w:kern w:val="2"/>
                <w:sz w:val="21"/>
                <w:szCs w:val="21"/>
                <w:lang w:val="en-US" w:eastAsia="zh-CN"/>
              </w:rPr>
              <w:t>2</w:t>
            </w:r>
            <w:r>
              <w:rPr>
                <w:rFonts w:hint="default" w:ascii="Times New Roman" w:hAnsi="Times New Roman" w:eastAsia="宋体" w:cs="Times New Roman"/>
                <w:kern w:val="2"/>
                <w:sz w:val="21"/>
                <w:szCs w:val="21"/>
              </w:rPr>
              <w:t>.</w:t>
            </w:r>
            <w:r>
              <w:rPr>
                <w:rFonts w:hint="default" w:ascii="Times New Roman" w:hAnsi="Times New Roman" w:eastAsia="宋体" w:cs="Times New Roman"/>
                <w:kern w:val="2"/>
                <w:sz w:val="21"/>
                <w:szCs w:val="21"/>
                <w:lang w:val="en-US" w:eastAsia="zh-CN"/>
              </w:rPr>
              <w:t>97</w:t>
            </w:r>
            <w:r>
              <w:rPr>
                <w:snapToGrid w:val="0"/>
                <w:kern w:val="21"/>
                <w:sz w:val="21"/>
                <w:szCs w:val="21"/>
              </w:rPr>
              <w:t>t</w:t>
            </w:r>
            <w:r>
              <w:rPr>
                <w:kern w:val="0"/>
                <w:sz w:val="20"/>
              </w:rPr>
              <w:t>/a</w:t>
            </w:r>
          </w:p>
        </w:tc>
        <w:tc>
          <w:tcPr>
            <w:tcW w:w="395" w:type="pct"/>
            <w:vAlign w:val="center"/>
          </w:tcPr>
          <w:p>
            <w:pPr>
              <w:adjustRightInd w:val="0"/>
              <w:snapToGrid w:val="0"/>
              <w:spacing w:line="240" w:lineRule="auto"/>
              <w:jc w:val="center"/>
              <w:rPr>
                <w:snapToGrid w:val="0"/>
                <w:kern w:val="21"/>
                <w:sz w:val="21"/>
                <w:szCs w:val="21"/>
              </w:rPr>
            </w:pPr>
            <w:r>
              <w:rPr>
                <w:rFonts w:hint="default" w:ascii="Times New Roman" w:hAnsi="Times New Roman" w:eastAsia="宋体" w:cs="Times New Roman"/>
                <w:kern w:val="2"/>
                <w:sz w:val="21"/>
                <w:szCs w:val="21"/>
              </w:rPr>
              <w:t>14282</w:t>
            </w:r>
            <w:r>
              <w:rPr>
                <w:rFonts w:hint="default" w:ascii="Times New Roman" w:hAnsi="Times New Roman" w:eastAsia="宋体" w:cs="Times New Roman"/>
                <w:kern w:val="2"/>
                <w:sz w:val="21"/>
                <w:szCs w:val="21"/>
                <w:lang w:val="en-US" w:eastAsia="zh-CN"/>
              </w:rPr>
              <w:t>2</w:t>
            </w:r>
            <w:r>
              <w:rPr>
                <w:rFonts w:hint="default" w:ascii="Times New Roman" w:hAnsi="Times New Roman" w:eastAsia="宋体" w:cs="Times New Roman"/>
                <w:kern w:val="2"/>
                <w:sz w:val="21"/>
                <w:szCs w:val="21"/>
              </w:rPr>
              <w:t>.</w:t>
            </w:r>
            <w:r>
              <w:rPr>
                <w:rFonts w:hint="default" w:ascii="Times New Roman" w:hAnsi="Times New Roman" w:eastAsia="宋体" w:cs="Times New Roman"/>
                <w:kern w:val="2"/>
                <w:sz w:val="21"/>
                <w:szCs w:val="21"/>
                <w:lang w:val="en-US" w:eastAsia="zh-CN"/>
              </w:rPr>
              <w:t>97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62" w:type="pct"/>
            <w:vMerge w:val="continue"/>
            <w:vAlign w:val="center"/>
          </w:tcPr>
          <w:p>
            <w:pPr>
              <w:adjustRightInd w:val="0"/>
              <w:snapToGrid w:val="0"/>
              <w:spacing w:line="240" w:lineRule="auto"/>
              <w:jc w:val="center"/>
              <w:rPr>
                <w:snapToGrid w:val="0"/>
                <w:kern w:val="21"/>
                <w:sz w:val="21"/>
                <w:szCs w:val="21"/>
              </w:rPr>
            </w:pPr>
          </w:p>
        </w:tc>
        <w:tc>
          <w:tcPr>
            <w:tcW w:w="501" w:type="pct"/>
            <w:vAlign w:val="center"/>
          </w:tcPr>
          <w:p>
            <w:pPr>
              <w:adjustRightInd w:val="0"/>
              <w:snapToGrid w:val="0"/>
              <w:spacing w:line="240" w:lineRule="auto"/>
              <w:jc w:val="center"/>
              <w:rPr>
                <w:rFonts w:hint="eastAsia" w:eastAsia="宋体"/>
                <w:snapToGrid w:val="0"/>
                <w:kern w:val="21"/>
                <w:sz w:val="21"/>
                <w:szCs w:val="21"/>
                <w:lang w:eastAsia="zh-CN"/>
              </w:rPr>
            </w:pPr>
            <w:r>
              <w:rPr>
                <w:rFonts w:hint="default" w:cs="Times New Roman"/>
                <w:snapToGrid w:val="0"/>
                <w:kern w:val="21"/>
                <w:sz w:val="21"/>
                <w:szCs w:val="21"/>
                <w:u w:val="none"/>
                <w:lang w:val="en-US" w:eastAsia="zh-CN"/>
              </w:rPr>
              <w:t>沉淀池沉砂</w:t>
            </w:r>
          </w:p>
        </w:tc>
        <w:tc>
          <w:tcPr>
            <w:tcW w:w="605" w:type="pct"/>
            <w:vAlign w:val="center"/>
          </w:tcPr>
          <w:p>
            <w:pPr>
              <w:jc w:val="center"/>
              <w:rPr>
                <w:rFonts w:hint="eastAsia" w:eastAsia="宋体"/>
                <w:snapToGrid w:val="0"/>
                <w:kern w:val="21"/>
                <w:sz w:val="21"/>
                <w:szCs w:val="21"/>
                <w:lang w:val="en-US" w:eastAsia="zh-CN"/>
              </w:rPr>
            </w:pPr>
            <w:r>
              <w:rPr>
                <w:rFonts w:hint="eastAsia"/>
                <w:snapToGrid w:val="0"/>
                <w:kern w:val="21"/>
                <w:sz w:val="21"/>
                <w:szCs w:val="21"/>
                <w:lang w:val="en-US" w:eastAsia="zh-CN"/>
              </w:rPr>
              <w:t>0</w:t>
            </w:r>
          </w:p>
        </w:tc>
        <w:tc>
          <w:tcPr>
            <w:tcW w:w="450" w:type="pct"/>
            <w:vAlign w:val="center"/>
          </w:tcPr>
          <w:p>
            <w:pPr>
              <w:jc w:val="center"/>
              <w:rPr>
                <w:rFonts w:hint="eastAsia" w:eastAsia="宋体"/>
                <w:snapToGrid w:val="0"/>
                <w:kern w:val="21"/>
                <w:sz w:val="21"/>
                <w:szCs w:val="21"/>
                <w:lang w:val="en-US" w:eastAsia="zh-CN"/>
              </w:rPr>
            </w:pPr>
            <w:r>
              <w:rPr>
                <w:rFonts w:hint="eastAsia"/>
                <w:snapToGrid w:val="0"/>
                <w:kern w:val="21"/>
                <w:sz w:val="21"/>
                <w:szCs w:val="21"/>
                <w:lang w:val="en-US" w:eastAsia="zh-CN"/>
              </w:rPr>
              <w:t>0</w:t>
            </w:r>
          </w:p>
        </w:tc>
        <w:tc>
          <w:tcPr>
            <w:tcW w:w="605" w:type="pct"/>
            <w:vAlign w:val="center"/>
          </w:tcPr>
          <w:p>
            <w:pPr>
              <w:jc w:val="center"/>
              <w:rPr>
                <w:rFonts w:hint="eastAsia" w:eastAsia="宋体"/>
                <w:snapToGrid w:val="0"/>
                <w:kern w:val="21"/>
                <w:sz w:val="21"/>
                <w:szCs w:val="21"/>
                <w:lang w:val="en-US" w:eastAsia="zh-CN"/>
              </w:rPr>
            </w:pPr>
            <w:r>
              <w:rPr>
                <w:rFonts w:hint="eastAsia"/>
                <w:snapToGrid w:val="0"/>
                <w:kern w:val="21"/>
                <w:sz w:val="21"/>
                <w:szCs w:val="21"/>
                <w:lang w:val="en-US" w:eastAsia="zh-CN"/>
              </w:rPr>
              <w:t>0</w:t>
            </w:r>
          </w:p>
        </w:tc>
        <w:tc>
          <w:tcPr>
            <w:tcW w:w="553" w:type="pct"/>
            <w:vAlign w:val="center"/>
          </w:tcPr>
          <w:p>
            <w:pPr>
              <w:adjustRightInd w:val="0"/>
              <w:snapToGrid w:val="0"/>
              <w:spacing w:line="240" w:lineRule="auto"/>
              <w:jc w:val="center"/>
              <w:rPr>
                <w:rFonts w:hint="eastAsia" w:ascii="Times New Roman" w:hAnsi="Times New Roman" w:eastAsia="宋体" w:cs="Times New Roman"/>
                <w:kern w:val="2"/>
                <w:sz w:val="21"/>
                <w:szCs w:val="21"/>
                <w:lang w:val="en-US" w:eastAsia="zh-CN"/>
              </w:rPr>
            </w:pPr>
            <w:r>
              <w:rPr>
                <w:rFonts w:hint="eastAsia" w:cs="Times New Roman"/>
                <w:kern w:val="2"/>
                <w:sz w:val="21"/>
                <w:szCs w:val="21"/>
                <w:lang w:val="en-US" w:eastAsia="zh-CN"/>
              </w:rPr>
              <w:t>2</w:t>
            </w:r>
            <w:r>
              <w:rPr>
                <w:snapToGrid w:val="0"/>
                <w:kern w:val="21"/>
                <w:sz w:val="21"/>
                <w:szCs w:val="21"/>
              </w:rPr>
              <w:t>t</w:t>
            </w:r>
            <w:r>
              <w:rPr>
                <w:kern w:val="0"/>
                <w:sz w:val="20"/>
              </w:rPr>
              <w:t>/a</w:t>
            </w:r>
          </w:p>
        </w:tc>
        <w:tc>
          <w:tcPr>
            <w:tcW w:w="627" w:type="pct"/>
            <w:vAlign w:val="center"/>
          </w:tcPr>
          <w:p>
            <w:pPr>
              <w:adjustRightInd w:val="0"/>
              <w:snapToGrid w:val="0"/>
              <w:spacing w:line="240" w:lineRule="auto"/>
              <w:jc w:val="center"/>
              <w:rPr>
                <w:rFonts w:hint="eastAsia" w:eastAsia="宋体"/>
                <w:snapToGrid w:val="0"/>
                <w:kern w:val="21"/>
                <w:sz w:val="21"/>
                <w:szCs w:val="21"/>
                <w:lang w:val="en-US" w:eastAsia="zh-CN"/>
              </w:rPr>
            </w:pPr>
            <w:r>
              <w:rPr>
                <w:rFonts w:hint="eastAsia"/>
                <w:snapToGrid w:val="0"/>
                <w:kern w:val="21"/>
                <w:sz w:val="21"/>
                <w:szCs w:val="21"/>
                <w:lang w:val="en-US" w:eastAsia="zh-CN"/>
              </w:rPr>
              <w:t>0</w:t>
            </w:r>
          </w:p>
        </w:tc>
        <w:tc>
          <w:tcPr>
            <w:tcW w:w="698" w:type="pct"/>
            <w:vAlign w:val="center"/>
          </w:tcPr>
          <w:p>
            <w:pPr>
              <w:adjustRightInd w:val="0"/>
              <w:snapToGrid w:val="0"/>
              <w:spacing w:line="240" w:lineRule="auto"/>
              <w:jc w:val="center"/>
              <w:rPr>
                <w:rFonts w:hint="default" w:ascii="Times New Roman" w:hAnsi="Times New Roman" w:eastAsia="宋体" w:cs="Times New Roman"/>
                <w:kern w:val="2"/>
                <w:sz w:val="21"/>
                <w:szCs w:val="21"/>
              </w:rPr>
            </w:pPr>
            <w:r>
              <w:rPr>
                <w:rFonts w:hint="eastAsia" w:cs="Times New Roman"/>
                <w:kern w:val="2"/>
                <w:sz w:val="21"/>
                <w:szCs w:val="21"/>
                <w:lang w:val="en-US" w:eastAsia="zh-CN"/>
              </w:rPr>
              <w:t>2</w:t>
            </w:r>
            <w:r>
              <w:rPr>
                <w:snapToGrid w:val="0"/>
                <w:kern w:val="21"/>
                <w:sz w:val="21"/>
                <w:szCs w:val="21"/>
              </w:rPr>
              <w:t>t</w:t>
            </w:r>
            <w:r>
              <w:rPr>
                <w:kern w:val="0"/>
                <w:sz w:val="20"/>
              </w:rPr>
              <w:t>/a</w:t>
            </w:r>
          </w:p>
        </w:tc>
        <w:tc>
          <w:tcPr>
            <w:tcW w:w="395" w:type="pct"/>
            <w:vAlign w:val="center"/>
          </w:tcPr>
          <w:p>
            <w:pPr>
              <w:adjustRightInd w:val="0"/>
              <w:snapToGrid w:val="0"/>
              <w:spacing w:line="240" w:lineRule="auto"/>
              <w:jc w:val="center"/>
              <w:rPr>
                <w:rFonts w:hint="eastAsia" w:ascii="Times New Roman" w:hAnsi="Times New Roman" w:eastAsia="宋体" w:cs="Times New Roman"/>
                <w:kern w:val="2"/>
                <w:sz w:val="21"/>
                <w:szCs w:val="21"/>
                <w:lang w:val="en-US" w:eastAsia="zh-CN"/>
              </w:rPr>
            </w:pPr>
            <w:r>
              <w:rPr>
                <w:rFonts w:hint="eastAsia" w:cs="Times New Roman"/>
                <w:kern w:val="2"/>
                <w:sz w:val="21"/>
                <w:szCs w:val="21"/>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62" w:type="pct"/>
            <w:vMerge w:val="continue"/>
            <w:vAlign w:val="center"/>
          </w:tcPr>
          <w:p>
            <w:pPr>
              <w:adjustRightInd w:val="0"/>
              <w:snapToGrid w:val="0"/>
              <w:spacing w:line="240" w:lineRule="auto"/>
              <w:jc w:val="center"/>
              <w:rPr>
                <w:snapToGrid w:val="0"/>
                <w:kern w:val="21"/>
                <w:sz w:val="21"/>
                <w:szCs w:val="21"/>
              </w:rPr>
            </w:pPr>
          </w:p>
        </w:tc>
        <w:tc>
          <w:tcPr>
            <w:tcW w:w="501" w:type="pct"/>
            <w:vAlign w:val="center"/>
          </w:tcPr>
          <w:p>
            <w:pPr>
              <w:adjustRightInd w:val="0"/>
              <w:snapToGrid w:val="0"/>
              <w:spacing w:line="240" w:lineRule="auto"/>
              <w:jc w:val="center"/>
              <w:rPr>
                <w:rFonts w:hint="default" w:cs="Times New Roman"/>
                <w:snapToGrid w:val="0"/>
                <w:kern w:val="21"/>
                <w:sz w:val="21"/>
                <w:szCs w:val="21"/>
                <w:u w:val="single"/>
                <w:lang w:val="en-US" w:eastAsia="zh-CN"/>
              </w:rPr>
            </w:pPr>
            <w:r>
              <w:rPr>
                <w:rFonts w:hint="eastAsia" w:cs="Times New Roman"/>
                <w:snapToGrid w:val="0"/>
                <w:kern w:val="21"/>
                <w:sz w:val="21"/>
                <w:szCs w:val="21"/>
                <w:u w:val="single"/>
                <w:lang w:val="en-US" w:eastAsia="zh-CN"/>
              </w:rPr>
              <w:t>压滤机滤布</w:t>
            </w:r>
          </w:p>
        </w:tc>
        <w:tc>
          <w:tcPr>
            <w:tcW w:w="605" w:type="pct"/>
            <w:vAlign w:val="center"/>
          </w:tcPr>
          <w:p>
            <w:pPr>
              <w:jc w:val="center"/>
              <w:rPr>
                <w:rFonts w:hint="eastAsia" w:ascii="Times New Roman" w:hAnsi="Times New Roman" w:eastAsia="宋体" w:cs="Times New Roman"/>
                <w:snapToGrid w:val="0"/>
                <w:kern w:val="21"/>
                <w:sz w:val="21"/>
                <w:szCs w:val="21"/>
                <w:u w:val="single"/>
                <w:lang w:val="en-US" w:eastAsia="zh-CN" w:bidi="ar-SA"/>
              </w:rPr>
            </w:pPr>
            <w:r>
              <w:rPr>
                <w:rFonts w:hint="eastAsia"/>
                <w:snapToGrid w:val="0"/>
                <w:kern w:val="21"/>
                <w:sz w:val="21"/>
                <w:szCs w:val="21"/>
                <w:u w:val="single"/>
                <w:lang w:val="en-US" w:eastAsia="zh-CN"/>
              </w:rPr>
              <w:t>0</w:t>
            </w:r>
          </w:p>
        </w:tc>
        <w:tc>
          <w:tcPr>
            <w:tcW w:w="450" w:type="pct"/>
            <w:vAlign w:val="center"/>
          </w:tcPr>
          <w:p>
            <w:pPr>
              <w:jc w:val="center"/>
              <w:rPr>
                <w:rFonts w:hint="eastAsia" w:ascii="Times New Roman" w:hAnsi="Times New Roman" w:eastAsia="宋体" w:cs="Times New Roman"/>
                <w:snapToGrid w:val="0"/>
                <w:kern w:val="21"/>
                <w:sz w:val="21"/>
                <w:szCs w:val="21"/>
                <w:u w:val="single"/>
                <w:lang w:val="en-US" w:eastAsia="zh-CN" w:bidi="ar-SA"/>
              </w:rPr>
            </w:pPr>
            <w:r>
              <w:rPr>
                <w:rFonts w:hint="eastAsia"/>
                <w:snapToGrid w:val="0"/>
                <w:kern w:val="21"/>
                <w:sz w:val="21"/>
                <w:szCs w:val="21"/>
                <w:u w:val="single"/>
                <w:lang w:val="en-US" w:eastAsia="zh-CN"/>
              </w:rPr>
              <w:t>0</w:t>
            </w:r>
          </w:p>
        </w:tc>
        <w:tc>
          <w:tcPr>
            <w:tcW w:w="605" w:type="pct"/>
            <w:vAlign w:val="center"/>
          </w:tcPr>
          <w:p>
            <w:pPr>
              <w:jc w:val="center"/>
              <w:rPr>
                <w:rFonts w:hint="eastAsia" w:ascii="Times New Roman" w:hAnsi="Times New Roman" w:eastAsia="宋体" w:cs="Times New Roman"/>
                <w:snapToGrid w:val="0"/>
                <w:kern w:val="21"/>
                <w:sz w:val="21"/>
                <w:szCs w:val="21"/>
                <w:u w:val="single"/>
                <w:lang w:val="en-US" w:eastAsia="zh-CN" w:bidi="ar-SA"/>
              </w:rPr>
            </w:pPr>
            <w:r>
              <w:rPr>
                <w:rFonts w:hint="eastAsia"/>
                <w:snapToGrid w:val="0"/>
                <w:kern w:val="21"/>
                <w:sz w:val="21"/>
                <w:szCs w:val="21"/>
                <w:u w:val="single"/>
                <w:lang w:val="en-US" w:eastAsia="zh-CN"/>
              </w:rPr>
              <w:t>0</w:t>
            </w:r>
          </w:p>
        </w:tc>
        <w:tc>
          <w:tcPr>
            <w:tcW w:w="553" w:type="pct"/>
            <w:vAlign w:val="center"/>
          </w:tcPr>
          <w:p>
            <w:pPr>
              <w:adjustRightInd w:val="0"/>
              <w:snapToGrid w:val="0"/>
              <w:spacing w:line="240" w:lineRule="auto"/>
              <w:jc w:val="center"/>
              <w:rPr>
                <w:rFonts w:hint="eastAsia" w:cs="Times New Roman"/>
                <w:kern w:val="2"/>
                <w:sz w:val="21"/>
                <w:szCs w:val="21"/>
                <w:u w:val="single"/>
                <w:lang w:val="en-US" w:eastAsia="zh-CN"/>
              </w:rPr>
            </w:pPr>
            <w:r>
              <w:rPr>
                <w:rFonts w:hint="default" w:ascii="Times New Roman" w:hAnsi="Times New Roman" w:eastAsia="宋体" w:cs="Times New Roman"/>
                <w:kern w:val="2"/>
                <w:sz w:val="21"/>
                <w:szCs w:val="21"/>
                <w:u w:val="single"/>
                <w:lang w:val="en-US" w:eastAsia="zh-CN"/>
              </w:rPr>
              <w:t>0.0001</w:t>
            </w:r>
            <w:r>
              <w:rPr>
                <w:snapToGrid w:val="0"/>
                <w:kern w:val="21"/>
                <w:sz w:val="21"/>
                <w:szCs w:val="21"/>
                <w:u w:val="single"/>
              </w:rPr>
              <w:t>t</w:t>
            </w:r>
            <w:r>
              <w:rPr>
                <w:kern w:val="0"/>
                <w:sz w:val="20"/>
                <w:u w:val="single"/>
              </w:rPr>
              <w:t>/a</w:t>
            </w:r>
          </w:p>
        </w:tc>
        <w:tc>
          <w:tcPr>
            <w:tcW w:w="627" w:type="pct"/>
            <w:vAlign w:val="center"/>
          </w:tcPr>
          <w:p>
            <w:pPr>
              <w:adjustRightInd w:val="0"/>
              <w:snapToGrid w:val="0"/>
              <w:spacing w:line="240" w:lineRule="auto"/>
              <w:jc w:val="center"/>
              <w:rPr>
                <w:rFonts w:hint="eastAsia"/>
                <w:snapToGrid w:val="0"/>
                <w:kern w:val="21"/>
                <w:sz w:val="21"/>
                <w:szCs w:val="21"/>
                <w:u w:val="single"/>
                <w:lang w:val="en-US" w:eastAsia="zh-CN"/>
              </w:rPr>
            </w:pPr>
            <w:r>
              <w:rPr>
                <w:rFonts w:hint="eastAsia"/>
                <w:snapToGrid w:val="0"/>
                <w:kern w:val="21"/>
                <w:sz w:val="21"/>
                <w:szCs w:val="21"/>
                <w:u w:val="single"/>
                <w:lang w:val="en-US" w:eastAsia="zh-CN"/>
              </w:rPr>
              <w:t>0</w:t>
            </w:r>
          </w:p>
        </w:tc>
        <w:tc>
          <w:tcPr>
            <w:tcW w:w="698" w:type="pct"/>
            <w:vAlign w:val="center"/>
          </w:tcPr>
          <w:p>
            <w:pPr>
              <w:adjustRightInd w:val="0"/>
              <w:snapToGrid w:val="0"/>
              <w:spacing w:line="240" w:lineRule="auto"/>
              <w:jc w:val="center"/>
              <w:rPr>
                <w:rFonts w:hint="eastAsia" w:cs="Times New Roman"/>
                <w:kern w:val="2"/>
                <w:sz w:val="21"/>
                <w:szCs w:val="21"/>
                <w:u w:val="single"/>
                <w:lang w:val="en-US" w:eastAsia="zh-CN"/>
              </w:rPr>
            </w:pPr>
            <w:r>
              <w:rPr>
                <w:rFonts w:hint="default" w:ascii="Times New Roman" w:hAnsi="Times New Roman" w:eastAsia="宋体" w:cs="Times New Roman"/>
                <w:kern w:val="2"/>
                <w:sz w:val="21"/>
                <w:szCs w:val="21"/>
                <w:u w:val="single"/>
                <w:lang w:val="en-US" w:eastAsia="zh-CN"/>
              </w:rPr>
              <w:t>0.0001</w:t>
            </w:r>
            <w:r>
              <w:rPr>
                <w:snapToGrid w:val="0"/>
                <w:kern w:val="21"/>
                <w:sz w:val="21"/>
                <w:szCs w:val="21"/>
                <w:u w:val="single"/>
              </w:rPr>
              <w:t>t</w:t>
            </w:r>
            <w:r>
              <w:rPr>
                <w:kern w:val="0"/>
                <w:sz w:val="20"/>
                <w:u w:val="single"/>
              </w:rPr>
              <w:t>/a</w:t>
            </w:r>
          </w:p>
        </w:tc>
        <w:tc>
          <w:tcPr>
            <w:tcW w:w="395" w:type="pct"/>
            <w:vAlign w:val="center"/>
          </w:tcPr>
          <w:p>
            <w:pPr>
              <w:adjustRightInd w:val="0"/>
              <w:snapToGrid w:val="0"/>
              <w:spacing w:line="240" w:lineRule="auto"/>
              <w:jc w:val="center"/>
              <w:rPr>
                <w:rFonts w:hint="eastAsia" w:cs="Times New Roman"/>
                <w:kern w:val="2"/>
                <w:sz w:val="21"/>
                <w:szCs w:val="21"/>
                <w:u w:val="single"/>
                <w:lang w:val="en-US" w:eastAsia="zh-CN"/>
              </w:rPr>
            </w:pPr>
            <w:r>
              <w:rPr>
                <w:rFonts w:hint="default" w:ascii="Times New Roman" w:hAnsi="Times New Roman" w:eastAsia="宋体" w:cs="Times New Roman"/>
                <w:kern w:val="2"/>
                <w:sz w:val="21"/>
                <w:szCs w:val="21"/>
                <w:u w:val="single"/>
                <w:lang w:val="en-US" w:eastAsia="zh-CN"/>
              </w:rPr>
              <w:t>0.0001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562" w:type="pct"/>
            <w:vMerge w:val="continue"/>
            <w:vAlign w:val="center"/>
          </w:tcPr>
          <w:p>
            <w:pPr>
              <w:adjustRightInd w:val="0"/>
              <w:snapToGrid w:val="0"/>
              <w:spacing w:line="240" w:lineRule="auto"/>
              <w:jc w:val="center"/>
              <w:rPr>
                <w:snapToGrid w:val="0"/>
                <w:kern w:val="21"/>
                <w:sz w:val="21"/>
                <w:szCs w:val="21"/>
              </w:rPr>
            </w:pPr>
          </w:p>
        </w:tc>
        <w:tc>
          <w:tcPr>
            <w:tcW w:w="501" w:type="pct"/>
            <w:vAlign w:val="center"/>
          </w:tcPr>
          <w:p>
            <w:pPr>
              <w:adjustRightInd w:val="0"/>
              <w:snapToGrid w:val="0"/>
              <w:spacing w:line="240" w:lineRule="auto"/>
              <w:jc w:val="center"/>
              <w:rPr>
                <w:snapToGrid w:val="0"/>
                <w:kern w:val="21"/>
                <w:sz w:val="21"/>
                <w:szCs w:val="21"/>
              </w:rPr>
            </w:pPr>
            <w:r>
              <w:rPr>
                <w:snapToGrid w:val="0"/>
                <w:kern w:val="21"/>
                <w:sz w:val="21"/>
                <w:szCs w:val="21"/>
              </w:rPr>
              <w:t>生活垃圾</w:t>
            </w:r>
          </w:p>
        </w:tc>
        <w:tc>
          <w:tcPr>
            <w:tcW w:w="605" w:type="pct"/>
            <w:vAlign w:val="center"/>
          </w:tcPr>
          <w:p>
            <w:pPr>
              <w:jc w:val="center"/>
              <w:rPr>
                <w:snapToGrid w:val="0"/>
                <w:kern w:val="21"/>
                <w:sz w:val="21"/>
                <w:szCs w:val="21"/>
              </w:rPr>
            </w:pPr>
            <w:r>
              <w:rPr>
                <w:snapToGrid w:val="0"/>
                <w:kern w:val="21"/>
                <w:sz w:val="21"/>
                <w:szCs w:val="21"/>
              </w:rPr>
              <w:t>0</w:t>
            </w:r>
          </w:p>
        </w:tc>
        <w:tc>
          <w:tcPr>
            <w:tcW w:w="450" w:type="pct"/>
            <w:vAlign w:val="center"/>
          </w:tcPr>
          <w:p>
            <w:pPr>
              <w:jc w:val="center"/>
              <w:rPr>
                <w:snapToGrid w:val="0"/>
                <w:kern w:val="21"/>
                <w:sz w:val="21"/>
                <w:szCs w:val="21"/>
              </w:rPr>
            </w:pPr>
            <w:r>
              <w:rPr>
                <w:snapToGrid w:val="0"/>
                <w:kern w:val="21"/>
                <w:sz w:val="21"/>
                <w:szCs w:val="21"/>
              </w:rPr>
              <w:t>0</w:t>
            </w:r>
          </w:p>
        </w:tc>
        <w:tc>
          <w:tcPr>
            <w:tcW w:w="605" w:type="pct"/>
            <w:vAlign w:val="center"/>
          </w:tcPr>
          <w:p>
            <w:pPr>
              <w:jc w:val="center"/>
              <w:rPr>
                <w:snapToGrid w:val="0"/>
                <w:kern w:val="21"/>
                <w:sz w:val="21"/>
                <w:szCs w:val="21"/>
              </w:rPr>
            </w:pPr>
            <w:r>
              <w:rPr>
                <w:snapToGrid w:val="0"/>
                <w:kern w:val="21"/>
                <w:sz w:val="21"/>
                <w:szCs w:val="21"/>
              </w:rPr>
              <w:t>0</w:t>
            </w:r>
          </w:p>
        </w:tc>
        <w:tc>
          <w:tcPr>
            <w:tcW w:w="553" w:type="pct"/>
            <w:vAlign w:val="center"/>
          </w:tcPr>
          <w:p>
            <w:pPr>
              <w:adjustRightInd w:val="0"/>
              <w:snapToGrid w:val="0"/>
              <w:spacing w:line="240" w:lineRule="auto"/>
              <w:jc w:val="center"/>
              <w:rPr>
                <w:snapToGrid w:val="0"/>
                <w:kern w:val="21"/>
                <w:sz w:val="21"/>
                <w:szCs w:val="21"/>
              </w:rPr>
            </w:pPr>
            <w:r>
              <w:rPr>
                <w:rFonts w:hint="eastAsia"/>
                <w:sz w:val="21"/>
                <w:szCs w:val="21"/>
                <w:lang w:val="en-US" w:eastAsia="zh-CN"/>
              </w:rPr>
              <w:t>1.5</w:t>
            </w:r>
            <w:r>
              <w:rPr>
                <w:rFonts w:hint="eastAsia"/>
                <w:sz w:val="21"/>
                <w:szCs w:val="21"/>
              </w:rPr>
              <w:t>t</w:t>
            </w:r>
            <w:r>
              <w:rPr>
                <w:snapToGrid w:val="0"/>
                <w:kern w:val="21"/>
                <w:sz w:val="21"/>
                <w:szCs w:val="21"/>
              </w:rPr>
              <w:t>/a</w:t>
            </w:r>
          </w:p>
        </w:tc>
        <w:tc>
          <w:tcPr>
            <w:tcW w:w="627" w:type="pct"/>
            <w:vAlign w:val="center"/>
          </w:tcPr>
          <w:p>
            <w:pPr>
              <w:adjustRightInd w:val="0"/>
              <w:snapToGrid w:val="0"/>
              <w:spacing w:line="240" w:lineRule="auto"/>
              <w:jc w:val="center"/>
              <w:rPr>
                <w:snapToGrid w:val="0"/>
                <w:kern w:val="21"/>
                <w:sz w:val="21"/>
                <w:szCs w:val="21"/>
              </w:rPr>
            </w:pPr>
            <w:r>
              <w:rPr>
                <w:snapToGrid w:val="0"/>
                <w:kern w:val="21"/>
                <w:sz w:val="21"/>
                <w:szCs w:val="21"/>
              </w:rPr>
              <w:t>0</w:t>
            </w:r>
          </w:p>
        </w:tc>
        <w:tc>
          <w:tcPr>
            <w:tcW w:w="698" w:type="pct"/>
            <w:vAlign w:val="center"/>
          </w:tcPr>
          <w:p>
            <w:pPr>
              <w:adjustRightInd w:val="0"/>
              <w:snapToGrid w:val="0"/>
              <w:spacing w:line="240" w:lineRule="auto"/>
              <w:jc w:val="center"/>
              <w:rPr>
                <w:snapToGrid w:val="0"/>
                <w:kern w:val="21"/>
                <w:sz w:val="21"/>
                <w:szCs w:val="21"/>
              </w:rPr>
            </w:pPr>
            <w:r>
              <w:rPr>
                <w:rFonts w:hint="eastAsia"/>
                <w:sz w:val="21"/>
                <w:szCs w:val="21"/>
                <w:lang w:val="en-US" w:eastAsia="zh-CN"/>
              </w:rPr>
              <w:t>1.5</w:t>
            </w:r>
            <w:r>
              <w:rPr>
                <w:snapToGrid w:val="0"/>
                <w:kern w:val="21"/>
                <w:sz w:val="21"/>
                <w:szCs w:val="21"/>
              </w:rPr>
              <w:t>t/a</w:t>
            </w:r>
          </w:p>
        </w:tc>
        <w:tc>
          <w:tcPr>
            <w:tcW w:w="395" w:type="pct"/>
            <w:vAlign w:val="center"/>
          </w:tcPr>
          <w:p>
            <w:pPr>
              <w:adjustRightInd w:val="0"/>
              <w:snapToGrid w:val="0"/>
              <w:spacing w:line="240" w:lineRule="auto"/>
              <w:jc w:val="center"/>
              <w:rPr>
                <w:snapToGrid w:val="0"/>
                <w:kern w:val="21"/>
                <w:sz w:val="21"/>
                <w:szCs w:val="21"/>
              </w:rPr>
            </w:pPr>
            <w:r>
              <w:rPr>
                <w:rFonts w:hint="eastAsia"/>
                <w:sz w:val="21"/>
                <w:szCs w:val="21"/>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62" w:type="pct"/>
            <w:vAlign w:val="center"/>
          </w:tcPr>
          <w:p>
            <w:pPr>
              <w:adjustRightInd w:val="0"/>
              <w:snapToGrid w:val="0"/>
              <w:spacing w:line="240" w:lineRule="auto"/>
              <w:jc w:val="center"/>
              <w:rPr>
                <w:snapToGrid w:val="0"/>
                <w:kern w:val="21"/>
                <w:sz w:val="21"/>
                <w:szCs w:val="21"/>
              </w:rPr>
            </w:pPr>
            <w:r>
              <w:rPr>
                <w:snapToGrid w:val="0"/>
                <w:kern w:val="21"/>
                <w:sz w:val="21"/>
                <w:szCs w:val="21"/>
              </w:rPr>
              <w:t>危险废物</w:t>
            </w:r>
          </w:p>
        </w:tc>
        <w:tc>
          <w:tcPr>
            <w:tcW w:w="501" w:type="pct"/>
            <w:vAlign w:val="center"/>
          </w:tcPr>
          <w:p>
            <w:pPr>
              <w:adjustRightInd w:val="0"/>
              <w:snapToGrid w:val="0"/>
              <w:spacing w:line="240" w:lineRule="auto"/>
              <w:jc w:val="center"/>
              <w:rPr>
                <w:rFonts w:hint="eastAsia" w:eastAsia="宋体"/>
                <w:snapToGrid w:val="0"/>
                <w:kern w:val="21"/>
                <w:sz w:val="21"/>
                <w:szCs w:val="21"/>
                <w:lang w:eastAsia="zh-CN"/>
              </w:rPr>
            </w:pPr>
            <w:r>
              <w:rPr>
                <w:snapToGrid w:val="0"/>
                <w:kern w:val="21"/>
                <w:sz w:val="21"/>
                <w:szCs w:val="21"/>
              </w:rPr>
              <w:t>废机油</w:t>
            </w:r>
            <w:r>
              <w:rPr>
                <w:rFonts w:hint="eastAsia"/>
                <w:snapToGrid w:val="0"/>
                <w:kern w:val="21"/>
                <w:sz w:val="21"/>
                <w:szCs w:val="21"/>
                <w:lang w:eastAsia="zh-CN"/>
              </w:rPr>
              <w:t>、废润滑油、废含油抹布</w:t>
            </w:r>
          </w:p>
        </w:tc>
        <w:tc>
          <w:tcPr>
            <w:tcW w:w="605" w:type="pct"/>
            <w:vAlign w:val="center"/>
          </w:tcPr>
          <w:p>
            <w:pPr>
              <w:jc w:val="center"/>
            </w:pPr>
            <w:r>
              <w:rPr>
                <w:snapToGrid w:val="0"/>
                <w:kern w:val="21"/>
                <w:sz w:val="21"/>
                <w:szCs w:val="21"/>
              </w:rPr>
              <w:t>0</w:t>
            </w:r>
          </w:p>
        </w:tc>
        <w:tc>
          <w:tcPr>
            <w:tcW w:w="450" w:type="pct"/>
            <w:vAlign w:val="center"/>
          </w:tcPr>
          <w:p>
            <w:pPr>
              <w:jc w:val="center"/>
            </w:pPr>
            <w:r>
              <w:rPr>
                <w:snapToGrid w:val="0"/>
                <w:kern w:val="21"/>
                <w:sz w:val="21"/>
                <w:szCs w:val="21"/>
              </w:rPr>
              <w:t>0</w:t>
            </w:r>
          </w:p>
        </w:tc>
        <w:tc>
          <w:tcPr>
            <w:tcW w:w="605" w:type="pct"/>
            <w:vAlign w:val="center"/>
          </w:tcPr>
          <w:p>
            <w:pPr>
              <w:jc w:val="center"/>
            </w:pPr>
            <w:r>
              <w:rPr>
                <w:snapToGrid w:val="0"/>
                <w:kern w:val="21"/>
                <w:sz w:val="21"/>
                <w:szCs w:val="21"/>
              </w:rPr>
              <w:t>0</w:t>
            </w:r>
          </w:p>
        </w:tc>
        <w:tc>
          <w:tcPr>
            <w:tcW w:w="553" w:type="pct"/>
            <w:vAlign w:val="center"/>
          </w:tcPr>
          <w:p>
            <w:pPr>
              <w:adjustRightInd w:val="0"/>
              <w:snapToGrid w:val="0"/>
              <w:spacing w:line="240" w:lineRule="auto"/>
              <w:jc w:val="center"/>
              <w:rPr>
                <w:snapToGrid w:val="0"/>
                <w:kern w:val="21"/>
                <w:sz w:val="21"/>
                <w:szCs w:val="21"/>
              </w:rPr>
            </w:pPr>
            <w:r>
              <w:rPr>
                <w:snapToGrid w:val="0"/>
                <w:kern w:val="21"/>
                <w:sz w:val="21"/>
                <w:szCs w:val="21"/>
              </w:rPr>
              <w:t xml:space="preserve">0.2 t/a </w:t>
            </w:r>
          </w:p>
        </w:tc>
        <w:tc>
          <w:tcPr>
            <w:tcW w:w="627" w:type="pct"/>
            <w:vAlign w:val="center"/>
          </w:tcPr>
          <w:p>
            <w:pPr>
              <w:adjustRightInd w:val="0"/>
              <w:snapToGrid w:val="0"/>
              <w:spacing w:line="240" w:lineRule="auto"/>
              <w:jc w:val="center"/>
              <w:rPr>
                <w:snapToGrid w:val="0"/>
                <w:kern w:val="21"/>
                <w:sz w:val="21"/>
                <w:szCs w:val="21"/>
              </w:rPr>
            </w:pPr>
            <w:r>
              <w:rPr>
                <w:snapToGrid w:val="0"/>
                <w:kern w:val="21"/>
                <w:sz w:val="21"/>
                <w:szCs w:val="21"/>
              </w:rPr>
              <w:t>0</w:t>
            </w:r>
          </w:p>
        </w:tc>
        <w:tc>
          <w:tcPr>
            <w:tcW w:w="698" w:type="pct"/>
            <w:vAlign w:val="center"/>
          </w:tcPr>
          <w:p>
            <w:pPr>
              <w:adjustRightInd w:val="0"/>
              <w:snapToGrid w:val="0"/>
              <w:spacing w:line="240" w:lineRule="auto"/>
              <w:jc w:val="center"/>
              <w:rPr>
                <w:snapToGrid w:val="0"/>
                <w:kern w:val="21"/>
                <w:sz w:val="21"/>
                <w:szCs w:val="21"/>
              </w:rPr>
            </w:pPr>
            <w:r>
              <w:rPr>
                <w:snapToGrid w:val="0"/>
                <w:kern w:val="21"/>
                <w:sz w:val="21"/>
                <w:szCs w:val="21"/>
              </w:rPr>
              <w:t xml:space="preserve">0.2t/a </w:t>
            </w:r>
          </w:p>
        </w:tc>
        <w:tc>
          <w:tcPr>
            <w:tcW w:w="395" w:type="pct"/>
            <w:vAlign w:val="center"/>
          </w:tcPr>
          <w:p>
            <w:pPr>
              <w:adjustRightInd w:val="0"/>
              <w:snapToGrid w:val="0"/>
              <w:spacing w:line="240" w:lineRule="auto"/>
              <w:jc w:val="center"/>
              <w:rPr>
                <w:snapToGrid w:val="0"/>
                <w:kern w:val="21"/>
                <w:sz w:val="21"/>
                <w:szCs w:val="21"/>
              </w:rPr>
            </w:pPr>
            <w:r>
              <w:rPr>
                <w:snapToGrid w:val="0"/>
                <w:kern w:val="21"/>
                <w:sz w:val="21"/>
                <w:szCs w:val="21"/>
              </w:rPr>
              <w:t xml:space="preserve">0.2 </w:t>
            </w:r>
          </w:p>
        </w:tc>
      </w:tr>
    </w:tbl>
    <w:p>
      <w:pPr>
        <w:adjustRightInd w:val="0"/>
        <w:snapToGrid w:val="0"/>
        <w:spacing w:before="192" w:beforeLines="80" w:after="24" w:afterLines="10" w:line="259" w:lineRule="auto"/>
        <w:jc w:val="left"/>
        <w:rPr>
          <w:sz w:val="21"/>
        </w:rPr>
      </w:pPr>
      <w:r>
        <w:rPr>
          <w:snapToGrid w:val="0"/>
          <w:kern w:val="21"/>
          <w:sz w:val="21"/>
          <w:szCs w:val="21"/>
        </w:rPr>
        <w:t>注：</w:t>
      </w:r>
      <w:r>
        <w:rPr>
          <w:snapToGrid w:val="0"/>
          <w:spacing w:val="-16"/>
          <w:kern w:val="21"/>
          <w:sz w:val="21"/>
          <w:szCs w:val="21"/>
        </w:rPr>
        <w:fldChar w:fldCharType="begin"/>
      </w:r>
      <w:r>
        <w:rPr>
          <w:snapToGrid w:val="0"/>
          <w:spacing w:val="-16"/>
          <w:kern w:val="21"/>
          <w:sz w:val="21"/>
          <w:szCs w:val="21"/>
        </w:rPr>
        <w:instrText xml:space="preserve"> = 6 \* GB3 \* MERGEFORMAT </w:instrText>
      </w:r>
      <w:r>
        <w:rPr>
          <w:snapToGrid w:val="0"/>
          <w:spacing w:val="-16"/>
          <w:kern w:val="21"/>
          <w:sz w:val="21"/>
          <w:szCs w:val="21"/>
        </w:rPr>
        <w:fldChar w:fldCharType="separate"/>
      </w:r>
      <w:r>
        <w:rPr>
          <w:kern w:val="0"/>
          <w:sz w:val="21"/>
          <w:szCs w:val="21"/>
        </w:rPr>
        <w:t>⑥</w:t>
      </w:r>
      <w:r>
        <w:rPr>
          <w:snapToGrid w:val="0"/>
          <w:spacing w:val="-16"/>
          <w:kern w:val="21"/>
          <w:sz w:val="21"/>
          <w:szCs w:val="21"/>
        </w:rPr>
        <w:fldChar w:fldCharType="end"/>
      </w:r>
      <w:r>
        <w:rPr>
          <w:snapToGrid w:val="0"/>
          <w:spacing w:val="-16"/>
          <w:kern w:val="21"/>
          <w:sz w:val="21"/>
          <w:szCs w:val="21"/>
        </w:rPr>
        <w:t>=</w:t>
      </w:r>
      <w:r>
        <w:rPr>
          <w:snapToGrid w:val="0"/>
          <w:spacing w:val="-6"/>
          <w:kern w:val="21"/>
          <w:sz w:val="21"/>
          <w:szCs w:val="21"/>
        </w:rPr>
        <w:fldChar w:fldCharType="begin"/>
      </w:r>
      <w:r>
        <w:rPr>
          <w:snapToGrid w:val="0"/>
          <w:spacing w:val="-6"/>
          <w:kern w:val="21"/>
          <w:sz w:val="21"/>
          <w:szCs w:val="21"/>
        </w:rPr>
        <w:instrText xml:space="preserve"> = 1 \* GB3 \* MERGEFORMAT </w:instrText>
      </w:r>
      <w:r>
        <w:rPr>
          <w:snapToGrid w:val="0"/>
          <w:spacing w:val="-6"/>
          <w:kern w:val="21"/>
          <w:sz w:val="21"/>
          <w:szCs w:val="21"/>
        </w:rPr>
        <w:fldChar w:fldCharType="separate"/>
      </w:r>
      <w:r>
        <w:rPr>
          <w:kern w:val="0"/>
          <w:sz w:val="21"/>
          <w:szCs w:val="21"/>
        </w:rPr>
        <w:t>①</w:t>
      </w:r>
      <w:r>
        <w:rPr>
          <w:snapToGrid w:val="0"/>
          <w:spacing w:val="-6"/>
          <w:kern w:val="21"/>
          <w:sz w:val="21"/>
          <w:szCs w:val="21"/>
        </w:rPr>
        <w:fldChar w:fldCharType="end"/>
      </w:r>
      <w:r>
        <w:rPr>
          <w:snapToGrid w:val="0"/>
          <w:spacing w:val="-6"/>
          <w:kern w:val="21"/>
          <w:sz w:val="21"/>
          <w:szCs w:val="21"/>
        </w:rPr>
        <w:t>+</w:t>
      </w:r>
      <w:r>
        <w:rPr>
          <w:snapToGrid w:val="0"/>
          <w:spacing w:val="-6"/>
          <w:kern w:val="21"/>
          <w:sz w:val="21"/>
          <w:szCs w:val="21"/>
        </w:rPr>
        <w:fldChar w:fldCharType="begin"/>
      </w:r>
      <w:r>
        <w:rPr>
          <w:snapToGrid w:val="0"/>
          <w:spacing w:val="-6"/>
          <w:kern w:val="21"/>
          <w:sz w:val="21"/>
          <w:szCs w:val="21"/>
        </w:rPr>
        <w:instrText xml:space="preserve"> = 3 \* GB3 \* MERGEFORMAT </w:instrText>
      </w:r>
      <w:r>
        <w:rPr>
          <w:snapToGrid w:val="0"/>
          <w:spacing w:val="-6"/>
          <w:kern w:val="21"/>
          <w:sz w:val="21"/>
          <w:szCs w:val="21"/>
        </w:rPr>
        <w:fldChar w:fldCharType="separate"/>
      </w:r>
      <w:r>
        <w:rPr>
          <w:kern w:val="0"/>
          <w:sz w:val="21"/>
          <w:szCs w:val="21"/>
        </w:rPr>
        <w:t>③</w:t>
      </w:r>
      <w:r>
        <w:rPr>
          <w:snapToGrid w:val="0"/>
          <w:spacing w:val="-6"/>
          <w:kern w:val="21"/>
          <w:sz w:val="21"/>
          <w:szCs w:val="21"/>
        </w:rPr>
        <w:fldChar w:fldCharType="end"/>
      </w:r>
      <w:r>
        <w:rPr>
          <w:snapToGrid w:val="0"/>
          <w:spacing w:val="-6"/>
          <w:kern w:val="21"/>
          <w:sz w:val="21"/>
          <w:szCs w:val="21"/>
        </w:rPr>
        <w:t>+</w:t>
      </w:r>
      <w:r>
        <w:rPr>
          <w:snapToGrid w:val="0"/>
          <w:spacing w:val="-6"/>
          <w:kern w:val="21"/>
          <w:sz w:val="21"/>
          <w:szCs w:val="21"/>
        </w:rPr>
        <w:fldChar w:fldCharType="begin"/>
      </w:r>
      <w:r>
        <w:rPr>
          <w:snapToGrid w:val="0"/>
          <w:spacing w:val="-6"/>
          <w:kern w:val="21"/>
          <w:sz w:val="21"/>
          <w:szCs w:val="21"/>
        </w:rPr>
        <w:instrText xml:space="preserve"> = 4 \* GB3 \* MERGEFORMAT </w:instrText>
      </w:r>
      <w:r>
        <w:rPr>
          <w:snapToGrid w:val="0"/>
          <w:spacing w:val="-6"/>
          <w:kern w:val="21"/>
          <w:sz w:val="21"/>
          <w:szCs w:val="21"/>
        </w:rPr>
        <w:fldChar w:fldCharType="separate"/>
      </w:r>
      <w:r>
        <w:rPr>
          <w:kern w:val="0"/>
          <w:sz w:val="21"/>
          <w:szCs w:val="21"/>
        </w:rPr>
        <w:t>④</w:t>
      </w:r>
      <w:r>
        <w:rPr>
          <w:snapToGrid w:val="0"/>
          <w:spacing w:val="-6"/>
          <w:kern w:val="21"/>
          <w:sz w:val="21"/>
          <w:szCs w:val="21"/>
        </w:rPr>
        <w:fldChar w:fldCharType="end"/>
      </w:r>
      <w:r>
        <w:rPr>
          <w:snapToGrid w:val="0"/>
          <w:spacing w:val="-6"/>
          <w:kern w:val="21"/>
          <w:sz w:val="21"/>
          <w:szCs w:val="21"/>
        </w:rPr>
        <w:t>-</w:t>
      </w:r>
      <w:r>
        <w:rPr>
          <w:snapToGrid w:val="0"/>
          <w:spacing w:val="-16"/>
          <w:kern w:val="21"/>
          <w:sz w:val="21"/>
          <w:szCs w:val="21"/>
        </w:rPr>
        <w:fldChar w:fldCharType="begin"/>
      </w:r>
      <w:r>
        <w:rPr>
          <w:snapToGrid w:val="0"/>
          <w:spacing w:val="-16"/>
          <w:kern w:val="21"/>
          <w:sz w:val="21"/>
          <w:szCs w:val="21"/>
        </w:rPr>
        <w:instrText xml:space="preserve"> = 5 \* GB3 \* MERGEFORMAT </w:instrText>
      </w:r>
      <w:r>
        <w:rPr>
          <w:snapToGrid w:val="0"/>
          <w:spacing w:val="-16"/>
          <w:kern w:val="21"/>
          <w:sz w:val="21"/>
          <w:szCs w:val="21"/>
        </w:rPr>
        <w:fldChar w:fldCharType="separate"/>
      </w:r>
      <w:r>
        <w:rPr>
          <w:kern w:val="0"/>
          <w:sz w:val="21"/>
          <w:szCs w:val="21"/>
        </w:rPr>
        <w:t>⑤</w:t>
      </w:r>
      <w:r>
        <w:rPr>
          <w:snapToGrid w:val="0"/>
          <w:spacing w:val="-16"/>
          <w:kern w:val="21"/>
          <w:sz w:val="21"/>
          <w:szCs w:val="21"/>
        </w:rPr>
        <w:fldChar w:fldCharType="end"/>
      </w:r>
      <w:r>
        <w:rPr>
          <w:snapToGrid w:val="0"/>
          <w:spacing w:val="-16"/>
          <w:kern w:val="21"/>
          <w:sz w:val="21"/>
          <w:szCs w:val="21"/>
        </w:rPr>
        <w:t>；</w:t>
      </w:r>
      <w:r>
        <w:rPr>
          <w:snapToGrid w:val="0"/>
          <w:spacing w:val="-6"/>
          <w:kern w:val="21"/>
          <w:sz w:val="21"/>
          <w:szCs w:val="21"/>
        </w:rPr>
        <w:fldChar w:fldCharType="begin"/>
      </w:r>
      <w:r>
        <w:rPr>
          <w:snapToGrid w:val="0"/>
          <w:spacing w:val="-6"/>
          <w:kern w:val="21"/>
          <w:sz w:val="21"/>
          <w:szCs w:val="21"/>
        </w:rPr>
        <w:instrText xml:space="preserve"> = 7 \* GB3 \* MERGEFORMAT </w:instrText>
      </w:r>
      <w:r>
        <w:rPr>
          <w:snapToGrid w:val="0"/>
          <w:spacing w:val="-6"/>
          <w:kern w:val="21"/>
          <w:sz w:val="21"/>
          <w:szCs w:val="21"/>
        </w:rPr>
        <w:fldChar w:fldCharType="separate"/>
      </w:r>
      <w:r>
        <w:rPr>
          <w:kern w:val="0"/>
          <w:sz w:val="21"/>
          <w:szCs w:val="21"/>
        </w:rPr>
        <w:t>⑦</w:t>
      </w:r>
      <w:r>
        <w:rPr>
          <w:snapToGrid w:val="0"/>
          <w:spacing w:val="-6"/>
          <w:kern w:val="21"/>
          <w:sz w:val="21"/>
          <w:szCs w:val="21"/>
        </w:rPr>
        <w:fldChar w:fldCharType="end"/>
      </w:r>
      <w:r>
        <w:rPr>
          <w:snapToGrid w:val="0"/>
          <w:spacing w:val="-6"/>
          <w:kern w:val="21"/>
          <w:sz w:val="21"/>
          <w:szCs w:val="21"/>
        </w:rPr>
        <w:t>=</w:t>
      </w:r>
      <w:r>
        <w:rPr>
          <w:snapToGrid w:val="0"/>
          <w:spacing w:val="-16"/>
          <w:kern w:val="21"/>
          <w:sz w:val="21"/>
          <w:szCs w:val="21"/>
        </w:rPr>
        <w:fldChar w:fldCharType="begin"/>
      </w:r>
      <w:r>
        <w:rPr>
          <w:snapToGrid w:val="0"/>
          <w:spacing w:val="-16"/>
          <w:kern w:val="21"/>
          <w:sz w:val="21"/>
          <w:szCs w:val="21"/>
        </w:rPr>
        <w:instrText xml:space="preserve"> = 6 \* GB3 \* MERGEFORMAT </w:instrText>
      </w:r>
      <w:r>
        <w:rPr>
          <w:snapToGrid w:val="0"/>
          <w:spacing w:val="-16"/>
          <w:kern w:val="21"/>
          <w:sz w:val="21"/>
          <w:szCs w:val="21"/>
        </w:rPr>
        <w:fldChar w:fldCharType="separate"/>
      </w:r>
      <w:r>
        <w:rPr>
          <w:kern w:val="0"/>
          <w:sz w:val="21"/>
          <w:szCs w:val="21"/>
        </w:rPr>
        <w:t>⑥</w:t>
      </w:r>
      <w:r>
        <w:rPr>
          <w:snapToGrid w:val="0"/>
          <w:spacing w:val="-16"/>
          <w:kern w:val="21"/>
          <w:sz w:val="21"/>
          <w:szCs w:val="21"/>
        </w:rPr>
        <w:fldChar w:fldCharType="end"/>
      </w:r>
      <w:r>
        <w:rPr>
          <w:snapToGrid w:val="0"/>
          <w:spacing w:val="-16"/>
          <w:kern w:val="21"/>
          <w:sz w:val="21"/>
          <w:szCs w:val="21"/>
        </w:rPr>
        <w:t>-</w:t>
      </w:r>
      <w:r>
        <w:rPr>
          <w:snapToGrid w:val="0"/>
          <w:spacing w:val="-6"/>
          <w:kern w:val="21"/>
          <w:sz w:val="21"/>
          <w:szCs w:val="21"/>
        </w:rPr>
        <w:fldChar w:fldCharType="begin"/>
      </w:r>
      <w:r>
        <w:rPr>
          <w:snapToGrid w:val="0"/>
          <w:spacing w:val="-6"/>
          <w:kern w:val="21"/>
          <w:sz w:val="21"/>
          <w:szCs w:val="21"/>
        </w:rPr>
        <w:instrText xml:space="preserve"> = 1 \* GB3 \* MERGEFORMAT </w:instrText>
      </w:r>
      <w:r>
        <w:rPr>
          <w:snapToGrid w:val="0"/>
          <w:spacing w:val="-6"/>
          <w:kern w:val="21"/>
          <w:sz w:val="21"/>
          <w:szCs w:val="21"/>
        </w:rPr>
        <w:fldChar w:fldCharType="separate"/>
      </w:r>
      <w:r>
        <w:rPr>
          <w:kern w:val="0"/>
          <w:sz w:val="21"/>
          <w:szCs w:val="21"/>
        </w:rPr>
        <w:t>①</w:t>
      </w:r>
      <w:r>
        <w:rPr>
          <w:snapToGrid w:val="0"/>
          <w:spacing w:val="-6"/>
          <w:kern w:val="21"/>
          <w:sz w:val="21"/>
          <w:szCs w:val="21"/>
        </w:rPr>
        <w:fldChar w:fldCharType="end"/>
      </w:r>
    </w:p>
    <w:p/>
    <w:p/>
    <w:sectPr>
      <w:footerReference r:id="rId9" w:type="default"/>
      <w:headerReference r:id="rId8" w:type="even"/>
      <w:footerReference r:id="rId10" w:type="even"/>
      <w:pgSz w:w="16838" w:h="11906" w:orient="landscape"/>
      <w:pgMar w:top="1474" w:right="1440" w:bottom="1474" w:left="1440" w:header="851" w:footer="992" w:gutter="0"/>
      <w:cols w:space="425"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方正宋体S-超大字符集(SIP)"/>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alibri Light">
    <w:altName w:val="DejaVu Sans"/>
    <w:panose1 w:val="020F0302020204030204"/>
    <w:charset w:val="00"/>
    <w:family w:val="swiss"/>
    <w:pitch w:val="default"/>
    <w:sig w:usb0="00000000" w:usb1="00000000" w:usb2="00000000" w:usb3="00000000" w:csb0="2000019F" w:csb1="00000000"/>
  </w:font>
  <w:font w:name="华文中宋">
    <w:altName w:val="汉仪中宋简"/>
    <w:panose1 w:val="02010600040101010101"/>
    <w:charset w:val="86"/>
    <w:family w:val="auto"/>
    <w:pitch w:val="default"/>
    <w:sig w:usb0="00000000" w:usb1="00000000" w:usb2="00000000" w:usb3="00000000" w:csb0="0004009F" w:csb1="DFD70000"/>
  </w:font>
  <w:font w:name="Arial Unicode MS">
    <w:altName w:val="DejaVu Sans"/>
    <w:panose1 w:val="020B0604020202020204"/>
    <w:charset w:val="86"/>
    <w:family w:val="swiss"/>
    <w:pitch w:val="default"/>
    <w:sig w:usb0="00000000" w:usb1="00000000" w:usb2="0000003F" w:usb3="00000000" w:csb0="603F01FF" w:csb1="FFFF0000"/>
  </w:font>
  <w:font w:name="华文仿宋">
    <w:panose1 w:val="02010600040101010101"/>
    <w:charset w:val="86"/>
    <w:family w:val="auto"/>
    <w:pitch w:val="default"/>
    <w:sig w:usb0="00000287" w:usb1="080F0000" w:usb2="00000000" w:usb3="00000000" w:csb0="0004009F" w:csb1="DFD70000"/>
  </w:font>
  <w:font w:name="仿宋_GB2312">
    <w:altName w:val="方正仿宋_GBK"/>
    <w:panose1 w:val="02010609030101010101"/>
    <w:charset w:val="86"/>
    <w:family w:val="modern"/>
    <w:pitch w:val="default"/>
    <w:sig w:usb0="00000000" w:usb1="00000000" w:usb2="00000000" w:usb3="00000000" w:csb0="00040000" w:csb1="00000000"/>
  </w:font>
  <w:font w:name="Helvetica">
    <w:altName w:val="C059"/>
    <w:panose1 w:val="00000000000000000000"/>
    <w:charset w:val="00"/>
    <w:family w:val="auto"/>
    <w:pitch w:val="default"/>
    <w:sig w:usb0="00000000" w:usb1="00000000" w:usb2="00000000" w:usb3="00000000" w:csb0="00000000" w:csb1="00000000"/>
  </w:font>
  <w:font w:name="Wingdings 2">
    <w:altName w:val="方正宋体S-超大字符集(SIP)"/>
    <w:panose1 w:val="05020102010507070707"/>
    <w:charset w:val="02"/>
    <w:family w:val="roman"/>
    <w:pitch w:val="default"/>
    <w:sig w:usb0="00000000" w:usb1="00000000" w:usb2="00000000" w:usb3="00000000" w:csb0="8000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C059">
    <w:panose1 w:val="00000500000000000000"/>
    <w:charset w:val="00"/>
    <w:family w:val="auto"/>
    <w:pitch w:val="default"/>
    <w:sig w:usb0="00000287" w:usb1="00000800" w:usb2="00000000" w:usb3="00000000" w:csb0="6000009F" w:csb1="00000000"/>
  </w:font>
  <w:font w:name="方正宋体S-超大字符集">
    <w:panose1 w:val="02000000000000000000"/>
    <w:charset w:val="86"/>
    <w:family w:val="auto"/>
    <w:pitch w:val="default"/>
    <w:sig w:usb0="00000001" w:usb1="08000000" w:usb2="00000000" w:usb3="00000000" w:csb0="00040000" w:csb1="00000000"/>
  </w:font>
  <w:font w:name="方正宋体S-超大字符集(SIP)">
    <w:panose1 w:val="03000509000000000000"/>
    <w:charset w:val="86"/>
    <w:family w:val="auto"/>
    <w:pitch w:val="default"/>
    <w:sig w:usb0="00000003" w:usb1="0A0E0800" w:usb2="00000006" w:usb3="00000000" w:csb0="00040001" w:csb1="00000000"/>
  </w:font>
  <w:font w:name="Noto Sans Symbols2">
    <w:panose1 w:val="020B0502040504020204"/>
    <w:charset w:val="00"/>
    <w:family w:val="auto"/>
    <w:pitch w:val="default"/>
    <w:sig w:usb0="80000003" w:usb1="0200E3E4" w:usb2="00040020" w:usb3="0580A048"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pPr>
          <w:pStyle w:val="15"/>
          <w:ind w:firstLine="210"/>
          <w:jc w:val="center"/>
        </w:pPr>
        <w:r>
          <w:fldChar w:fldCharType="begin"/>
        </w:r>
        <w:r>
          <w:instrText xml:space="preserve">PAGE   \* MERGEFORMAT</w:instrText>
        </w:r>
        <w:r>
          <w:fldChar w:fldCharType="separate"/>
        </w:r>
        <w:r>
          <w:rPr>
            <w:lang w:val="zh-CN"/>
          </w:rPr>
          <w:t>18</w:t>
        </w:r>
        <w:r>
          <w:fldChar w:fldCharType="end"/>
        </w:r>
      </w:p>
    </w:sdtContent>
  </w:sdt>
  <w:p>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83684395"/>
    </w:sdtPr>
    <w:sdtContent>
      <w:p>
        <w:pPr>
          <w:pStyle w:val="15"/>
          <w:ind w:firstLine="210"/>
          <w:jc w:val="center"/>
        </w:pPr>
        <w:r>
          <w:fldChar w:fldCharType="begin"/>
        </w:r>
        <w:r>
          <w:instrText xml:space="preserve">PAGE   \* MERGEFORMAT</w:instrText>
        </w:r>
        <w:r>
          <w:fldChar w:fldCharType="separate"/>
        </w:r>
        <w:r>
          <w:rPr>
            <w:lang w:val="zh-CN"/>
          </w:rPr>
          <w:t>19</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30764159"/>
    </w:sdtPr>
    <w:sdtContent>
      <w:p>
        <w:pPr>
          <w:pStyle w:val="15"/>
          <w:ind w:firstLine="180"/>
          <w:jc w:val="center"/>
        </w:pPr>
        <w:r>
          <w:fldChar w:fldCharType="begin"/>
        </w:r>
        <w:r>
          <w:instrText xml:space="preserve">PAGE   \* MERGEFORMAT</w:instrText>
        </w:r>
        <w:r>
          <w:fldChar w:fldCharType="separate"/>
        </w:r>
        <w:r>
          <w:rPr>
            <w:lang w:val="zh-CN"/>
          </w:rPr>
          <w:t>60</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pPr>
          <w:pStyle w:val="15"/>
          <w:ind w:firstLine="210"/>
          <w:jc w:val="center"/>
        </w:pPr>
        <w:r>
          <w:fldChar w:fldCharType="begin"/>
        </w:r>
        <w:r>
          <w:instrText xml:space="preserve">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1"/>
      </w:rPr>
    </w:pPr>
    <w:r>
      <w:rPr>
        <w:rFonts w:hint="eastAsia"/>
        <w:sz w:val="21"/>
      </w:rPr>
      <w:t>怀化市城区太极溪南路道路工程项目环境影响报告表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F97D77"/>
    <w:multiLevelType w:val="singleLevel"/>
    <w:tmpl w:val="8CF97D77"/>
    <w:lvl w:ilvl="0" w:tentative="0">
      <w:start w:val="1"/>
      <w:numFmt w:val="decimal"/>
      <w:suff w:val="nothing"/>
      <w:lvlText w:val="%1、"/>
      <w:lvlJc w:val="left"/>
    </w:lvl>
  </w:abstractNum>
  <w:abstractNum w:abstractNumId="1">
    <w:nsid w:val="8F41B5B8"/>
    <w:multiLevelType w:val="singleLevel"/>
    <w:tmpl w:val="8F41B5B8"/>
    <w:lvl w:ilvl="0" w:tentative="0">
      <w:start w:val="1"/>
      <w:numFmt w:val="decimal"/>
      <w:suff w:val="nothing"/>
      <w:lvlText w:val="%1、"/>
      <w:lvlJc w:val="left"/>
    </w:lvl>
  </w:abstractNum>
  <w:abstractNum w:abstractNumId="2">
    <w:nsid w:val="DEC2CB34"/>
    <w:multiLevelType w:val="singleLevel"/>
    <w:tmpl w:val="DEC2CB34"/>
    <w:lvl w:ilvl="0" w:tentative="0">
      <w:start w:val="1"/>
      <w:numFmt w:val="decimal"/>
      <w:lvlText w:val="(%1)"/>
      <w:lvlJc w:val="left"/>
      <w:pPr>
        <w:ind w:left="845" w:hanging="425"/>
      </w:pPr>
      <w:rPr>
        <w:rFonts w:hint="default" w:ascii="Times New Roman" w:hAnsi="Times New Roman" w:eastAsia="宋体" w:cs="Times New Roman"/>
        <w:b w:val="0"/>
        <w:bCs w:val="0"/>
        <w:sz w:val="24"/>
        <w:szCs w:val="24"/>
        <w:u w:val="none"/>
      </w:rPr>
    </w:lvl>
  </w:abstractNum>
  <w:abstractNum w:abstractNumId="3">
    <w:nsid w:val="E963C6CD"/>
    <w:multiLevelType w:val="singleLevel"/>
    <w:tmpl w:val="E963C6CD"/>
    <w:lvl w:ilvl="0" w:tentative="0">
      <w:start w:val="1"/>
      <w:numFmt w:val="chineseCounting"/>
      <w:suff w:val="nothing"/>
      <w:lvlText w:val="%1、"/>
      <w:lvlJc w:val="left"/>
      <w:rPr>
        <w:rFonts w:hint="eastAsia"/>
      </w:rPr>
    </w:lvl>
  </w:abstractNum>
  <w:abstractNum w:abstractNumId="4">
    <w:nsid w:val="F60DBB7A"/>
    <w:multiLevelType w:val="singleLevel"/>
    <w:tmpl w:val="F60DBB7A"/>
    <w:lvl w:ilvl="0" w:tentative="0">
      <w:start w:val="4"/>
      <w:numFmt w:val="decimal"/>
      <w:suff w:val="nothing"/>
      <w:lvlText w:val="%1）"/>
      <w:lvlJc w:val="left"/>
    </w:lvl>
  </w:abstractNum>
  <w:abstractNum w:abstractNumId="5">
    <w:nsid w:val="113CC265"/>
    <w:multiLevelType w:val="singleLevel"/>
    <w:tmpl w:val="113CC265"/>
    <w:lvl w:ilvl="0" w:tentative="0">
      <w:start w:val="1"/>
      <w:numFmt w:val="chineseCounting"/>
      <w:suff w:val="nothing"/>
      <w:lvlText w:val="%1、"/>
      <w:lvlJc w:val="left"/>
      <w:rPr>
        <w:rFonts w:hint="eastAsia"/>
        <w:color w:val="auto"/>
      </w:rPr>
    </w:lvl>
  </w:abstractNum>
  <w:abstractNum w:abstractNumId="6">
    <w:nsid w:val="160D12BA"/>
    <w:multiLevelType w:val="multilevel"/>
    <w:tmpl w:val="160D12BA"/>
    <w:lvl w:ilvl="0" w:tentative="0">
      <w:start w:val="1"/>
      <w:numFmt w:val="decimal"/>
      <w:lvlText w:val="%1、"/>
      <w:lvlJc w:val="left"/>
      <w:pPr>
        <w:ind w:left="0" w:firstLine="0"/>
      </w:pPr>
      <w:rPr>
        <w:rFonts w:hint="eastAsia"/>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14:ligatures w14:val="none"/>
        <w14:numForm w14:val="default"/>
        <w14:numSpacing w14:val="default"/>
      </w:rPr>
    </w:lvl>
    <w:lvl w:ilvl="1" w:tentative="0">
      <w:start w:val="1"/>
      <w:numFmt w:val="decimal"/>
      <w:pStyle w:val="8"/>
      <w:lvlText w:val="%1.%2"/>
      <w:lvlJc w:val="left"/>
      <w:pPr>
        <w:ind w:left="708" w:hanging="425"/>
      </w:pPr>
      <w:rPr>
        <w:rFonts w:hint="eastAsia"/>
      </w:rPr>
    </w:lvl>
    <w:lvl w:ilvl="2" w:tentative="0">
      <w:start w:val="1"/>
      <w:numFmt w:val="decimal"/>
      <w:lvlText w:val="%1.%2.%3"/>
      <w:lvlJc w:val="left"/>
      <w:pPr>
        <w:ind w:left="425" w:hanging="198"/>
      </w:pPr>
      <w:rPr>
        <w:rFonts w:hint="eastAsia"/>
      </w:rPr>
    </w:lvl>
    <w:lvl w:ilvl="3" w:tentative="0">
      <w:start w:val="1"/>
      <w:numFmt w:val="decimal"/>
      <w:pStyle w:val="9"/>
      <w:lvlText w:val="%1.%2.%3.%4"/>
      <w:lvlJc w:val="left"/>
      <w:pPr>
        <w:tabs>
          <w:tab w:val="left" w:pos="454"/>
        </w:tabs>
        <w:ind w:left="425" w:firstLine="29"/>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
    <w:nsid w:val="662C76AE"/>
    <w:multiLevelType w:val="multilevel"/>
    <w:tmpl w:val="662C76AE"/>
    <w:lvl w:ilvl="0" w:tentative="0">
      <w:start w:val="1"/>
      <w:numFmt w:val="decimal"/>
      <w:lvlText w:val="%1、"/>
      <w:lvlJc w:val="left"/>
      <w:pPr>
        <w:ind w:left="840" w:hanging="420"/>
      </w:pPr>
      <w:rPr>
        <w:rFonts w:hint="default" w:ascii="Times New Roman" w:hAnsi="Times New Roman" w:eastAsia="宋体" w:cs="Times New Roman"/>
        <w:color w:val="auto"/>
        <w:sz w:val="24"/>
        <w:szCs w:val="24"/>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685B2F40"/>
    <w:multiLevelType w:val="multilevel"/>
    <w:tmpl w:val="685B2F40"/>
    <w:lvl w:ilvl="0" w:tentative="0">
      <w:start w:val="1"/>
      <w:numFmt w:val="decimal"/>
      <w:pStyle w:val="31"/>
      <w:lvlText w:val="%1、"/>
      <w:lvlJc w:val="left"/>
      <w:pPr>
        <w:ind w:left="3260" w:firstLine="0"/>
      </w:pPr>
      <w:rPr>
        <w:rFonts w:hint="eastAsia"/>
      </w:rPr>
    </w:lvl>
    <w:lvl w:ilvl="1" w:tentative="0">
      <w:start w:val="1"/>
      <w:numFmt w:val="decimal"/>
      <w:pStyle w:val="30"/>
      <w:lvlText w:val="%1.%2"/>
      <w:lvlJc w:val="left"/>
      <w:pPr>
        <w:ind w:left="709" w:hanging="425"/>
      </w:pPr>
      <w:rPr>
        <w:rFonts w:hint="eastAsia"/>
      </w:rPr>
    </w:lvl>
    <w:lvl w:ilvl="2" w:tentative="0">
      <w:start w:val="1"/>
      <w:numFmt w:val="decimal"/>
      <w:pStyle w:val="34"/>
      <w:lvlText w:val="%1.%2.%3"/>
      <w:lvlJc w:val="left"/>
      <w:pPr>
        <w:ind w:left="907" w:hanging="198"/>
      </w:pPr>
      <w:rPr>
        <w:rFonts w:hint="eastAsia"/>
      </w:rPr>
    </w:lvl>
    <w:lvl w:ilvl="3" w:tentative="0">
      <w:start w:val="1"/>
      <w:numFmt w:val="decimal"/>
      <w:pStyle w:val="40"/>
      <w:lvlText w:val="%1.%2.%3.%4"/>
      <w:lvlJc w:val="left"/>
      <w:pPr>
        <w:tabs>
          <w:tab w:val="left" w:pos="454"/>
        </w:tabs>
        <w:ind w:left="425" w:firstLine="29"/>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6"/>
  </w:num>
  <w:num w:numId="2">
    <w:abstractNumId w:val="8"/>
  </w:num>
  <w:num w:numId="3">
    <w:abstractNumId w:val="5"/>
  </w:num>
  <w:num w:numId="4">
    <w:abstractNumId w:val="0"/>
  </w:num>
  <w:num w:numId="5">
    <w:abstractNumId w:val="1"/>
  </w:num>
  <w:num w:numId="6">
    <w:abstractNumId w:val="3"/>
  </w:num>
  <w:num w:numId="7">
    <w:abstractNumId w:val="2"/>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NkOTQ4MDQzMGJkNTllMjRmNzk1MmQ1MDdhNjFhN2MifQ=="/>
  </w:docVars>
  <w:rsids>
    <w:rsidRoot w:val="7CEE3D88"/>
    <w:rsid w:val="00066A99"/>
    <w:rsid w:val="001B59B6"/>
    <w:rsid w:val="002968C4"/>
    <w:rsid w:val="002C3AD1"/>
    <w:rsid w:val="002E7999"/>
    <w:rsid w:val="00442428"/>
    <w:rsid w:val="004439A5"/>
    <w:rsid w:val="00486941"/>
    <w:rsid w:val="004F52D0"/>
    <w:rsid w:val="006E41E0"/>
    <w:rsid w:val="00701178"/>
    <w:rsid w:val="0082422D"/>
    <w:rsid w:val="0083647C"/>
    <w:rsid w:val="0093191A"/>
    <w:rsid w:val="00A01236"/>
    <w:rsid w:val="00A043C3"/>
    <w:rsid w:val="00A34B59"/>
    <w:rsid w:val="00AA580E"/>
    <w:rsid w:val="00BD52BA"/>
    <w:rsid w:val="00C23883"/>
    <w:rsid w:val="00C94850"/>
    <w:rsid w:val="00CC63A1"/>
    <w:rsid w:val="00DC188A"/>
    <w:rsid w:val="00E37D59"/>
    <w:rsid w:val="00EE5334"/>
    <w:rsid w:val="021D64B1"/>
    <w:rsid w:val="02D677B2"/>
    <w:rsid w:val="05946D18"/>
    <w:rsid w:val="08E92ED7"/>
    <w:rsid w:val="0B381EF4"/>
    <w:rsid w:val="0B875DF5"/>
    <w:rsid w:val="0B927856"/>
    <w:rsid w:val="0C776A4C"/>
    <w:rsid w:val="0D9A0C44"/>
    <w:rsid w:val="0F62298A"/>
    <w:rsid w:val="114F7F97"/>
    <w:rsid w:val="138E2FF9"/>
    <w:rsid w:val="15CE592F"/>
    <w:rsid w:val="16BA2357"/>
    <w:rsid w:val="1C403A91"/>
    <w:rsid w:val="206A6B9C"/>
    <w:rsid w:val="252D3EFE"/>
    <w:rsid w:val="25441DA4"/>
    <w:rsid w:val="28101DD7"/>
    <w:rsid w:val="2C587138"/>
    <w:rsid w:val="2C5B55EB"/>
    <w:rsid w:val="2C5C383D"/>
    <w:rsid w:val="2C5D1440"/>
    <w:rsid w:val="2D883620"/>
    <w:rsid w:val="2E496F7F"/>
    <w:rsid w:val="2E660406"/>
    <w:rsid w:val="2E9C0DF8"/>
    <w:rsid w:val="2F036D03"/>
    <w:rsid w:val="30493E79"/>
    <w:rsid w:val="32E05D18"/>
    <w:rsid w:val="35867B7C"/>
    <w:rsid w:val="359B1601"/>
    <w:rsid w:val="35A0406B"/>
    <w:rsid w:val="35E16B84"/>
    <w:rsid w:val="38BC4FE8"/>
    <w:rsid w:val="38F03563"/>
    <w:rsid w:val="38F378FD"/>
    <w:rsid w:val="391C05B8"/>
    <w:rsid w:val="39DC7D6B"/>
    <w:rsid w:val="3A465B2C"/>
    <w:rsid w:val="3A5A0625"/>
    <w:rsid w:val="3B98733E"/>
    <w:rsid w:val="3BCF52E9"/>
    <w:rsid w:val="3CDD34E0"/>
    <w:rsid w:val="3E664890"/>
    <w:rsid w:val="40324B88"/>
    <w:rsid w:val="41585911"/>
    <w:rsid w:val="43655275"/>
    <w:rsid w:val="439873F8"/>
    <w:rsid w:val="43FB1735"/>
    <w:rsid w:val="45552286"/>
    <w:rsid w:val="47514692"/>
    <w:rsid w:val="4A8A55C1"/>
    <w:rsid w:val="4B775B45"/>
    <w:rsid w:val="4C727985"/>
    <w:rsid w:val="4EAA6883"/>
    <w:rsid w:val="4F455F5A"/>
    <w:rsid w:val="50DE6667"/>
    <w:rsid w:val="525C0D8D"/>
    <w:rsid w:val="53692E36"/>
    <w:rsid w:val="57627222"/>
    <w:rsid w:val="57A61D49"/>
    <w:rsid w:val="57D04F5B"/>
    <w:rsid w:val="5AC32B55"/>
    <w:rsid w:val="5B6722F0"/>
    <w:rsid w:val="5B791466"/>
    <w:rsid w:val="5C2470B1"/>
    <w:rsid w:val="5EE27322"/>
    <w:rsid w:val="5F38677E"/>
    <w:rsid w:val="60500E63"/>
    <w:rsid w:val="61376CD9"/>
    <w:rsid w:val="61F96E5C"/>
    <w:rsid w:val="62954DC9"/>
    <w:rsid w:val="64AB4279"/>
    <w:rsid w:val="65D25DAA"/>
    <w:rsid w:val="670E46A1"/>
    <w:rsid w:val="680C24FB"/>
    <w:rsid w:val="685F5C64"/>
    <w:rsid w:val="69DD5C88"/>
    <w:rsid w:val="6A503CD9"/>
    <w:rsid w:val="6AEC7152"/>
    <w:rsid w:val="6B1F11E2"/>
    <w:rsid w:val="6CA1081C"/>
    <w:rsid w:val="6CB87914"/>
    <w:rsid w:val="6DF225A0"/>
    <w:rsid w:val="6E2A65EF"/>
    <w:rsid w:val="6EE83364"/>
    <w:rsid w:val="6F176B74"/>
    <w:rsid w:val="6FE81652"/>
    <w:rsid w:val="707E6E0A"/>
    <w:rsid w:val="70D17615"/>
    <w:rsid w:val="71FC4976"/>
    <w:rsid w:val="72860352"/>
    <w:rsid w:val="734A702C"/>
    <w:rsid w:val="748B7914"/>
    <w:rsid w:val="75524DAA"/>
    <w:rsid w:val="76352DB9"/>
    <w:rsid w:val="76472434"/>
    <w:rsid w:val="772E53A2"/>
    <w:rsid w:val="77DC095A"/>
    <w:rsid w:val="7CEE3D88"/>
    <w:rsid w:val="7D60202E"/>
    <w:rsid w:val="7F25230A"/>
    <w:rsid w:val="7F5931D8"/>
    <w:rsid w:val="7F5B485B"/>
    <w:rsid w:val="F5FFA6E8"/>
    <w:rsid w:val="F7E298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4">
    <w:name w:val="heading 1"/>
    <w:basedOn w:val="1"/>
    <w:next w:val="1"/>
    <w:qFormat/>
    <w:uiPriority w:val="0"/>
    <w:pPr>
      <w:jc w:val="center"/>
      <w:outlineLvl w:val="0"/>
    </w:pPr>
    <w:rPr>
      <w:rFonts w:ascii="宋体" w:hAnsi="宋体"/>
      <w:bCs/>
      <w:snapToGrid w:val="0"/>
      <w:color w:val="000000"/>
      <w:kern w:val="44"/>
      <w:sz w:val="30"/>
      <w:szCs w:val="30"/>
    </w:rPr>
  </w:style>
  <w:style w:type="paragraph" w:styleId="5">
    <w:name w:val="heading 3"/>
    <w:basedOn w:val="1"/>
    <w:next w:val="1"/>
    <w:unhideWhenUsed/>
    <w:qFormat/>
    <w:uiPriority w:val="0"/>
    <w:pPr>
      <w:keepNext/>
      <w:keepLines/>
      <w:spacing w:before="260" w:after="260" w:line="416" w:lineRule="auto"/>
      <w:outlineLvl w:val="2"/>
    </w:pPr>
    <w:rPr>
      <w:b/>
      <w:bCs/>
      <w:sz w:val="32"/>
      <w:szCs w:val="32"/>
    </w:rPr>
  </w:style>
  <w:style w:type="paragraph" w:styleId="6">
    <w:name w:val="heading 4"/>
    <w:basedOn w:val="1"/>
    <w:next w:val="1"/>
    <w:qFormat/>
    <w:uiPriority w:val="0"/>
    <w:pPr>
      <w:keepNext/>
      <w:keepLines/>
      <w:spacing w:before="280" w:after="290" w:line="376" w:lineRule="auto"/>
      <w:outlineLvl w:val="3"/>
    </w:pPr>
    <w:rPr>
      <w:rFonts w:ascii="Calibri Light" w:hAnsi="Calibri Light"/>
      <w:b/>
      <w:bCs/>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after="120"/>
      <w:ind w:left="420" w:leftChars="200" w:firstLine="420" w:firstLineChars="200"/>
    </w:pPr>
    <w:rPr>
      <w:sz w:val="21"/>
      <w:szCs w:val="24"/>
    </w:rPr>
  </w:style>
  <w:style w:type="paragraph" w:styleId="3">
    <w:name w:val="Body Text Indent"/>
    <w:basedOn w:val="1"/>
    <w:qFormat/>
    <w:uiPriority w:val="0"/>
    <w:pPr>
      <w:ind w:firstLine="538" w:firstLineChars="192"/>
    </w:pPr>
    <w:rPr>
      <w:sz w:val="28"/>
      <w:szCs w:val="20"/>
    </w:rPr>
  </w:style>
  <w:style w:type="paragraph" w:styleId="7">
    <w:name w:val="Normal Indent"/>
    <w:basedOn w:val="1"/>
    <w:qFormat/>
    <w:uiPriority w:val="0"/>
    <w:pPr>
      <w:widowControl/>
      <w:ind w:firstLine="420"/>
      <w:jc w:val="left"/>
    </w:pPr>
    <w:rPr>
      <w:rFonts w:eastAsia="华文中宋"/>
      <w:w w:val="90"/>
      <w:kern w:val="0"/>
      <w:sz w:val="28"/>
      <w:szCs w:val="20"/>
    </w:rPr>
  </w:style>
  <w:style w:type="paragraph" w:styleId="8">
    <w:name w:val="caption"/>
    <w:basedOn w:val="1"/>
    <w:next w:val="1"/>
    <w:unhideWhenUsed/>
    <w:qFormat/>
    <w:uiPriority w:val="0"/>
    <w:pPr>
      <w:numPr>
        <w:ilvl w:val="1"/>
        <w:numId w:val="1"/>
      </w:numPr>
    </w:pPr>
    <w:rPr>
      <w:rFonts w:eastAsia="黑体" w:asciiTheme="majorHAnsi" w:hAnsiTheme="majorHAnsi" w:cstheme="majorBidi"/>
      <w:sz w:val="20"/>
      <w:szCs w:val="20"/>
    </w:rPr>
  </w:style>
  <w:style w:type="paragraph" w:styleId="9">
    <w:name w:val="annotation text"/>
    <w:basedOn w:val="1"/>
    <w:link w:val="54"/>
    <w:qFormat/>
    <w:uiPriority w:val="0"/>
    <w:pPr>
      <w:numPr>
        <w:ilvl w:val="3"/>
        <w:numId w:val="1"/>
      </w:numPr>
      <w:spacing w:line="240" w:lineRule="auto"/>
      <w:jc w:val="left"/>
    </w:pPr>
    <w:rPr>
      <w:rFonts w:asciiTheme="minorHAnsi" w:hAnsiTheme="minorHAnsi" w:eastAsiaTheme="minorEastAsia" w:cstheme="minorBidi"/>
      <w:sz w:val="21"/>
    </w:rPr>
  </w:style>
  <w:style w:type="paragraph" w:styleId="10">
    <w:name w:val="Body Text"/>
    <w:basedOn w:val="1"/>
    <w:next w:val="11"/>
    <w:unhideWhenUsed/>
    <w:qFormat/>
    <w:uiPriority w:val="99"/>
    <w:pPr>
      <w:spacing w:after="120"/>
    </w:pPr>
  </w:style>
  <w:style w:type="paragraph" w:customStyle="1" w:styleId="11">
    <w:name w:val="xl27"/>
    <w:basedOn w:val="1"/>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szCs w:val="21"/>
    </w:rPr>
  </w:style>
  <w:style w:type="paragraph" w:styleId="12">
    <w:name w:val="Plain Text"/>
    <w:basedOn w:val="1"/>
    <w:qFormat/>
    <w:uiPriority w:val="99"/>
    <w:pPr>
      <w:spacing w:line="240" w:lineRule="auto"/>
    </w:pPr>
    <w:rPr>
      <w:rFonts w:ascii="宋体" w:hAnsi="Courier New" w:cs="Courier New" w:eastAsiaTheme="minorEastAsia"/>
      <w:sz w:val="21"/>
      <w:szCs w:val="21"/>
    </w:rPr>
  </w:style>
  <w:style w:type="paragraph" w:styleId="13">
    <w:name w:val="Body Text Indent 2"/>
    <w:basedOn w:val="1"/>
    <w:next w:val="1"/>
    <w:qFormat/>
    <w:uiPriority w:val="0"/>
    <w:pPr>
      <w:tabs>
        <w:tab w:val="left" w:pos="180"/>
      </w:tabs>
      <w:ind w:firstLine="567"/>
    </w:pPr>
    <w:rPr>
      <w:rFonts w:ascii="宋体" w:hAnsi="宋体"/>
      <w:sz w:val="28"/>
    </w:rPr>
  </w:style>
  <w:style w:type="paragraph" w:styleId="14">
    <w:name w:val="Balloon Text"/>
    <w:basedOn w:val="1"/>
    <w:link w:val="56"/>
    <w:qFormat/>
    <w:uiPriority w:val="0"/>
    <w:pPr>
      <w:spacing w:line="240" w:lineRule="auto"/>
    </w:pPr>
    <w:rPr>
      <w:sz w:val="18"/>
      <w:szCs w:val="18"/>
    </w:rPr>
  </w:style>
  <w:style w:type="paragraph" w:styleId="15">
    <w:name w:val="footer"/>
    <w:basedOn w:val="1"/>
    <w:unhideWhenUsed/>
    <w:qFormat/>
    <w:uiPriority w:val="99"/>
    <w:pPr>
      <w:tabs>
        <w:tab w:val="center" w:pos="4153"/>
        <w:tab w:val="right" w:pos="8306"/>
      </w:tabs>
      <w:snapToGrid w:val="0"/>
      <w:jc w:val="left"/>
    </w:pPr>
    <w:rPr>
      <w:sz w:val="18"/>
      <w:szCs w:val="18"/>
    </w:rPr>
  </w:style>
  <w:style w:type="paragraph" w:styleId="16">
    <w:name w:val="header"/>
    <w:basedOn w:val="1"/>
    <w:link w:val="57"/>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17">
    <w:name w:val="toc 1"/>
    <w:basedOn w:val="1"/>
    <w:next w:val="1"/>
    <w:unhideWhenUsed/>
    <w:qFormat/>
    <w:uiPriority w:val="39"/>
  </w:style>
  <w:style w:type="paragraph" w:styleId="18">
    <w:name w:val="toc 2"/>
    <w:basedOn w:val="1"/>
    <w:next w:val="1"/>
    <w:unhideWhenUsed/>
    <w:qFormat/>
    <w:uiPriority w:val="0"/>
    <w:pPr>
      <w:widowControl/>
      <w:spacing w:after="100" w:line="276" w:lineRule="auto"/>
      <w:ind w:left="220"/>
      <w:jc w:val="left"/>
    </w:pPr>
    <w:rPr>
      <w:rFonts w:ascii="Calibri" w:hAnsi="Calibri"/>
      <w:kern w:val="0"/>
      <w:sz w:val="22"/>
      <w:szCs w:val="22"/>
    </w:rPr>
  </w:style>
  <w:style w:type="paragraph" w:styleId="19">
    <w:name w:val="Normal (Web)"/>
    <w:basedOn w:val="1"/>
    <w:qFormat/>
    <w:uiPriority w:val="99"/>
    <w:pPr>
      <w:widowControl/>
      <w:spacing w:before="100" w:beforeAutospacing="1" w:after="100" w:afterAutospacing="1" w:line="240" w:lineRule="auto"/>
      <w:jc w:val="left"/>
    </w:pPr>
    <w:rPr>
      <w:rFonts w:ascii="宋体" w:hAnsi="宋体" w:cs="宋体"/>
      <w:kern w:val="0"/>
    </w:rPr>
  </w:style>
  <w:style w:type="paragraph" w:styleId="20">
    <w:name w:val="annotation subject"/>
    <w:basedOn w:val="9"/>
    <w:next w:val="9"/>
    <w:link w:val="55"/>
    <w:qFormat/>
    <w:uiPriority w:val="0"/>
    <w:pPr>
      <w:numPr>
        <w:ilvl w:val="0"/>
        <w:numId w:val="0"/>
      </w:numPr>
      <w:tabs>
        <w:tab w:val="clear" w:pos="454"/>
      </w:tabs>
      <w:spacing w:line="360" w:lineRule="auto"/>
    </w:pPr>
    <w:rPr>
      <w:rFonts w:ascii="Times New Roman" w:hAnsi="Times New Roman" w:eastAsia="宋体" w:cs="Times New Roman"/>
      <w:b/>
      <w:bCs/>
      <w:sz w:val="24"/>
    </w:rPr>
  </w:style>
  <w:style w:type="paragraph" w:styleId="21">
    <w:name w:val="Body Text First Indent"/>
    <w:basedOn w:val="10"/>
    <w:next w:val="1"/>
    <w:qFormat/>
    <w:uiPriority w:val="0"/>
    <w:pPr>
      <w:spacing w:line="240" w:lineRule="auto"/>
      <w:ind w:firstLine="420" w:firstLineChars="100"/>
    </w:pPr>
    <w:rPr>
      <w:rFonts w:ascii="Arial" w:hAnsi="Arial" w:eastAsia="华文仿宋" w:cs="Arial"/>
      <w:sz w:val="21"/>
      <w:szCs w:val="20"/>
    </w:rPr>
  </w:style>
  <w:style w:type="table" w:styleId="23">
    <w:name w:val="Table Grid"/>
    <w:basedOn w:val="2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annotation reference"/>
    <w:qFormat/>
    <w:uiPriority w:val="0"/>
    <w:rPr>
      <w:sz w:val="21"/>
    </w:rPr>
  </w:style>
  <w:style w:type="paragraph" w:customStyle="1" w:styleId="26">
    <w:name w:val="Default"/>
    <w:basedOn w:val="27"/>
    <w:next w:val="28"/>
    <w:qFormat/>
    <w:uiPriority w:val="0"/>
    <w:pPr>
      <w:autoSpaceDE w:val="0"/>
      <w:autoSpaceDN w:val="0"/>
      <w:adjustRightInd w:val="0"/>
    </w:pPr>
    <w:rPr>
      <w:rFonts w:ascii="仿宋_GB2312" w:hAnsi="Calibri" w:eastAsia="仿宋_GB2312" w:cs="仿宋_GB2312"/>
      <w:color w:val="000000"/>
      <w:szCs w:val="24"/>
    </w:rPr>
  </w:style>
  <w:style w:type="paragraph" w:customStyle="1" w:styleId="27">
    <w:name w:val="纯文本1"/>
    <w:basedOn w:val="1"/>
    <w:qFormat/>
    <w:uiPriority w:val="0"/>
    <w:rPr>
      <w:rFonts w:hint="eastAsia" w:ascii="宋体" w:hAnsi="Courier New"/>
      <w:szCs w:val="22"/>
    </w:rPr>
  </w:style>
  <w:style w:type="paragraph" w:customStyle="1" w:styleId="28">
    <w:name w:val="表格文字"/>
    <w:basedOn w:val="12"/>
    <w:next w:val="1"/>
    <w:qFormat/>
    <w:uiPriority w:val="0"/>
    <w:pPr>
      <w:adjustRightInd w:val="0"/>
      <w:snapToGrid w:val="0"/>
      <w:spacing w:before="20" w:beforeLines="20" w:after="20" w:afterLines="20"/>
      <w:ind w:firstLine="0" w:firstLineChars="0"/>
      <w:jc w:val="center"/>
    </w:pPr>
    <w:rPr>
      <w:kern w:val="0"/>
      <w:sz w:val="20"/>
    </w:rPr>
  </w:style>
  <w:style w:type="paragraph" w:customStyle="1" w:styleId="29">
    <w:name w:val="0正文"/>
    <w:unhideWhenUsed/>
    <w:qFormat/>
    <w:uiPriority w:val="0"/>
    <w:pPr>
      <w:spacing w:line="300" w:lineRule="auto"/>
      <w:ind w:firstLine="480" w:firstLineChars="200"/>
    </w:pPr>
    <w:rPr>
      <w:rFonts w:ascii="Times New Roman" w:hAnsi="Times New Roman" w:eastAsia="宋体" w:cs="Times New Roman"/>
      <w:b/>
      <w:color w:val="000000"/>
      <w:sz w:val="24"/>
      <w:szCs w:val="22"/>
      <w:lang w:val="en-US" w:eastAsia="zh-CN" w:bidi="ar-SA"/>
    </w:rPr>
  </w:style>
  <w:style w:type="paragraph" w:customStyle="1" w:styleId="30">
    <w:name w:val="2"/>
    <w:basedOn w:val="31"/>
    <w:qFormat/>
    <w:uiPriority w:val="0"/>
    <w:pPr>
      <w:numPr>
        <w:ilvl w:val="1"/>
      </w:numPr>
      <w:jc w:val="left"/>
    </w:pPr>
  </w:style>
  <w:style w:type="paragraph" w:customStyle="1" w:styleId="31">
    <w:name w:val="1"/>
    <w:basedOn w:val="1"/>
    <w:next w:val="3"/>
    <w:qFormat/>
    <w:uiPriority w:val="0"/>
    <w:pPr>
      <w:numPr>
        <w:ilvl w:val="0"/>
        <w:numId w:val="2"/>
      </w:numPr>
      <w:jc w:val="center"/>
      <w:outlineLvl w:val="0"/>
    </w:pPr>
    <w:rPr>
      <w:b/>
    </w:rPr>
  </w:style>
  <w:style w:type="paragraph" w:customStyle="1" w:styleId="32">
    <w:name w:val="111正文"/>
    <w:basedOn w:val="1"/>
    <w:qFormat/>
    <w:uiPriority w:val="0"/>
    <w:pPr>
      <w:widowControl/>
      <w:ind w:firstLine="504" w:firstLineChars="209"/>
      <w:jc w:val="left"/>
    </w:pPr>
  </w:style>
  <w:style w:type="paragraph" w:customStyle="1" w:styleId="33">
    <w:name w:val="列出段落1"/>
    <w:basedOn w:val="1"/>
    <w:qFormat/>
    <w:uiPriority w:val="0"/>
    <w:pPr>
      <w:ind w:firstLine="420" w:firstLineChars="200"/>
    </w:pPr>
  </w:style>
  <w:style w:type="paragraph" w:customStyle="1" w:styleId="34">
    <w:name w:val="3"/>
    <w:basedOn w:val="31"/>
    <w:qFormat/>
    <w:uiPriority w:val="0"/>
    <w:pPr>
      <w:numPr>
        <w:ilvl w:val="2"/>
      </w:numPr>
      <w:jc w:val="left"/>
    </w:pPr>
  </w:style>
  <w:style w:type="paragraph" w:customStyle="1" w:styleId="35">
    <w:name w:val="正文1"/>
    <w:basedOn w:val="1"/>
    <w:qFormat/>
    <w:uiPriority w:val="0"/>
    <w:pPr>
      <w:adjustRightInd w:val="0"/>
      <w:snapToGrid w:val="0"/>
      <w:ind w:firstLine="482"/>
    </w:pPr>
    <w:rPr>
      <w:rFonts w:ascii="宋体" w:hAnsi="宋体" w:cstheme="minorBidi"/>
      <w:snapToGrid w:val="0"/>
      <w:kern w:val="0"/>
    </w:rPr>
  </w:style>
  <w:style w:type="paragraph" w:customStyle="1" w:styleId="36">
    <w:name w:val="Char1"/>
    <w:basedOn w:val="1"/>
    <w:qFormat/>
    <w:uiPriority w:val="0"/>
    <w:pPr>
      <w:ind w:firstLine="200" w:firstLineChars="200"/>
    </w:pPr>
    <w:rPr>
      <w:rFonts w:ascii="宋体"/>
      <w:kern w:val="0"/>
      <w:szCs w:val="20"/>
    </w:rPr>
  </w:style>
  <w:style w:type="paragraph" w:customStyle="1" w:styleId="37">
    <w:name w:val="Char11"/>
    <w:basedOn w:val="1"/>
    <w:qFormat/>
    <w:uiPriority w:val="0"/>
    <w:pPr>
      <w:ind w:firstLine="200" w:firstLineChars="200"/>
    </w:pPr>
    <w:rPr>
      <w:sz w:val="21"/>
    </w:rPr>
  </w:style>
  <w:style w:type="character" w:customStyle="1" w:styleId="38">
    <w:name w:val="fontstyle01"/>
    <w:basedOn w:val="24"/>
    <w:qFormat/>
    <w:uiPriority w:val="0"/>
    <w:rPr>
      <w:rFonts w:ascii="宋体" w:hAnsi="宋体" w:eastAsia="宋体" w:cs="宋体"/>
      <w:color w:val="000000"/>
      <w:sz w:val="22"/>
      <w:szCs w:val="22"/>
    </w:rPr>
  </w:style>
  <w:style w:type="paragraph" w:customStyle="1" w:styleId="39">
    <w:name w:val="（正文）"/>
    <w:basedOn w:val="12"/>
    <w:qFormat/>
    <w:uiPriority w:val="0"/>
    <w:pPr>
      <w:spacing w:line="360" w:lineRule="auto"/>
      <w:ind w:firstLine="480"/>
    </w:pPr>
    <w:rPr>
      <w:rFonts w:eastAsia="宋体"/>
      <w:sz w:val="24"/>
    </w:rPr>
  </w:style>
  <w:style w:type="paragraph" w:customStyle="1" w:styleId="40">
    <w:name w:val="4"/>
    <w:basedOn w:val="34"/>
    <w:qFormat/>
    <w:uiPriority w:val="0"/>
    <w:pPr>
      <w:numPr>
        <w:ilvl w:val="3"/>
      </w:numPr>
    </w:pPr>
  </w:style>
  <w:style w:type="paragraph" w:styleId="41">
    <w:name w:val="List Paragraph"/>
    <w:basedOn w:val="1"/>
    <w:qFormat/>
    <w:uiPriority w:val="0"/>
    <w:pPr>
      <w:ind w:firstLine="420" w:firstLineChars="200"/>
    </w:pPr>
  </w:style>
  <w:style w:type="paragraph" w:customStyle="1" w:styleId="42">
    <w:name w:val="S报告正文"/>
    <w:basedOn w:val="1"/>
    <w:qFormat/>
    <w:uiPriority w:val="0"/>
    <w:pPr>
      <w:adjustRightInd w:val="0"/>
      <w:snapToGrid w:val="0"/>
      <w:spacing w:line="480" w:lineRule="exact"/>
      <w:ind w:firstLine="510"/>
      <w:jc w:val="left"/>
    </w:pPr>
  </w:style>
  <w:style w:type="paragraph" w:customStyle="1" w:styleId="43">
    <w:name w:val="表格内正文"/>
    <w:basedOn w:val="1"/>
    <w:qFormat/>
    <w:uiPriority w:val="0"/>
    <w:pPr>
      <w:ind w:firstLine="499"/>
    </w:pPr>
    <w:rPr>
      <w:rFonts w:ascii="宋体" w:hAnsi="宋体" w:cstheme="minorBidi"/>
      <w:spacing w:val="4"/>
      <w:kern w:val="18"/>
    </w:rPr>
  </w:style>
  <w:style w:type="paragraph" w:customStyle="1" w:styleId="44">
    <w:name w:val="环评正文文字"/>
    <w:basedOn w:val="1"/>
    <w:qFormat/>
    <w:uiPriority w:val="0"/>
    <w:pPr>
      <w:ind w:firstLine="480" w:firstLineChars="200"/>
    </w:pPr>
  </w:style>
  <w:style w:type="paragraph" w:customStyle="1" w:styleId="45">
    <w:name w:val="lh-正文-报告表"/>
    <w:basedOn w:val="1"/>
    <w:qFormat/>
    <w:uiPriority w:val="0"/>
    <w:pPr>
      <w:ind w:firstLine="480" w:firstLineChars="200"/>
    </w:pPr>
    <w:rPr>
      <w:kern w:val="0"/>
      <w:szCs w:val="21"/>
    </w:rPr>
  </w:style>
  <w:style w:type="paragraph" w:customStyle="1" w:styleId="46">
    <w:name w:val="表字体"/>
    <w:basedOn w:val="1"/>
    <w:next w:val="1"/>
    <w:qFormat/>
    <w:uiPriority w:val="0"/>
    <w:pPr>
      <w:spacing w:line="240" w:lineRule="auto"/>
      <w:jc w:val="center"/>
    </w:pPr>
    <w:rPr>
      <w:kern w:val="0"/>
      <w:sz w:val="21"/>
      <w:szCs w:val="20"/>
    </w:rPr>
  </w:style>
  <w:style w:type="paragraph" w:customStyle="1" w:styleId="47">
    <w:name w:val="Default122"/>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48">
    <w:name w:val="江锂报告书正文"/>
    <w:qFormat/>
    <w:uiPriority w:val="0"/>
    <w:pPr>
      <w:spacing w:line="360" w:lineRule="auto"/>
      <w:ind w:firstLine="480" w:firstLineChars="200"/>
    </w:pPr>
    <w:rPr>
      <w:rFonts w:ascii="Times New Roman" w:hAnsi="Times New Roman" w:eastAsia="宋体" w:cs="Times New Roman"/>
      <w:color w:val="000000"/>
      <w:sz w:val="24"/>
      <w:lang w:val="en-US" w:eastAsia="zh-CN" w:bidi="ar-SA"/>
    </w:rPr>
  </w:style>
  <w:style w:type="paragraph" w:customStyle="1" w:styleId="49">
    <w:name w:val="表格内容"/>
    <w:basedOn w:val="1"/>
    <w:qFormat/>
    <w:uiPriority w:val="0"/>
    <w:pPr>
      <w:jc w:val="left"/>
    </w:pPr>
    <w:rPr>
      <w:rFonts w:cs="宋体"/>
      <w:szCs w:val="20"/>
    </w:rPr>
  </w:style>
  <w:style w:type="paragraph" w:customStyle="1" w:styleId="50">
    <w:name w:val="报告正文"/>
    <w:basedOn w:val="1"/>
    <w:qFormat/>
    <w:uiPriority w:val="0"/>
    <w:pPr>
      <w:spacing w:line="480" w:lineRule="exact"/>
      <w:ind w:firstLine="200" w:firstLineChars="200"/>
    </w:pPr>
  </w:style>
  <w:style w:type="paragraph" w:customStyle="1" w:styleId="51">
    <w:name w:val="D图表小四"/>
    <w:basedOn w:val="1"/>
    <w:qFormat/>
    <w:uiPriority w:val="0"/>
    <w:pPr>
      <w:spacing w:before="120" w:after="120"/>
      <w:jc w:val="center"/>
    </w:pPr>
    <w:rPr>
      <w:b/>
      <w:spacing w:val="4"/>
    </w:rPr>
  </w:style>
  <w:style w:type="paragraph" w:customStyle="1" w:styleId="52">
    <w:name w:val="BG-表头"/>
    <w:basedOn w:val="1"/>
    <w:qFormat/>
    <w:uiPriority w:val="0"/>
    <w:pPr>
      <w:spacing w:line="240" w:lineRule="auto"/>
      <w:jc w:val="center"/>
    </w:pPr>
    <w:rPr>
      <w:b/>
      <w:sz w:val="21"/>
    </w:rPr>
  </w:style>
  <w:style w:type="paragraph" w:customStyle="1" w:styleId="53">
    <w:name w:val="标题1"/>
    <w:basedOn w:val="19"/>
    <w:qFormat/>
    <w:uiPriority w:val="0"/>
    <w:pPr>
      <w:widowControl w:val="0"/>
      <w:adjustRightInd w:val="0"/>
      <w:snapToGrid w:val="0"/>
      <w:spacing w:before="120" w:beforeLines="50" w:beforeAutospacing="0" w:after="120" w:afterLines="50" w:afterAutospacing="0"/>
      <w:jc w:val="center"/>
      <w:outlineLvl w:val="0"/>
    </w:pPr>
    <w:rPr>
      <w:snapToGrid w:val="0"/>
      <w:sz w:val="30"/>
      <w:szCs w:val="30"/>
    </w:rPr>
  </w:style>
  <w:style w:type="character" w:customStyle="1" w:styleId="54">
    <w:name w:val="批注文字 Char"/>
    <w:basedOn w:val="24"/>
    <w:link w:val="9"/>
    <w:qFormat/>
    <w:uiPriority w:val="0"/>
    <w:rPr>
      <w:rFonts w:asciiTheme="minorHAnsi" w:hAnsiTheme="minorHAnsi" w:eastAsiaTheme="minorEastAsia" w:cstheme="minorBidi"/>
      <w:kern w:val="2"/>
      <w:sz w:val="21"/>
      <w:szCs w:val="24"/>
    </w:rPr>
  </w:style>
  <w:style w:type="character" w:customStyle="1" w:styleId="55">
    <w:name w:val="批注主题 Char"/>
    <w:basedOn w:val="54"/>
    <w:link w:val="20"/>
    <w:qFormat/>
    <w:uiPriority w:val="0"/>
    <w:rPr>
      <w:rFonts w:asciiTheme="minorHAnsi" w:hAnsiTheme="minorHAnsi" w:eastAsiaTheme="minorEastAsia" w:cstheme="minorBidi"/>
      <w:b/>
      <w:bCs/>
      <w:kern w:val="2"/>
      <w:sz w:val="24"/>
      <w:szCs w:val="24"/>
    </w:rPr>
  </w:style>
  <w:style w:type="character" w:customStyle="1" w:styleId="56">
    <w:name w:val="批注框文本 Char"/>
    <w:basedOn w:val="24"/>
    <w:link w:val="14"/>
    <w:qFormat/>
    <w:uiPriority w:val="0"/>
    <w:rPr>
      <w:kern w:val="2"/>
      <w:sz w:val="18"/>
      <w:szCs w:val="18"/>
    </w:rPr>
  </w:style>
  <w:style w:type="character" w:customStyle="1" w:styleId="57">
    <w:name w:val="页眉 Char"/>
    <w:basedOn w:val="24"/>
    <w:link w:val="16"/>
    <w:qFormat/>
    <w:uiPriority w:val="0"/>
    <w:rPr>
      <w:kern w:val="2"/>
      <w:sz w:val="18"/>
      <w:szCs w:val="18"/>
    </w:rPr>
  </w:style>
  <w:style w:type="paragraph" w:customStyle="1" w:styleId="58">
    <w:name w:val="文本格式 小四"/>
    <w:basedOn w:val="1"/>
    <w:qFormat/>
    <w:uiPriority w:val="0"/>
    <w:pPr>
      <w:wordWrap/>
      <w:ind w:firstLine="480"/>
    </w:pPr>
    <w:rPr>
      <w:rFonts w:ascii="宋体" w:hAnsi="宋体"/>
      <w:sz w:val="24"/>
    </w:rPr>
  </w:style>
  <w:style w:type="paragraph" w:customStyle="1" w:styleId="59">
    <w:name w:val="表格格式"/>
    <w:basedOn w:val="1"/>
    <w:qFormat/>
    <w:uiPriority w:val="0"/>
    <w:pPr>
      <w:wordWrap/>
      <w:topLinePunct w:val="0"/>
      <w:spacing w:line="240" w:lineRule="auto"/>
      <w:ind w:firstLine="0" w:firstLineChars="0"/>
      <w:jc w:val="center"/>
    </w:pPr>
    <w:rPr>
      <w:rFonts w:ascii="宋体" w:hAnsi="宋体"/>
      <w:szCs w:val="21"/>
    </w:rPr>
  </w:style>
  <w:style w:type="paragraph" w:customStyle="1" w:styleId="60">
    <w:name w:val="A正文1"/>
    <w:basedOn w:val="1"/>
    <w:qFormat/>
    <w:uiPriority w:val="0"/>
    <w:pPr>
      <w:ind w:firstLine="480" w:firstLineChars="200"/>
    </w:pPr>
    <w:rPr>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wmf"/><Relationship Id="rId23" Type="http://schemas.openxmlformats.org/officeDocument/2006/relationships/image" Target="media/image11.wmf"/><Relationship Id="rId22" Type="http://schemas.openxmlformats.org/officeDocument/2006/relationships/image" Target="media/image10.wmf"/><Relationship Id="rId21" Type="http://schemas.openxmlformats.org/officeDocument/2006/relationships/image" Target="media/image9.png"/><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wmf"/><Relationship Id="rId17" Type="http://schemas.openxmlformats.org/officeDocument/2006/relationships/oleObject" Target="embeddings/oleObject1.bin"/><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70</Pages>
  <Words>37365</Words>
  <Characters>42180</Characters>
  <Lines>286</Lines>
  <Paragraphs>80</Paragraphs>
  <TotalTime>9</TotalTime>
  <ScaleCrop>false</ScaleCrop>
  <LinksUpToDate>false</LinksUpToDate>
  <CharactersWithSpaces>44263</CharactersWithSpaces>
  <Application>WPS Office_11.8.2.10953_F1E327BC-269C-435d-A152-05C5408002CA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2023-06-01T17:09:00Z</dcterms:created>
  <dc:creator>鹅</dc:creator>
  <cp:lastModifiedBy>kylin</cp:lastModifiedBy>
  <dcterms:modified xsi:type="dcterms:W3CDTF">2024-06-12T09:01:37Z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2052-11.8.2.10953</vt:lpwstr>
  </property>
  <property fmtid="{D5CDD505-2E9C-101B-9397-08002B2CF9AE}" pid="3" name="ICV">
    <vt:lpwstr>9324F4BD12424E53A5B20ECEE4363DA5_13</vt:lpwstr>
  </property>
</Properties>
</file>