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 xml:space="preserve">4 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600" w:lineRule="exact"/>
        <w:jc w:val="center"/>
        <w:rPr>
          <w:sz w:val="24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202</w:t>
      </w:r>
      <w:r>
        <w:rPr>
          <w:rFonts w:hint="eastAsia" w:ascii="黑体" w:hAnsi="黑体" w:eastAsia="黑体" w:cs="黑体"/>
          <w:bCs/>
          <w:sz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</w:rPr>
        <w:t>年度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中共辰溪县委网信办部门整体支出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绩效自评报告</w:t>
      </w: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rPr>
          <w:sz w:val="24"/>
        </w:rPr>
      </w:pPr>
    </w:p>
    <w:p>
      <w:pPr>
        <w:spacing w:line="600" w:lineRule="exact"/>
        <w:jc w:val="center"/>
        <w:rPr>
          <w:rFonts w:hint="eastAsia"/>
          <w:sz w:val="32"/>
          <w:szCs w:val="32"/>
          <w:u w:val="none"/>
        </w:rPr>
      </w:pPr>
      <w:r>
        <w:rPr>
          <w:rFonts w:hint="eastAsia"/>
          <w:sz w:val="32"/>
          <w:szCs w:val="32"/>
        </w:rPr>
        <w:t>部门（单位）名称：</w:t>
      </w:r>
      <w:r>
        <w:rPr>
          <w:rFonts w:hint="eastAsia"/>
          <w:sz w:val="32"/>
          <w:szCs w:val="32"/>
          <w:u w:val="none"/>
        </w:rPr>
        <w:t>中共辰溪县委网信办</w:t>
      </w:r>
    </w:p>
    <w:p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10</w:t>
      </w:r>
      <w:r>
        <w:rPr>
          <w:rFonts w:hint="eastAsia"/>
          <w:sz w:val="32"/>
          <w:szCs w:val="32"/>
        </w:rPr>
        <w:t xml:space="preserve"> 日</w:t>
      </w: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  <w:szCs w:val="36"/>
        </w:rPr>
        <w:t>年度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中共辰溪县委网络安全和信息化委员会办公室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部门整体支出绩效自评报告</w:t>
      </w:r>
    </w:p>
    <w:p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部门、单位基本情况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  <w:lang w:val="en-US" w:eastAsia="zh-CN"/>
        </w:rPr>
        <w:t>（一）机构设置情况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中共辰溪县委网络安全和信息化委员会办公室</w:t>
      </w:r>
      <w:r>
        <w:rPr>
          <w:rFonts w:hint="eastAsia" w:ascii="仿宋" w:hAnsi="仿宋" w:eastAsia="仿宋"/>
          <w:sz w:val="28"/>
          <w:szCs w:val="28"/>
        </w:rPr>
        <w:t>属全额行政机关，是一级部门预算单位，根据编制部门机构改革批复方案，内设综合股（政策法规股）、网络传播与舆情应急股、网络安全与信息化发展股</w:t>
      </w:r>
      <w:r>
        <w:rPr>
          <w:rFonts w:hint="eastAsia" w:ascii="仿宋" w:hAnsi="仿宋" w:eastAsia="仿宋"/>
          <w:sz w:val="28"/>
          <w:szCs w:val="28"/>
          <w:lang w:eastAsia="zh-CN"/>
        </w:rPr>
        <w:t>、网络安全应急指挥中心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Times New Roman"/>
          <w:b/>
          <w:bCs/>
          <w:spacing w:val="-2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spacing w:val="-2"/>
          <w:sz w:val="32"/>
          <w:szCs w:val="32"/>
          <w:lang w:val="en-US" w:eastAsia="zh-CN"/>
        </w:rPr>
        <w:t>（二）人员编制情况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截止20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年底，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中共辰溪县委网络安全和信息化委员会办公室</w:t>
      </w:r>
      <w:r>
        <w:rPr>
          <w:rFonts w:hint="eastAsia" w:ascii="仿宋" w:hAnsi="仿宋" w:eastAsia="仿宋" w:cs="仿宋"/>
          <w:sz w:val="28"/>
          <w:szCs w:val="28"/>
        </w:rPr>
        <w:t>核定人员编制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人，行政编制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人（财政补助人员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人)；实际在编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人（行政编制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人），财政实际供给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贯彻落实县委对网络安全和信息化工作的全面领导，协调督促有关方面落实县委网信委的决定事项、工作部署和要求；</w:t>
      </w:r>
      <w:r>
        <w:rPr>
          <w:rFonts w:hint="eastAsia" w:ascii="仿宋" w:hAnsi="仿宋" w:eastAsia="仿宋" w:cs="仿宋"/>
          <w:sz w:val="28"/>
          <w:szCs w:val="28"/>
        </w:rPr>
        <w:t>组织协调网络意识形态工作责任制落实和日常监督检查，结合巡视巡察开展专项检查；统筹协调全县网络安全保障体系和可信体系建设，牵头协调有关部门制定相关行业网络安全规划及保障评价指标体系，协调信息安全保护工作；协调推进网络强县有关工程建设，协调推动公共服务和社会治理信息化；指导网络安全信息共享和通报。负责网上舆论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（四）绩效目标设定情况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部门年度</w:t>
      </w:r>
      <w:r>
        <w:rPr>
          <w:rFonts w:hint="eastAsia" w:ascii="仿宋" w:hAnsi="仿宋" w:eastAsia="仿宋"/>
          <w:b/>
          <w:sz w:val="28"/>
          <w:szCs w:val="28"/>
        </w:rPr>
        <w:t>总体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工作任务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left="0" w:right="0"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年，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县委及县委网信委、市委网信办的正确领导，在县委宣传部的指导下，辰溪县委网信办强化党管互联网，夯实网信工作基础，强化网上正面宣传，做好舆情防范处置，健全网络综合治理体系，筑牢网络安全防线，为深入实施“五新四城”战略、坚持“三区一高地”、推进“四城”建设、奋力建设现代化新辰溪提供强大网络舆论支持、可靠网络安全保障和有力信息化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部门</w:t>
      </w:r>
      <w:r>
        <w:rPr>
          <w:rFonts w:hint="eastAsia" w:ascii="仿宋" w:hAnsi="仿宋" w:eastAsia="仿宋"/>
          <w:b/>
          <w:sz w:val="28"/>
          <w:szCs w:val="28"/>
        </w:rPr>
        <w:t>年度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重点工作任务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强化党的领导，全面夯实网信工作基础。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坚持守正创新，强化宣传占领舆论高地。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加强舆情管控，落实网络意识形态责任。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完善治理体系，全面提升管网治网能力。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、筑牢网安防线，驱动信息化高质量发展。</w:t>
      </w:r>
    </w:p>
    <w:p>
      <w:pPr>
        <w:pStyle w:val="5"/>
        <w:widowControl/>
        <w:spacing w:line="600" w:lineRule="exact"/>
        <w:ind w:left="640" w:firstLine="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预算执行、使用、管理总体情况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2024年度共取得收入合计234.02万元，其中：财政拨款收入234.02万元，占100%；事业收入 0 万元，占0%；经营收入 0 万元， 占0%；其他收入0 万元，占0%。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2024年度共发生支出234.02万元 ，其中：基本支出234.02万元，占100 % ；项目支出 0万元，占0 %；经营支出0万元，占0%。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2024年度共发生财政拨款支出234.02万元，其中基本支出234.02万元，占支出的 100 %；项目支出 0 万元，占支出的 0 %。 主要用于以下方面： 一般公共服务（类） 支出 234.02万元，占100%。其中：工资福利支出84.48万元，商品和服务支出125.13万元，对个人和家庭的补助支出23.31万元，其他资本性支出1.10万元。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（二）部门预算执行情况</w:t>
      </w:r>
    </w:p>
    <w:p>
      <w:pPr>
        <w:pStyle w:val="5"/>
        <w:widowControl/>
        <w:spacing w:line="600" w:lineRule="exact"/>
        <w:ind w:left="640" w:firstLine="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基本支出情况</w:t>
      </w:r>
    </w:p>
    <w:p>
      <w:pPr>
        <w:widowControl/>
        <w:shd w:val="clear" w:color="auto" w:fill="FFFFFF"/>
        <w:spacing w:line="600" w:lineRule="atLeast"/>
        <w:ind w:firstLine="643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pacing w:val="-2"/>
          <w:sz w:val="28"/>
          <w:szCs w:val="28"/>
          <w:lang w:eastAsia="zh-CN"/>
        </w:rPr>
        <w:t>基本支出的范围和主要用途具体包括：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基本支出234.02万元（其中人员经费支出107.79万元，公用经费支出126.23万元）。本年基本支出决算收入数234.02万元，决算支出数234.02万元，年底收支保持平衡。</w:t>
      </w:r>
    </w:p>
    <w:p>
      <w:pPr>
        <w:pStyle w:val="5"/>
        <w:widowControl/>
        <w:numPr>
          <w:ilvl w:val="0"/>
          <w:numId w:val="0"/>
        </w:numPr>
        <w:spacing w:line="600" w:lineRule="exact"/>
        <w:ind w:left="64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2024年度决算无项目支出资金情况。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default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（三）"三公"经费使用和管理情况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“三公”经费决算数为1.95万元，其中，公务接待费1.95万元，公务用车购置及运行费0万元（公务用车运行0万元、公务用车购置0万元），因公出国（境）费0万元。2024年“三公”经费决算较上年决算数减少0.31万元，主要原因是本单位积极响应上级政策号召，大力压缩三公经费开支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三、政府性基金预算支出情况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2024年度决算无政府性基金预算支出资金情况。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四、国有资本经营预算支出情况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截至202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12月31日，我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部门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资产总额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28.61万元，其中：流动资产0万元，固定资产净值28.61万元。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年度，我部门配置固定资产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从资产类别分析，配置通用设备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%；配置家具、用具、装具及动植物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截至202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年12月31日，我部门自用固定资产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53.20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万元，占账面固定资产总额的100.00%，其中: 在用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53.20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万元，占账面固定资产总额的100.00%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年度，我部门处置资产 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.80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万元。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五、社会保险基金预算支出情况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2024年度决算无社会保险基金预算支出资金情况。</w:t>
      </w:r>
    </w:p>
    <w:p>
      <w:pPr>
        <w:widowControl/>
        <w:spacing w:line="600" w:lineRule="exact"/>
        <w:ind w:firstLine="645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六、部门整体支出绩效情况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（一）综合评价结论。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结合工作实际情况，根据《2024年部门整体支出绩效自评表》考核结果，该整体支出资金使用效率高，质量强，整体自评结果“优”。《2024年部门整体支出绩效自评表》及《2024年中共辰溪县委网信办部门整体支出绩效自评报告》拟向县人大报送，并在县人民政府门户网站进行公开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（二）评价指标分析（或综合评价情况）。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2024年部门整体年初预算绩效目标：1：确保全县网络意识形态工作整体平稳可控； 2：确保全县网络安全不发生重大事故；3：加强舆论引导，开展网络执法行动，确保网络空间清朗；4：每季度组织开展一次网宣活动。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2024年部门整体绩效实际完成情况：1、通过坚持依法治网原则、实现网络舆论管理全覆盖、开展集中检查和整治，确保了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全县网络意识形态工作整体平稳可控；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发现问题在向上级报告的同时，第一时间控制现场，第一时间处置引导，第一时间弄清事实真相，及时表明立场、妥善处理，努力把事件控制和消化在可控范围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，确保了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全县网络安全不发生重大事故；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坚持团结稳定鼓劲、正面宣传为主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构建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一体化引导机制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主动适应分众化、差异化传播趋势，加快构建主流舆论矩阵，实现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网上网下优势互补、协调发展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。确保了网络空间清朗；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按计划完成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每季度一次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网宣活动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1、成本指标完成情况分析。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（1）经济成本指标。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2024年部门预算基本支出，实际完成值234.02万元，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预算成本控制率100%，未超预算支出。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(2)社会成本指标。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社会成本节约率不适用。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（3）生态环境成本指标。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生态环境成本节约率不适用。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、产出指标完成情况分析。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（1）数量指标。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“三公经费”变动率≤0；网络设备服务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3套，实际完成5套；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财政供养人员控制率，实际完成值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90.90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%；三公经费控制率，实际完成值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%；开展网评活动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次数，实际完成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5次。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（2）质量指标。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政府采购执行率、公务卡刷卡率、固定资产利用率、经费使用准确性、专项资金发放到位率，均已符合部门整体支出标准率达100%。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（3）时效指标。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年12月31号前按要求落实，完成及时性达100%。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、效益指标完成情况分析。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（1）经济效益。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该项目实施没有对经济发展带来直接或间接影响，不适用。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（2）社会效益。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确保全县网络意识形态和网络安全不发生重大事故，有效保障。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（3）生态效益。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该项目实施没有对生态环境带来直接或间接影响，不适用。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（4）可持续影响。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构建安全健康的网络空间，效果明显。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、满意度指标完成情况分析。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人民群众对我县网络环境的满意度率达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七、存在的问题及原因分析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1、绩效评价管理制度尚不健全。办公室还尚未制定相关的管理办法和实施细则，无与实际相结合并具有指导意义的绩效管理工作机制和流程，绩效评价开展缺乏强有力的制度保障。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绩效评价指标体系还不够完善、合理。财政支出的评价对象涉及行业多，项目之间差异性大，真正能体现项目效果的个性指标，在标准设计上存在难度，导致评价内容不够全面，评价数据采集缺少充分的调查分析和严密的逻辑关系，难以满足不同层面和不同性质的绩效评价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对绩效评价工作的认识不够。单位对财务绩效不重视，认为绩效评价只是财务部门的事情，相关项目职责部门配合不够，往往只能提供有限的财经资料或简单的工作计划、工作总结，绩效评价工作资料非常有限，内容粗浅。大多数时候只能借用工作计划，工作总结等做为绩效自评报告的主要内容。</w:t>
      </w:r>
    </w:p>
    <w:p>
      <w:pPr>
        <w:widowControl/>
        <w:spacing w:line="600" w:lineRule="exact"/>
        <w:ind w:firstLine="56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人员素质有待进一步提高。由于预算绩效管理工作开展时间短，涉及面广，专业性强，加上缺乏系统的培训，单位对预算绩效管理理解不充分，对预算绩效管理业务不精通，在一定程度上影响了绩效评价工作质量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加大财务绩效评价工作的宣传和培训力度。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九、其他需要说明的情况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无。</w:t>
      </w:r>
    </w:p>
    <w:p>
      <w:pPr>
        <w:widowControl/>
        <w:spacing w:line="600" w:lineRule="exact"/>
        <w:ind w:firstLine="840" w:firstLineChars="3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p>
      <w:pPr>
        <w:widowControl/>
        <w:spacing w:line="600" w:lineRule="exact"/>
        <w:ind w:firstLine="840" w:firstLineChars="3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p>
      <w:pPr>
        <w:widowControl/>
        <w:spacing w:line="600" w:lineRule="exact"/>
        <w:ind w:firstLine="840" w:firstLineChars="3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2520" w:firstLineChars="9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中共辰溪县委网络安全和信息化委员会办公室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480" w:firstLineChars="1600"/>
        <w:jc w:val="both"/>
        <w:textAlignment w:val="auto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widowControl/>
        <w:spacing w:line="600" w:lineRule="exact"/>
        <w:ind w:firstLine="840" w:firstLineChars="300"/>
        <w:jc w:val="left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jhjYWY5NjBlMjE3ZTRkNjliNGQ1NTM3NDY4YTYifQ=="/>
    <w:docVar w:name="KSO_WPS_MARK_KEY" w:val="600554fe-c0fa-49d0-b79f-313774a08155"/>
  </w:docVars>
  <w:rsids>
    <w:rsidRoot w:val="45E3604A"/>
    <w:rsid w:val="00E07B74"/>
    <w:rsid w:val="1A801887"/>
    <w:rsid w:val="1CD328A7"/>
    <w:rsid w:val="31833929"/>
    <w:rsid w:val="37B00DC1"/>
    <w:rsid w:val="3C3117EF"/>
    <w:rsid w:val="3F096FF8"/>
    <w:rsid w:val="45E3604A"/>
    <w:rsid w:val="4E417BE6"/>
    <w:rsid w:val="52482801"/>
    <w:rsid w:val="563E569A"/>
    <w:rsid w:val="5F39050D"/>
    <w:rsid w:val="6053123E"/>
    <w:rsid w:val="637123C4"/>
    <w:rsid w:val="68C05C3A"/>
    <w:rsid w:val="6BB13803"/>
    <w:rsid w:val="78142C38"/>
    <w:rsid w:val="7C1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spacing w:line="365" w:lineRule="atLeast"/>
      <w:ind w:left="1" w:firstLine="420" w:firstLineChars="200"/>
      <w:textAlignment w:val="bottom"/>
    </w:pPr>
    <w:rPr>
      <w:rFonts w:ascii="Calibri" w:hAnsi="Calibri" w:eastAsia="宋体"/>
      <w:kern w:val="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3341</Words>
  <Characters>3599</Characters>
  <Lines>0</Lines>
  <Paragraphs>0</Paragraphs>
  <TotalTime>65</TotalTime>
  <ScaleCrop>false</ScaleCrop>
  <LinksUpToDate>false</LinksUpToDate>
  <CharactersWithSpaces>3633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2024-03-14T00:10:00Z</dcterms:created>
  <dc:creator>Administrator</dc:creator>
  <cp:lastModifiedBy>骄阳九月</cp:lastModifiedBy>
  <dcterms:modified xsi:type="dcterms:W3CDTF">2025-09-17T09:45:09Z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CA83F5A15CD64ED1982B77712BFB9B19_11</vt:lpwstr>
  </property>
  <property fmtid="{D5CDD505-2E9C-101B-9397-08002B2CF9AE}" pid="4" name="KSOTemplateDocerSaveRecord">
    <vt:lpwstr>eyJoZGlkIjoiNmFhNjRjNWQxMWRmNDRhMDlmNjFhMTdhYTFiNzdmMGYiLCJ1c2VySWQiOiIyNzA1MDI4MTkifQ==</vt:lpwstr>
  </property>
</Properties>
</file>