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86D" w:rsidRDefault="00A2486D" w:rsidP="00A2486D">
      <w:pPr>
        <w:pStyle w:val="a5"/>
        <w:widowControl/>
        <w:shd w:val="clear" w:color="auto" w:fill="FFFFFF"/>
        <w:snapToGrid w:val="0"/>
        <w:spacing w:beforeAutospacing="0" w:afterAutospacing="0" w:line="520" w:lineRule="exact"/>
        <w:jc w:val="center"/>
        <w:rPr>
          <w:rFonts w:ascii="黑体" w:eastAsia="黑体" w:hAnsi="黑体" w:cs="黑体"/>
          <w:b/>
          <w:bCs/>
          <w:color w:val="000000"/>
          <w:sz w:val="44"/>
          <w:szCs w:val="44"/>
        </w:rPr>
      </w:pPr>
      <w:r>
        <w:rPr>
          <w:rFonts w:ascii="黑体" w:eastAsia="黑体" w:hAnsi="黑体" w:cs="黑体" w:hint="eastAsia"/>
          <w:b/>
          <w:bCs/>
          <w:color w:val="000000"/>
          <w:sz w:val="44"/>
          <w:szCs w:val="44"/>
          <w:shd w:val="clear" w:color="auto" w:fill="FFFFFF"/>
        </w:rPr>
        <w:t>辰溪县统计局部门整体支出绩效自评报告</w:t>
      </w:r>
    </w:p>
    <w:p w:rsidR="00A2486D" w:rsidRDefault="00A2486D" w:rsidP="00A2486D">
      <w:pPr>
        <w:pStyle w:val="a5"/>
        <w:widowControl/>
        <w:shd w:val="clear" w:color="auto" w:fill="FFFFFF"/>
        <w:snapToGrid w:val="0"/>
        <w:spacing w:beforeAutospacing="0" w:afterAutospacing="0" w:line="520" w:lineRule="exact"/>
        <w:jc w:val="center"/>
        <w:rPr>
          <w:rFonts w:ascii="仿宋_GB2312" w:eastAsia="仿宋_GB2312" w:cs="仿宋_GB2312"/>
          <w:color w:val="000000"/>
        </w:rPr>
      </w:pPr>
    </w:p>
    <w:p w:rsidR="00A2486D" w:rsidRDefault="00A2486D" w:rsidP="00A2486D">
      <w:pPr>
        <w:pStyle w:val="a5"/>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一、部门、单位基本情况</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楷体_GB2312" w:eastAsia="楷体_GB2312" w:cs="楷体_GB2312"/>
          <w:b/>
          <w:bCs/>
          <w:color w:val="000000"/>
          <w:sz w:val="32"/>
          <w:szCs w:val="32"/>
          <w:shd w:val="clear" w:color="auto" w:fill="FFFFFF"/>
        </w:rPr>
      </w:pPr>
      <w:r>
        <w:rPr>
          <w:rFonts w:ascii="楷体_GB2312" w:eastAsia="楷体_GB2312" w:cs="楷体_GB2312"/>
          <w:b/>
          <w:bCs/>
          <w:color w:val="000000"/>
          <w:sz w:val="32"/>
          <w:szCs w:val="32"/>
          <w:shd w:val="clear" w:color="auto" w:fill="FFFFFF"/>
        </w:rPr>
        <w:t>（一）机构设置情况</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shd w:val="clear" w:color="auto" w:fill="FFFFFF"/>
        </w:rPr>
      </w:pPr>
      <w:r>
        <w:rPr>
          <w:rFonts w:ascii="仿宋" w:eastAsia="仿宋" w:hAnsi="仿宋" w:cs="仿宋" w:hint="eastAsia"/>
          <w:color w:val="000000"/>
          <w:sz w:val="32"/>
          <w:szCs w:val="32"/>
          <w:shd w:val="clear" w:color="auto" w:fill="FFFFFF"/>
        </w:rPr>
        <w:t>辰溪县统计局作为一级部门预算单位，内设办公室；综合和国民经济核算统计股；农业工业和固定资产投资统计股；商贸服务业统计股3个股室</w:t>
      </w:r>
      <w:r>
        <w:rPr>
          <w:rFonts w:ascii="楷体_GB2312" w:eastAsia="楷体_GB2312" w:cs="楷体_GB2312"/>
          <w:color w:val="000000"/>
          <w:sz w:val="32"/>
          <w:szCs w:val="32"/>
          <w:shd w:val="clear" w:color="auto" w:fill="FFFFFF"/>
        </w:rPr>
        <w:t>。</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楷体_GB2312" w:eastAsia="楷体_GB2312" w:cs="楷体_GB2312"/>
          <w:b/>
          <w:bCs/>
          <w:color w:val="000000"/>
          <w:sz w:val="32"/>
          <w:szCs w:val="32"/>
          <w:shd w:val="clear" w:color="auto" w:fill="FFFFFF"/>
        </w:rPr>
      </w:pPr>
      <w:r>
        <w:rPr>
          <w:rFonts w:ascii="楷体_GB2312" w:eastAsia="楷体_GB2312" w:cs="楷体_GB2312"/>
          <w:color w:val="000000"/>
          <w:sz w:val="32"/>
          <w:szCs w:val="32"/>
          <w:shd w:val="clear" w:color="auto" w:fill="FFFFFF"/>
        </w:rPr>
        <w:t>（</w:t>
      </w:r>
      <w:r>
        <w:rPr>
          <w:rFonts w:ascii="楷体_GB2312" w:eastAsia="楷体_GB2312" w:cs="楷体_GB2312"/>
          <w:b/>
          <w:bCs/>
          <w:color w:val="000000"/>
          <w:sz w:val="32"/>
          <w:szCs w:val="32"/>
          <w:shd w:val="clear" w:color="auto" w:fill="FFFFFF"/>
        </w:rPr>
        <w:t>二）人员编制情况</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辰溪统计局在编在岗26人，退休17人。</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楷体_GB2312" w:eastAsia="楷体_GB2312" w:cs="楷体_GB2312"/>
          <w:b/>
          <w:bCs/>
          <w:color w:val="000000"/>
          <w:sz w:val="32"/>
          <w:szCs w:val="32"/>
          <w:shd w:val="clear" w:color="auto" w:fill="FFFFFF"/>
        </w:rPr>
      </w:pPr>
      <w:r>
        <w:rPr>
          <w:rFonts w:ascii="楷体_GB2312" w:eastAsia="楷体_GB2312" w:cs="楷体_GB2312"/>
          <w:b/>
          <w:bCs/>
          <w:color w:val="000000"/>
          <w:sz w:val="32"/>
          <w:szCs w:val="32"/>
          <w:shd w:val="clear" w:color="auto" w:fill="FFFFFF"/>
        </w:rPr>
        <w:t>（三）主要职能职责</w:t>
      </w:r>
    </w:p>
    <w:p w:rsidR="00A2486D" w:rsidRDefault="00A2486D" w:rsidP="00A2486D">
      <w:pPr>
        <w:widowControl/>
        <w:spacing w:line="600" w:lineRule="exact"/>
        <w:ind w:firstLineChars="200" w:firstLine="640"/>
        <w:rPr>
          <w:rFonts w:ascii="仿宋" w:eastAsia="仿宋" w:hAnsi="仿宋" w:cs="仿宋"/>
          <w:bCs/>
          <w:color w:val="262626"/>
          <w:kern w:val="0"/>
          <w:sz w:val="32"/>
          <w:szCs w:val="32"/>
        </w:rPr>
      </w:pPr>
      <w:r>
        <w:rPr>
          <w:rFonts w:ascii="仿宋" w:eastAsia="仿宋" w:hAnsi="仿宋" w:cs="仿宋" w:hint="eastAsia"/>
          <w:color w:val="262626"/>
          <w:sz w:val="32"/>
          <w:szCs w:val="32"/>
        </w:rPr>
        <w:t>统计局主要职责：</w:t>
      </w:r>
    </w:p>
    <w:p w:rsidR="00A2486D" w:rsidRDefault="00A2486D" w:rsidP="00A2486D">
      <w:pPr>
        <w:spacing w:line="600" w:lineRule="exact"/>
        <w:ind w:firstLineChars="200" w:firstLine="640"/>
        <w:rPr>
          <w:rFonts w:ascii="仿宋" w:eastAsia="仿宋" w:hAnsi="仿宋" w:cs="仿宋"/>
          <w:color w:val="262626"/>
          <w:sz w:val="32"/>
          <w:szCs w:val="32"/>
        </w:rPr>
      </w:pPr>
      <w:r>
        <w:rPr>
          <w:rFonts w:ascii="仿宋" w:eastAsia="仿宋" w:hAnsi="仿宋" w:cs="仿宋" w:hint="eastAsia"/>
          <w:color w:val="262626"/>
          <w:sz w:val="32"/>
          <w:szCs w:val="32"/>
        </w:rPr>
        <w:t>1.承担组织领导和协调全县统计工作，确保统计数据真实、准确、及时的责任。负责监测国民经济和社会发展态势，承担预测预警和信息引导的责任。</w:t>
      </w:r>
    </w:p>
    <w:p w:rsidR="00A2486D" w:rsidRDefault="00A2486D" w:rsidP="00A2486D">
      <w:pPr>
        <w:spacing w:line="600" w:lineRule="exact"/>
        <w:ind w:firstLineChars="200" w:firstLine="640"/>
        <w:rPr>
          <w:rFonts w:ascii="仿宋" w:eastAsia="仿宋" w:hAnsi="仿宋" w:cs="仿宋"/>
          <w:color w:val="262626"/>
          <w:sz w:val="32"/>
          <w:szCs w:val="32"/>
        </w:rPr>
      </w:pPr>
      <w:r>
        <w:rPr>
          <w:rFonts w:ascii="仿宋" w:eastAsia="仿宋" w:hAnsi="仿宋" w:cs="仿宋" w:hint="eastAsia"/>
          <w:color w:val="262626"/>
          <w:sz w:val="32"/>
          <w:szCs w:val="32"/>
        </w:rPr>
        <w:t>2.依据国家有关法律、法规，拟订全县统计工作规范性文件、统计改革和统计现代化建设规划以及全县统计调查计划；指导、监督检查各乡镇、县直各部门的统计工作；监督检查统计法律、法规在全县范围内的实施情况。</w:t>
      </w:r>
    </w:p>
    <w:p w:rsidR="00A2486D" w:rsidRDefault="00A2486D" w:rsidP="00A2486D">
      <w:pPr>
        <w:spacing w:line="600" w:lineRule="exact"/>
        <w:ind w:firstLineChars="200" w:firstLine="640"/>
        <w:rPr>
          <w:rFonts w:ascii="仿宋" w:eastAsia="仿宋" w:hAnsi="仿宋" w:cs="仿宋"/>
          <w:color w:val="262626"/>
          <w:sz w:val="32"/>
          <w:szCs w:val="32"/>
        </w:rPr>
      </w:pPr>
      <w:r>
        <w:rPr>
          <w:rFonts w:ascii="仿宋" w:eastAsia="仿宋" w:hAnsi="仿宋" w:cs="仿宋" w:hint="eastAsia"/>
          <w:color w:val="262626"/>
          <w:sz w:val="32"/>
          <w:szCs w:val="32"/>
        </w:rPr>
        <w:t>3.建立健全国民经济核算体系，组织实施国民经济核算制度和投入产出调查，核算全县国内生产总值，汇编国民经济核算资料。</w:t>
      </w:r>
    </w:p>
    <w:p w:rsidR="00A2486D" w:rsidRDefault="00A2486D" w:rsidP="00A2486D">
      <w:pPr>
        <w:pStyle w:val="a5"/>
        <w:widowControl/>
        <w:shd w:val="clear" w:color="auto" w:fill="FFFFFF"/>
        <w:snapToGrid w:val="0"/>
        <w:spacing w:beforeAutospacing="0" w:afterAutospacing="0" w:line="520" w:lineRule="exact"/>
        <w:rPr>
          <w:rFonts w:ascii="楷体_GB2312" w:eastAsia="楷体_GB2312" w:cs="楷体_GB2312"/>
          <w:color w:val="000000"/>
          <w:sz w:val="32"/>
          <w:szCs w:val="32"/>
          <w:shd w:val="clear" w:color="auto" w:fill="FFFFFF"/>
        </w:rPr>
      </w:pPr>
      <w:r>
        <w:rPr>
          <w:rFonts w:ascii="仿宋" w:eastAsia="仿宋" w:hAnsi="仿宋" w:cs="仿宋" w:hint="eastAsia"/>
          <w:color w:val="262626"/>
          <w:sz w:val="32"/>
          <w:szCs w:val="32"/>
        </w:rPr>
        <w:t>组织实施人口、经济、农业等重大国情国力普查，汇总、整理和提供有关国情国力方面的统计数据。</w:t>
      </w:r>
    </w:p>
    <w:p w:rsidR="00A2486D" w:rsidRDefault="00A2486D" w:rsidP="00A2486D">
      <w:pPr>
        <w:pStyle w:val="a5"/>
        <w:widowControl/>
        <w:numPr>
          <w:ilvl w:val="0"/>
          <w:numId w:val="1"/>
        </w:numPr>
        <w:shd w:val="clear" w:color="auto" w:fill="FFFFFF"/>
        <w:snapToGrid w:val="0"/>
        <w:spacing w:beforeAutospacing="0" w:afterAutospacing="0" w:line="520" w:lineRule="exact"/>
        <w:rPr>
          <w:rFonts w:ascii="楷体" w:eastAsia="楷体" w:hAnsi="楷体" w:cs="楷体"/>
          <w:b/>
          <w:bCs/>
          <w:color w:val="000000"/>
          <w:sz w:val="32"/>
          <w:szCs w:val="32"/>
          <w:shd w:val="clear" w:color="auto" w:fill="FFFFFF"/>
        </w:rPr>
      </w:pPr>
      <w:r>
        <w:rPr>
          <w:rFonts w:ascii="楷体" w:eastAsia="楷体" w:hAnsi="楷体" w:cs="楷体" w:hint="eastAsia"/>
          <w:b/>
          <w:bCs/>
          <w:color w:val="000000"/>
          <w:sz w:val="32"/>
          <w:szCs w:val="32"/>
          <w:shd w:val="clear" w:color="auto" w:fill="FFFFFF"/>
        </w:rPr>
        <w:t>绩效目标设定情况</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楷体_GB2312" w:eastAsia="楷体_GB2312" w:cs="楷体_GB2312"/>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辰溪县统计局2024年的重点项目是劳动力调查和城乡住户一体化及电子记账调查、第五次全国经济普查。1.劳动力调查对于及时准确反映我省劳动力资源，摸清就业、失业状况，准确研判就业形势，科学制定和调整就业政策、改善宏观调控，改进就业服务。2.城乡住户一体化住户调查是国家统计工作的重大改革举措之一。是为了整合住户调查资源，建立统计指标规范、抽样科学严谨、手段高效便捷、调查扎实可靠、发布公开透明的住户调查新体系，准确完整地反映全体居民收入、支出以及家庭就业、消费、住房等情况，客观揭示城乡之间、地区之间和不同群体之间的收入差距及其变化，为促进城乡统筹发展和制定民生改善政策提供可靠科学依据。3.第五次全国经济普查是一项重大国情国力调查，将首次统筹开展投入产出调查，全面调查我国第二产业和第三产业发展规模、布局和效益，摸清各类单位基本情况，掌握国民经济行业间经济联系，客观反映推动高质量发展、构建新发展格局、建设现代化经济体系、深化供给侧结构性改革以及创新驱动发展、区域协调发展、生态文明建设、高水平对外开放、公共服务体系建设等方面的新进展。通过普查，进一步夯实统计基础，推进统计现代化改革，为加强和改善宏观经济治理、科学制定中长期发展规划、全面建设社会主义现代化国家，提供科学准确的统计信息支持。</w:t>
      </w:r>
    </w:p>
    <w:p w:rsidR="00A2486D" w:rsidRDefault="00A2486D" w:rsidP="00A2486D">
      <w:pPr>
        <w:snapToGrid w:val="0"/>
        <w:spacing w:line="520" w:lineRule="exact"/>
        <w:rPr>
          <w:rFonts w:ascii="黑体" w:eastAsia="黑体" w:hAnsi="黑体" w:cs="黑体"/>
          <w:color w:val="000000"/>
          <w:kern w:val="0"/>
          <w:sz w:val="32"/>
          <w:szCs w:val="32"/>
          <w:shd w:val="clear" w:color="auto" w:fill="FFFFFF"/>
        </w:rPr>
      </w:pPr>
    </w:p>
    <w:p w:rsidR="00A2486D" w:rsidRDefault="00A2486D" w:rsidP="00A2486D">
      <w:pPr>
        <w:snapToGrid w:val="0"/>
        <w:spacing w:line="520" w:lineRule="exact"/>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二、部门整体支出管理及使用情况</w:t>
      </w:r>
    </w:p>
    <w:p w:rsidR="00A2486D" w:rsidRDefault="00A2486D" w:rsidP="00A2486D">
      <w:pPr>
        <w:pStyle w:val="a5"/>
        <w:widowControl/>
        <w:shd w:val="clear" w:color="auto" w:fill="FFFFFF"/>
        <w:snapToGrid w:val="0"/>
        <w:spacing w:beforeAutospacing="0" w:afterAutospacing="0" w:line="520" w:lineRule="exact"/>
        <w:rPr>
          <w:rFonts w:ascii="楷体_GB2312" w:eastAsia="楷体_GB2312" w:cs="楷体_GB2312"/>
          <w:b/>
          <w:bCs/>
          <w:color w:val="000000"/>
          <w:sz w:val="32"/>
          <w:szCs w:val="32"/>
          <w:shd w:val="clear" w:color="auto" w:fill="FFFFFF"/>
        </w:rPr>
      </w:pPr>
      <w:r>
        <w:rPr>
          <w:rFonts w:ascii="楷体_GB2312" w:eastAsia="楷体_GB2312" w:cs="楷体_GB2312"/>
          <w:b/>
          <w:bCs/>
          <w:color w:val="000000"/>
          <w:sz w:val="32"/>
          <w:szCs w:val="32"/>
          <w:shd w:val="clear" w:color="auto" w:fill="FFFFFF"/>
        </w:rPr>
        <w:t>（一）</w:t>
      </w:r>
      <w:r>
        <w:rPr>
          <w:rFonts w:ascii="楷体_GB2312" w:eastAsia="楷体_GB2312" w:cs="楷体_GB2312" w:hint="eastAsia"/>
          <w:b/>
          <w:bCs/>
          <w:color w:val="000000"/>
          <w:sz w:val="32"/>
          <w:szCs w:val="32"/>
          <w:shd w:val="clear" w:color="auto" w:fill="FFFFFF"/>
        </w:rPr>
        <w:t>预算执行、使用、管理总体情况。</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lastRenderedPageBreak/>
        <w:t>2024年度收入总计632.13万元。与上年相比，增加181.75 万元，增长 40.35%，主要是因为增加了第五次全国经济普查工作的开展支出。</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2024年度支出总计632.13万元。与上年相比，增加181.75万元，增长40.35% ，主要是因为增加了第五次全国经济普查工作的开展支出。</w:t>
      </w:r>
    </w:p>
    <w:p w:rsidR="00A2486D" w:rsidRDefault="00A2486D" w:rsidP="00A2486D">
      <w:pPr>
        <w:pStyle w:val="a5"/>
        <w:widowControl/>
        <w:shd w:val="clear" w:color="auto" w:fill="FFFFFF"/>
        <w:snapToGrid w:val="0"/>
        <w:spacing w:beforeAutospacing="0" w:afterAutospacing="0" w:line="520" w:lineRule="exact"/>
        <w:rPr>
          <w:rFonts w:ascii="楷体_GB2312" w:eastAsia="楷体_GB2312" w:cs="楷体_GB2312"/>
          <w:b/>
          <w:bCs/>
          <w:color w:val="000000"/>
          <w:sz w:val="32"/>
          <w:szCs w:val="32"/>
        </w:rPr>
      </w:pPr>
      <w:r>
        <w:rPr>
          <w:rFonts w:ascii="楷体_GB2312" w:eastAsia="楷体_GB2312" w:cs="楷体_GB2312"/>
          <w:b/>
          <w:bCs/>
          <w:color w:val="000000"/>
          <w:sz w:val="32"/>
          <w:szCs w:val="32"/>
          <w:shd w:val="clear" w:color="auto" w:fill="FFFFFF"/>
        </w:rPr>
        <w:t>（二）部门预算执行情况</w:t>
      </w:r>
    </w:p>
    <w:p w:rsidR="00A2486D" w:rsidRDefault="00A2486D" w:rsidP="00A2486D">
      <w:pPr>
        <w:pStyle w:val="a5"/>
        <w:widowControl/>
        <w:shd w:val="clear" w:color="auto" w:fill="FFFFFF"/>
        <w:snapToGrid w:val="0"/>
        <w:spacing w:beforeAutospacing="0" w:afterAutospacing="0" w:line="520" w:lineRule="exact"/>
        <w:ind w:left="640"/>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1.基本支出情况</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仿宋" w:eastAsia="仿宋" w:hAnsi="仿宋" w:cs="仿宋"/>
          <w:color w:val="000000"/>
          <w:sz w:val="32"/>
          <w:szCs w:val="32"/>
          <w:shd w:val="clear" w:color="auto" w:fill="FFFFFF"/>
        </w:rPr>
      </w:pPr>
      <w:r>
        <w:rPr>
          <w:rFonts w:ascii="仿宋" w:eastAsia="仿宋" w:hAnsi="仿宋" w:cs="仿宋" w:hint="eastAsia"/>
          <w:color w:val="000000"/>
          <w:sz w:val="32"/>
          <w:szCs w:val="32"/>
          <w:shd w:val="clear" w:color="auto" w:fill="FFFFFF"/>
        </w:rPr>
        <w:t>2024年度支出总计632.13万元。与上年相比，增加181.75万元，增长40.35% ，主要是因为增加了第五次全国经济普查工作的开展支出。</w:t>
      </w:r>
    </w:p>
    <w:p w:rsidR="00A2486D" w:rsidRDefault="00A2486D" w:rsidP="00A2486D">
      <w:pPr>
        <w:widowControl/>
        <w:shd w:val="clear" w:color="auto" w:fill="FFFFFF"/>
        <w:spacing w:line="600" w:lineRule="atLeast"/>
        <w:ind w:firstLine="643"/>
        <w:rPr>
          <w:rFonts w:ascii="仿宋" w:eastAsia="仿宋" w:hAnsi="仿宋"/>
          <w:spacing w:val="-2"/>
          <w:sz w:val="32"/>
          <w:szCs w:val="32"/>
        </w:rPr>
      </w:pPr>
      <w:r>
        <w:rPr>
          <w:rFonts w:ascii="仿宋" w:eastAsia="仿宋" w:hAnsi="仿宋" w:hint="eastAsia"/>
          <w:spacing w:val="-2"/>
          <w:sz w:val="32"/>
          <w:szCs w:val="32"/>
        </w:rPr>
        <w:t>2024年度财政拨款支出632.13万元，主要用于以下方面：一般公共服务（类）支出583.53万元，占92.31%；社会保障和就业支出48.59万元，占 7.69%。</w:t>
      </w:r>
    </w:p>
    <w:p w:rsidR="00A2486D" w:rsidRDefault="00A2486D" w:rsidP="00A2486D">
      <w:pPr>
        <w:widowControl/>
        <w:shd w:val="clear" w:color="auto" w:fill="FFFFFF"/>
        <w:spacing w:line="600" w:lineRule="atLeast"/>
        <w:ind w:firstLine="643"/>
        <w:rPr>
          <w:rFonts w:ascii="仿宋_GB2312" w:eastAsia="仿宋_GB2312" w:cs="仿宋_GB2312"/>
          <w:color w:val="000000"/>
          <w:sz w:val="32"/>
          <w:szCs w:val="32"/>
          <w:shd w:val="clear" w:color="auto" w:fill="FFFFFF"/>
        </w:rPr>
      </w:pPr>
      <w:r>
        <w:rPr>
          <w:rFonts w:ascii="仿宋" w:eastAsia="仿宋" w:hAnsi="仿宋" w:hint="eastAsia"/>
          <w:spacing w:val="-2"/>
          <w:sz w:val="32"/>
          <w:szCs w:val="32"/>
        </w:rPr>
        <w:t xml:space="preserve">2024年度财政拨款基本支出446.85万元，其中：人员经费333.84万元，占基本支出的74.71 %,主要包括基本工资84.19 万元、津贴补贴67.08 万元、奖金 59.37 万元、伙食补助费4.84  万元、绩效工资10.91 万元、 机关事业单位基本养老保险缴费 48.59 万元、职业年金缴费 8.1 万元、职工基本医疗保险缴费 40.08 万元、 其他社会保障缴费0.95 万元、其他工资福利支出3.2 万元；对个人和家庭的补助 6.53万元；公用经费113.01万元，占基本支出的 25.29 %，主要包括办公费 3.61万元、水费1.18万元、电费2.78 万元、邮电费0.012万元、物业管理费  0.67万元、差旅费8.88  </w:t>
      </w:r>
      <w:r>
        <w:rPr>
          <w:rFonts w:ascii="仿宋" w:eastAsia="仿宋" w:hAnsi="仿宋" w:hint="eastAsia"/>
          <w:spacing w:val="-2"/>
          <w:sz w:val="32"/>
          <w:szCs w:val="32"/>
        </w:rPr>
        <w:lastRenderedPageBreak/>
        <w:t>万元、维修（护）费 0.07万元、 会议费1 万元、公务接待费 1.32万元、劳务费3.16 万元、委托业务费33.1万元、工会经费 16.3 万元、福利费4.2万元、其他交通费用2.90 万元、其他商品和服务支出9.68万元、办公设备购置24.15万元。</w:t>
      </w:r>
    </w:p>
    <w:p w:rsidR="00A2486D" w:rsidRDefault="00A2486D" w:rsidP="00A2486D">
      <w:pPr>
        <w:pStyle w:val="a5"/>
        <w:widowControl/>
        <w:shd w:val="clear" w:color="auto" w:fill="FFFFFF"/>
        <w:snapToGrid w:val="0"/>
        <w:spacing w:beforeAutospacing="0" w:afterAutospacing="0" w:line="520" w:lineRule="exact"/>
        <w:ind w:left="640"/>
        <w:rPr>
          <w:rFonts w:ascii="仿宋_GB2312" w:eastAsia="仿宋_GB2312" w:cs="仿宋_GB2312"/>
          <w:color w:val="000000"/>
          <w:sz w:val="32"/>
          <w:szCs w:val="32"/>
          <w:shd w:val="clear" w:color="auto" w:fill="FFFFFF"/>
        </w:rPr>
      </w:pPr>
      <w:r>
        <w:rPr>
          <w:rFonts w:ascii="仿宋_GB2312" w:eastAsia="仿宋_GB2312" w:cs="仿宋_GB2312"/>
          <w:color w:val="000000"/>
          <w:sz w:val="32"/>
          <w:szCs w:val="32"/>
          <w:shd w:val="clear" w:color="auto" w:fill="FFFFFF"/>
        </w:rPr>
        <w:t>2.项目支出情况</w:t>
      </w:r>
    </w:p>
    <w:p w:rsidR="00A2486D" w:rsidRDefault="00A2486D" w:rsidP="00A2486D">
      <w:pPr>
        <w:widowControl/>
        <w:shd w:val="clear" w:color="auto" w:fill="FFFFFF"/>
        <w:spacing w:line="600" w:lineRule="atLeast"/>
        <w:ind w:firstLineChars="200" w:firstLine="632"/>
        <w:rPr>
          <w:rFonts w:ascii="仿宋_GB2312" w:eastAsia="仿宋_GB2312" w:cs="仿宋_GB2312"/>
          <w:color w:val="000000"/>
          <w:sz w:val="32"/>
          <w:szCs w:val="32"/>
          <w:shd w:val="clear" w:color="auto" w:fill="FFFFFF"/>
        </w:rPr>
      </w:pPr>
      <w:r>
        <w:rPr>
          <w:rFonts w:ascii="仿宋" w:eastAsia="仿宋" w:hAnsi="仿宋" w:hint="eastAsia"/>
          <w:spacing w:val="-2"/>
          <w:sz w:val="32"/>
          <w:szCs w:val="32"/>
        </w:rPr>
        <w:t>本年支出合计632.13万元，其中：基本支出446.85 万元，占 70.68%；项目支出185.28万元，占29.32%，其中劳动力调查22.52万元；住户一体化及电子记账28.29万元；第五次全国经济普查工作134.47万元；上缴上级支出 0 万元，占  0  %；经营支出 0 万元，占  0  %；对附属单位补助支出 0 万元，占 0 %。</w:t>
      </w:r>
    </w:p>
    <w:p w:rsidR="00A2486D" w:rsidRDefault="00A2486D" w:rsidP="00A2486D">
      <w:pPr>
        <w:pStyle w:val="a5"/>
        <w:widowControl/>
        <w:numPr>
          <w:ilvl w:val="0"/>
          <w:numId w:val="2"/>
        </w:numPr>
        <w:shd w:val="clear" w:color="auto" w:fill="FFFFFF"/>
        <w:snapToGrid w:val="0"/>
        <w:spacing w:beforeAutospacing="0" w:afterAutospacing="0" w:line="520" w:lineRule="exact"/>
        <w:rPr>
          <w:rFonts w:ascii="楷体_GB2312" w:eastAsia="楷体_GB2312" w:cs="楷体_GB2312"/>
          <w:b/>
          <w:bCs/>
          <w:color w:val="000000"/>
          <w:sz w:val="32"/>
          <w:szCs w:val="32"/>
          <w:shd w:val="clear" w:color="auto" w:fill="FFFFFF"/>
        </w:rPr>
      </w:pPr>
      <w:r>
        <w:rPr>
          <w:rFonts w:ascii="楷体_GB2312" w:eastAsia="楷体_GB2312" w:cs="楷体_GB2312"/>
          <w:b/>
          <w:bCs/>
          <w:color w:val="000000"/>
          <w:sz w:val="32"/>
          <w:szCs w:val="32"/>
          <w:shd w:val="clear" w:color="auto" w:fill="FFFFFF"/>
        </w:rPr>
        <w:t>"三公"经费使用和管理情况</w:t>
      </w:r>
    </w:p>
    <w:p w:rsidR="00A2486D" w:rsidRDefault="00A2486D" w:rsidP="00A2486D">
      <w:pPr>
        <w:widowControl/>
        <w:shd w:val="clear" w:color="auto" w:fill="FFFFFF"/>
        <w:spacing w:line="600" w:lineRule="atLeast"/>
        <w:ind w:firstLine="643"/>
        <w:rPr>
          <w:rFonts w:ascii="仿宋" w:eastAsia="仿宋" w:hAnsi="仿宋"/>
          <w:spacing w:val="-2"/>
          <w:sz w:val="32"/>
          <w:szCs w:val="32"/>
        </w:rPr>
      </w:pPr>
      <w:r>
        <w:rPr>
          <w:rFonts w:ascii="仿宋" w:eastAsia="仿宋" w:hAnsi="仿宋" w:hint="eastAsia"/>
          <w:spacing w:val="-2"/>
          <w:sz w:val="32"/>
          <w:szCs w:val="32"/>
        </w:rPr>
        <w:t>2024年度“三公”经费财政拨款支出决算中，公务接待费支出决算 1.32万元，占100 %,因公出国（境）费支出决算  0万元，占 0   %,公务用车购置费及运行维护费支出决算 0 万元，占  0  %。其中：</w:t>
      </w:r>
    </w:p>
    <w:p w:rsidR="00A2486D" w:rsidRDefault="00A2486D" w:rsidP="00A2486D">
      <w:pPr>
        <w:widowControl/>
        <w:shd w:val="clear" w:color="auto" w:fill="FFFFFF"/>
        <w:spacing w:line="600" w:lineRule="atLeast"/>
        <w:ind w:firstLine="643"/>
        <w:rPr>
          <w:rFonts w:ascii="仿宋" w:eastAsia="仿宋" w:hAnsi="仿宋"/>
          <w:spacing w:val="-2"/>
          <w:sz w:val="32"/>
          <w:szCs w:val="32"/>
        </w:rPr>
      </w:pPr>
      <w:r>
        <w:rPr>
          <w:rFonts w:ascii="仿宋" w:eastAsia="仿宋" w:hAnsi="仿宋" w:hint="eastAsia"/>
          <w:spacing w:val="-2"/>
          <w:sz w:val="32"/>
          <w:szCs w:val="32"/>
        </w:rPr>
        <w:t>1.因公出国（境）费支出决算为 0万元，全年安排因公出国（境）团组  0  个，累计 0 人次。</w:t>
      </w:r>
    </w:p>
    <w:p w:rsidR="00A2486D" w:rsidRDefault="00A2486D" w:rsidP="00A2486D">
      <w:pPr>
        <w:widowControl/>
        <w:shd w:val="clear" w:color="auto" w:fill="FFFFFF"/>
        <w:spacing w:line="600" w:lineRule="atLeast"/>
        <w:ind w:firstLine="643"/>
        <w:rPr>
          <w:rFonts w:ascii="仿宋" w:eastAsia="仿宋" w:hAnsi="仿宋"/>
          <w:spacing w:val="-2"/>
          <w:sz w:val="32"/>
          <w:szCs w:val="32"/>
        </w:rPr>
      </w:pPr>
      <w:r>
        <w:rPr>
          <w:rFonts w:ascii="仿宋" w:eastAsia="仿宋" w:hAnsi="仿宋" w:hint="eastAsia"/>
          <w:spacing w:val="-2"/>
          <w:sz w:val="32"/>
          <w:szCs w:val="32"/>
        </w:rPr>
        <w:t>2.公务接待费支出决算为 1.32万元，全年共接待来访团组21个、来宾人次69人，主要是省、市、及外县来人业务接洽发生的接待支出。</w:t>
      </w:r>
    </w:p>
    <w:p w:rsidR="00A2486D" w:rsidRDefault="00A2486D" w:rsidP="00A2486D">
      <w:pPr>
        <w:pStyle w:val="a5"/>
        <w:widowControl/>
        <w:shd w:val="clear" w:color="auto" w:fill="FFFFFF"/>
        <w:snapToGrid w:val="0"/>
        <w:spacing w:beforeAutospacing="0" w:afterAutospacing="0" w:line="520" w:lineRule="exact"/>
        <w:ind w:firstLineChars="200" w:firstLine="632"/>
        <w:rPr>
          <w:rFonts w:ascii="楷体_GB2312" w:eastAsia="楷体_GB2312" w:cs="楷体_GB2312"/>
          <w:color w:val="000000"/>
          <w:sz w:val="32"/>
          <w:szCs w:val="32"/>
          <w:shd w:val="clear" w:color="auto" w:fill="FFFFFF"/>
        </w:rPr>
      </w:pPr>
      <w:r>
        <w:rPr>
          <w:rFonts w:ascii="仿宋" w:eastAsia="仿宋" w:hAnsi="仿宋" w:hint="eastAsia"/>
          <w:spacing w:val="-2"/>
          <w:sz w:val="32"/>
          <w:szCs w:val="32"/>
        </w:rPr>
        <w:lastRenderedPageBreak/>
        <w:t>3.公务用车购置费及运行维护费支出决算为 0 万元，其中：公务用车购置费 0 万元，（单位本级或某二级机构）更新公务用车0辆。公务用车运行维护费 0 万元，截止2024年12月31日，我单位开支财政拨款的公务用车保有量为 0辆。</w:t>
      </w:r>
    </w:p>
    <w:p w:rsidR="00A2486D" w:rsidRDefault="00A2486D" w:rsidP="00A2486D">
      <w:pPr>
        <w:pStyle w:val="a5"/>
        <w:widowControl/>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三、政府性基金预算支出情况</w:t>
      </w:r>
    </w:p>
    <w:p w:rsidR="00A2486D" w:rsidRDefault="00A2486D" w:rsidP="00A2486D">
      <w:pPr>
        <w:pStyle w:val="a6"/>
        <w:widowControl/>
        <w:spacing w:line="600" w:lineRule="exact"/>
        <w:ind w:left="640" w:firstLineChars="0" w:firstLine="0"/>
        <w:jc w:val="left"/>
        <w:rPr>
          <w:rFonts w:ascii="仿宋" w:eastAsia="仿宋" w:hAnsi="仿宋" w:cs="仿宋"/>
          <w:sz w:val="32"/>
          <w:szCs w:val="32"/>
        </w:rPr>
      </w:pPr>
      <w:r>
        <w:rPr>
          <w:rFonts w:ascii="仿宋" w:eastAsia="仿宋" w:hAnsi="仿宋" w:cs="仿宋" w:hint="eastAsia"/>
          <w:sz w:val="32"/>
          <w:szCs w:val="32"/>
        </w:rPr>
        <w:t>本部门无政府性基金安排的支出。</w:t>
      </w:r>
    </w:p>
    <w:p w:rsidR="00A2486D" w:rsidRDefault="00A2486D" w:rsidP="00A2486D">
      <w:pPr>
        <w:pStyle w:val="a5"/>
        <w:widowControl/>
        <w:numPr>
          <w:ilvl w:val="0"/>
          <w:numId w:val="3"/>
        </w:numPr>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国有资本经营预算支出情况</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黑体" w:eastAsia="仿宋" w:hAnsi="黑体" w:cs="黑体"/>
          <w:color w:val="000000"/>
          <w:sz w:val="32"/>
          <w:szCs w:val="32"/>
          <w:shd w:val="clear" w:color="auto" w:fill="FFFFFF"/>
        </w:rPr>
      </w:pPr>
      <w:r>
        <w:rPr>
          <w:rFonts w:ascii="仿宋" w:eastAsia="仿宋" w:hAnsi="仿宋" w:cs="仿宋" w:hint="eastAsia"/>
          <w:sz w:val="32"/>
          <w:szCs w:val="32"/>
        </w:rPr>
        <w:t>本部门无国有资本经营预算的支出。</w:t>
      </w:r>
    </w:p>
    <w:p w:rsidR="00A2486D" w:rsidRDefault="00A2486D" w:rsidP="00A2486D">
      <w:pPr>
        <w:pStyle w:val="a5"/>
        <w:widowControl/>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五、社会保险基金预算支出情况</w:t>
      </w:r>
    </w:p>
    <w:p w:rsidR="00A2486D" w:rsidRDefault="00A2486D" w:rsidP="00A2486D">
      <w:pPr>
        <w:pStyle w:val="a6"/>
        <w:widowControl/>
        <w:spacing w:line="600" w:lineRule="exact"/>
        <w:ind w:left="0" w:firstLine="640"/>
        <w:jc w:val="left"/>
        <w:rPr>
          <w:rFonts w:ascii="黑体" w:eastAsia="仿宋" w:hAnsi="黑体" w:cs="黑体"/>
          <w:color w:val="000000"/>
          <w:sz w:val="32"/>
          <w:szCs w:val="32"/>
          <w:shd w:val="clear" w:color="auto" w:fill="FFFFFF"/>
        </w:rPr>
      </w:pPr>
      <w:r>
        <w:rPr>
          <w:rFonts w:ascii="仿宋" w:eastAsia="仿宋" w:hAnsi="仿宋" w:cs="仿宋" w:hint="eastAsia"/>
          <w:sz w:val="32"/>
          <w:szCs w:val="32"/>
        </w:rPr>
        <w:t>本部门无社会保险基金预算安排的支出。</w:t>
      </w:r>
    </w:p>
    <w:p w:rsidR="00A2486D" w:rsidRDefault="00A2486D" w:rsidP="00A2486D">
      <w:pPr>
        <w:pStyle w:val="a5"/>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六、部门整体支出绩效情况</w:t>
      </w:r>
    </w:p>
    <w:p w:rsidR="00A2486D" w:rsidRDefault="00A2486D" w:rsidP="00A2486D">
      <w:pPr>
        <w:pStyle w:val="a5"/>
        <w:widowControl/>
        <w:shd w:val="clear" w:color="auto" w:fill="FFFFFF"/>
        <w:snapToGrid w:val="0"/>
        <w:spacing w:beforeAutospacing="0" w:afterAutospacing="0" w:line="520" w:lineRule="exact"/>
        <w:rPr>
          <w:rFonts w:ascii="楷体_GB2312" w:eastAsia="楷体_GB2312" w:cs="楷体_GB2312"/>
          <w:b/>
          <w:bCs/>
          <w:color w:val="000000"/>
          <w:sz w:val="32"/>
          <w:szCs w:val="32"/>
          <w:shd w:val="clear" w:color="auto" w:fill="FFFFFF"/>
        </w:rPr>
      </w:pPr>
      <w:r>
        <w:rPr>
          <w:rFonts w:ascii="楷体_GB2312" w:eastAsia="楷体_GB2312" w:cs="楷体_GB2312"/>
          <w:b/>
          <w:bCs/>
          <w:color w:val="000000"/>
          <w:sz w:val="32"/>
          <w:szCs w:val="32"/>
          <w:shd w:val="clear" w:color="auto" w:fill="FFFFFF"/>
        </w:rPr>
        <w:t>（一）综合评价结论。</w:t>
      </w:r>
    </w:p>
    <w:p w:rsidR="00A2486D" w:rsidRDefault="00A2486D" w:rsidP="00A2486D">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根据《国务院办公厅关于建立劳动力调查制度的通知》（国办发【2004】72号）《关于开展分市州劳动力调查工作的通知》（湘发改就业【2019】764号）认真开展劳动力调查工作。</w:t>
      </w:r>
    </w:p>
    <w:p w:rsidR="00A2486D" w:rsidRDefault="00A2486D" w:rsidP="00A2486D">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根据《国家统计局湖南调查总队关于大力推进住户调查电子记账工作的通知》湘调字〔2018〕34号和《国家统计局怀化调查队关于开展住户调查电子记账工作的通知》（怀调字【2018】4号文件）要求认真扎实开展了城乡住户调查及电子记账工作。</w:t>
      </w:r>
    </w:p>
    <w:p w:rsidR="00A2486D" w:rsidRDefault="00A2486D" w:rsidP="00A2486D">
      <w:pPr>
        <w:pStyle w:val="a6"/>
        <w:widowControl/>
        <w:spacing w:line="600" w:lineRule="exact"/>
        <w:ind w:left="640" w:firstLineChars="0" w:firstLine="0"/>
        <w:jc w:val="left"/>
        <w:rPr>
          <w:rFonts w:ascii="仿宋" w:eastAsia="仿宋" w:hAnsi="仿宋" w:cs="仿宋"/>
          <w:sz w:val="32"/>
          <w:szCs w:val="32"/>
        </w:rPr>
      </w:pPr>
      <w:r>
        <w:rPr>
          <w:rFonts w:ascii="仿宋" w:eastAsia="仿宋" w:hAnsi="仿宋" w:cs="仿宋" w:hint="eastAsia"/>
          <w:sz w:val="32"/>
          <w:szCs w:val="32"/>
        </w:rPr>
        <w:t>根据湘统函【2022】14号做好关于开展全国第五次经济</w:t>
      </w:r>
    </w:p>
    <w:p w:rsidR="00A2486D" w:rsidRDefault="00A2486D" w:rsidP="00A2486D">
      <w:pPr>
        <w:pStyle w:val="a6"/>
        <w:widowControl/>
        <w:spacing w:line="600" w:lineRule="exact"/>
        <w:ind w:left="0" w:firstLineChars="0" w:firstLine="0"/>
        <w:jc w:val="left"/>
        <w:rPr>
          <w:rFonts w:ascii="仿宋" w:eastAsia="仿宋" w:hAnsi="仿宋" w:cs="仿宋"/>
          <w:sz w:val="32"/>
          <w:szCs w:val="32"/>
        </w:rPr>
      </w:pPr>
      <w:r>
        <w:rPr>
          <w:rFonts w:ascii="仿宋" w:eastAsia="仿宋" w:hAnsi="仿宋" w:cs="仿宋" w:hint="eastAsia"/>
          <w:sz w:val="32"/>
          <w:szCs w:val="32"/>
        </w:rPr>
        <w:lastRenderedPageBreak/>
        <w:t>普查工作，全面调查我国第二产业和第三产业发展规模、布局和效益，摸清各类单位基本情况，掌握国民经济行业间经济联系，客观反映推动高质量发展、构建新发展格局、建设现代化经济体系、深化供给侧结构性改革以及创新驱动发展、区域协调发展、生态文明建设、高水平对外开放、公共服务体系建设等方面的新进展。</w:t>
      </w:r>
    </w:p>
    <w:p w:rsidR="00A2486D" w:rsidRDefault="00A2486D" w:rsidP="00A2486D">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现将我局2024年度劳动力调查工作、城乡住户一体化及电子记账调查及第五次全国经济普查工作完成情况公示如下：</w:t>
      </w:r>
    </w:p>
    <w:p w:rsidR="00A2486D" w:rsidRDefault="00A2486D" w:rsidP="00A2486D">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劳动力调查对于及时准确反映我省劳动力资源，摸清就业、失业状况，准确研判就业形势，科学制定和调整就业政策、改善宏观调控，改进就业服务。劳动力调查扩样后我县为7个点，其中城镇点5个、农村点2个，全年预计完成劳动力入户调查1344户，通过对全县各抽样点轮换抽样调查12月全县调查失业率3.1%，其中城镇4.6%，农村2.3%，实现全县年均调查失业率低于4%，城镇年均调查失业率低于5%。</w:t>
      </w:r>
    </w:p>
    <w:p w:rsidR="00A2486D" w:rsidRDefault="00A2486D" w:rsidP="00A2486D">
      <w:pPr>
        <w:widowControl/>
        <w:shd w:val="clear" w:color="auto" w:fill="FFFFFF"/>
        <w:spacing w:line="600" w:lineRule="atLeast"/>
        <w:ind w:firstLine="640"/>
        <w:rPr>
          <w:rFonts w:ascii="仿宋" w:eastAsia="仿宋" w:hAnsi="仿宋"/>
          <w:spacing w:val="-2"/>
          <w:sz w:val="32"/>
          <w:szCs w:val="32"/>
        </w:rPr>
      </w:pPr>
      <w:r>
        <w:rPr>
          <w:rFonts w:ascii="仿宋" w:eastAsia="仿宋" w:hAnsi="仿宋" w:hint="eastAsia"/>
          <w:spacing w:val="-2"/>
          <w:sz w:val="32"/>
          <w:szCs w:val="32"/>
        </w:rPr>
        <w:t>城乡住户一体化住户调查是国家统计工作的重大改革举措之一。全县共120户记账调查户，城乡居民人均可支配收入实现22633元，同比增长5.5 %，全市排名第十；其中城镇居民人均可支配收入完成33731元，同比增长4.3 %，全市排名第十二；农村居民人均可支配收入完成16633元，同比增长5.8 %，全市排名第十一。</w:t>
      </w:r>
    </w:p>
    <w:p w:rsidR="00A2486D" w:rsidRDefault="00A2486D" w:rsidP="00A2486D">
      <w:pPr>
        <w:widowControl/>
        <w:shd w:val="clear" w:color="auto" w:fill="FFFFFF"/>
        <w:spacing w:line="600" w:lineRule="atLeast"/>
        <w:ind w:firstLine="640"/>
        <w:rPr>
          <w:rFonts w:ascii="楷体_GB2312" w:eastAsia="仿宋" w:cs="楷体_GB2312"/>
          <w:color w:val="000000"/>
          <w:sz w:val="32"/>
          <w:szCs w:val="32"/>
          <w:shd w:val="clear" w:color="auto" w:fill="FFFFFF"/>
        </w:rPr>
      </w:pPr>
      <w:r>
        <w:rPr>
          <w:rFonts w:ascii="仿宋" w:eastAsia="仿宋" w:hAnsi="仿宋" w:hint="eastAsia"/>
          <w:spacing w:val="-2"/>
          <w:sz w:val="32"/>
          <w:szCs w:val="32"/>
        </w:rPr>
        <w:lastRenderedPageBreak/>
        <w:t>第五次全国经济普查是进入新发展阶段、党的二十大胜利召开后开展的重大国情国力调查，全面调查全县第二产业和第三产业发展规模、布局和效益，摸清各类单位基本情况，掌握国民经济行业间经济联系，是对我县经济社会发展状况的一次“全面体检”。</w:t>
      </w:r>
      <w:r>
        <w:rPr>
          <w:rFonts w:ascii="仿宋" w:eastAsia="仿宋" w:hAnsi="仿宋" w:cs="宋体" w:hint="eastAsia"/>
          <w:kern w:val="0"/>
          <w:sz w:val="32"/>
          <w:szCs w:val="32"/>
        </w:rPr>
        <w:t>按照“三清三到位一好”的工作要求，我县全力完成了各项经济普查前期准备工作，于4月30日完成了全县所有法人单位、抽样个体户单位的上门登记调查工作。其中，一套表企业151家、抽样个体户1097户和非一套表企业5320户。目前，一套表企业已完成审核验收，当前正在组织全部工作力量开展对抽样个体户和非一套企业存在逻辑性错误的普查对象进行数据核实修改，为提高普查数据质量进一步夯实基层普查数据。在县委、县政府的坚强领导下，县财政全力保障了本次经济普查工作的工作经费，按照普查工作任务量，清查阶段共发放“两员”补助经费27.08万元，已通过直接打卡的方式下发至每个乡镇普查员和普查指导员，同时下发乡镇（部门）2023年度五经普工作经费38.1万元。2024年正式登记与改错阶段我县继续采取直接打卡发放的方式，发放“两员”登记阶段补助。</w:t>
      </w:r>
    </w:p>
    <w:p w:rsidR="00A2486D" w:rsidRDefault="00A2486D" w:rsidP="00A2486D">
      <w:pPr>
        <w:pStyle w:val="a5"/>
        <w:widowControl/>
        <w:numPr>
          <w:ilvl w:val="0"/>
          <w:numId w:val="4"/>
        </w:numPr>
        <w:shd w:val="clear" w:color="auto" w:fill="FFFFFF"/>
        <w:snapToGrid w:val="0"/>
        <w:spacing w:beforeAutospacing="0" w:afterAutospacing="0" w:line="520" w:lineRule="exact"/>
        <w:rPr>
          <w:rFonts w:ascii="楷体_GB2312" w:eastAsia="楷体_GB2312" w:cs="楷体_GB2312"/>
          <w:b/>
          <w:bCs/>
          <w:color w:val="000000"/>
          <w:sz w:val="32"/>
          <w:szCs w:val="32"/>
          <w:shd w:val="clear" w:color="auto" w:fill="FFFFFF"/>
        </w:rPr>
      </w:pPr>
      <w:r>
        <w:rPr>
          <w:rFonts w:ascii="楷体_GB2312" w:eastAsia="楷体_GB2312" w:cs="楷体_GB2312"/>
          <w:b/>
          <w:bCs/>
          <w:color w:val="000000"/>
          <w:sz w:val="32"/>
          <w:szCs w:val="32"/>
          <w:shd w:val="clear" w:color="auto" w:fill="FFFFFF"/>
        </w:rPr>
        <w:t>评价指标分析（或综合评价情况）。</w:t>
      </w:r>
    </w:p>
    <w:p w:rsidR="00A2486D" w:rsidRDefault="00A2486D" w:rsidP="00A2486D">
      <w:pPr>
        <w:widowControl/>
        <w:shd w:val="clear" w:color="auto" w:fill="FFFFFF"/>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质量指标：普查覆盖率100%。</w:t>
      </w:r>
    </w:p>
    <w:p w:rsidR="00A2486D" w:rsidRDefault="00A2486D" w:rsidP="00A2486D">
      <w:pPr>
        <w:widowControl/>
        <w:shd w:val="clear" w:color="auto" w:fill="FFFFFF"/>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时效指标：按时完成率100%。</w:t>
      </w:r>
    </w:p>
    <w:p w:rsidR="00A2486D" w:rsidRDefault="00A2486D" w:rsidP="00A2486D">
      <w:pPr>
        <w:widowControl/>
        <w:shd w:val="clear" w:color="auto" w:fill="FFFFFF"/>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lastRenderedPageBreak/>
        <w:t>成本指标：</w:t>
      </w:r>
      <w:r>
        <w:rPr>
          <w:rFonts w:ascii="仿宋" w:eastAsia="仿宋" w:hAnsi="仿宋" w:cs="仿宋" w:hint="eastAsia"/>
          <w:spacing w:val="-2"/>
          <w:sz w:val="32"/>
          <w:szCs w:val="32"/>
        </w:rPr>
        <w:t>项目支出185.28万元，其中劳动力调查22.52万元；住户一体化及电子记账28.29万元；第五次全国经济普查工作134.47万元</w:t>
      </w:r>
      <w:r>
        <w:rPr>
          <w:rFonts w:ascii="仿宋" w:eastAsia="仿宋" w:hAnsi="仿宋" w:cs="仿宋" w:hint="eastAsia"/>
          <w:sz w:val="32"/>
          <w:szCs w:val="32"/>
        </w:rPr>
        <w:t>。</w:t>
      </w:r>
    </w:p>
    <w:p w:rsidR="00A2486D" w:rsidRDefault="00A2486D" w:rsidP="00A2486D">
      <w:pPr>
        <w:ind w:firstLineChars="200" w:firstLine="640"/>
        <w:rPr>
          <w:rFonts w:ascii="仿宋" w:eastAsia="仿宋" w:hAnsi="仿宋" w:cs="仿宋"/>
          <w:sz w:val="32"/>
          <w:szCs w:val="32"/>
        </w:rPr>
      </w:pPr>
      <w:r>
        <w:rPr>
          <w:rFonts w:ascii="仿宋" w:eastAsia="仿宋" w:hAnsi="仿宋" w:cs="仿宋" w:hint="eastAsia"/>
          <w:sz w:val="32"/>
          <w:szCs w:val="32"/>
        </w:rPr>
        <w:t xml:space="preserve">经济效益指标：真实反映的居民收支情况，服务经济发展，对国民经济、社会发展和科技进步情况进行统计分析、统计预测和统计监督为制定经济计划提供依据。　</w:t>
      </w:r>
    </w:p>
    <w:p w:rsidR="00A2486D" w:rsidRDefault="00A2486D" w:rsidP="00A2486D">
      <w:pPr>
        <w:ind w:firstLineChars="200" w:firstLine="640"/>
        <w:rPr>
          <w:rFonts w:ascii="黑体" w:eastAsia="黑体" w:hAnsi="黑体" w:cs="黑体"/>
          <w:color w:val="000000"/>
          <w:sz w:val="32"/>
          <w:szCs w:val="32"/>
          <w:shd w:val="clear" w:color="auto" w:fill="FFFFFF"/>
        </w:rPr>
      </w:pPr>
      <w:r>
        <w:rPr>
          <w:rFonts w:ascii="仿宋" w:eastAsia="仿宋" w:hAnsi="仿宋" w:cs="仿宋" w:hint="eastAsia"/>
          <w:sz w:val="32"/>
          <w:szCs w:val="32"/>
        </w:rPr>
        <w:t>社会效益指标: 计算年度城镇调查失业率，满足高质量发展指标体系考核需要，为统筹城乡发展提供科学依据，收集、汇总、整理、提供全县性基本统计资料；向党政领导和社会提供可靠的普查资料和信息</w:t>
      </w:r>
      <w:r>
        <w:rPr>
          <w:rFonts w:eastAsia="仿宋_GB2312" w:hint="eastAsia"/>
          <w:sz w:val="32"/>
          <w:szCs w:val="32"/>
        </w:rPr>
        <w:t>。</w:t>
      </w:r>
    </w:p>
    <w:p w:rsidR="00A2486D" w:rsidRDefault="00A2486D" w:rsidP="00A2486D">
      <w:pPr>
        <w:pStyle w:val="a5"/>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七、存在的问题及原因分析</w:t>
      </w:r>
    </w:p>
    <w:p w:rsidR="00A2486D" w:rsidRDefault="00A2486D" w:rsidP="00A2486D">
      <w:pPr>
        <w:widowControl/>
        <w:shd w:val="clear" w:color="auto" w:fill="FFFFFF"/>
        <w:spacing w:line="600" w:lineRule="atLeast"/>
        <w:ind w:firstLine="640"/>
        <w:rPr>
          <w:rFonts w:ascii="仿宋" w:eastAsia="仿宋" w:hAnsi="仿宋" w:cs="仿宋"/>
          <w:sz w:val="32"/>
          <w:szCs w:val="32"/>
        </w:rPr>
      </w:pPr>
      <w:r>
        <w:rPr>
          <w:rFonts w:ascii="仿宋" w:eastAsia="仿宋" w:hAnsi="仿宋" w:cs="仿宋" w:hint="eastAsia"/>
          <w:sz w:val="32"/>
          <w:szCs w:val="32"/>
        </w:rPr>
        <w:t>2024年度，我局部分项目预算存在偏离绩效目标情况，其组要原因体现在以下几个方面。</w:t>
      </w:r>
    </w:p>
    <w:p w:rsidR="00A2486D" w:rsidRDefault="00A2486D" w:rsidP="00A2486D">
      <w:pPr>
        <w:widowControl/>
        <w:shd w:val="clear" w:color="auto" w:fill="FFFFFF"/>
        <w:spacing w:line="600" w:lineRule="atLeast"/>
        <w:ind w:firstLineChars="200" w:firstLine="640"/>
        <w:rPr>
          <w:rFonts w:ascii="仿宋" w:eastAsia="仿宋" w:hAnsi="仿宋" w:cs="仿宋"/>
          <w:sz w:val="32"/>
          <w:szCs w:val="32"/>
        </w:rPr>
      </w:pPr>
      <w:r>
        <w:rPr>
          <w:rFonts w:ascii="仿宋" w:eastAsia="仿宋" w:hAnsi="仿宋" w:cs="仿宋" w:hint="eastAsia"/>
          <w:sz w:val="32"/>
          <w:szCs w:val="32"/>
        </w:rPr>
        <w:t>1．年初部门预算编制细化程度不够，导致在执行总体绩效目标是部分存在偏差，致使项目预算存在年中、年末追加追减的现象。</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仿宋" w:eastAsia="仿宋" w:hAnsi="仿宋" w:cs="仿宋"/>
          <w:sz w:val="32"/>
          <w:szCs w:val="32"/>
        </w:rPr>
      </w:pPr>
      <w:r>
        <w:rPr>
          <w:rFonts w:ascii="仿宋" w:eastAsia="仿宋" w:hAnsi="仿宋" w:cs="仿宋" w:hint="eastAsia"/>
          <w:sz w:val="32"/>
          <w:szCs w:val="32"/>
        </w:rPr>
        <w:t>2．行政机关绩效评价指标体系中的数量指标、质量指标、成本指标很难确定，经济效益、社会效益、生态效益等难以量化，绩效目标的设定和执行之间难免出现偏差。</w:t>
      </w:r>
    </w:p>
    <w:p w:rsidR="00A2486D" w:rsidRDefault="00A2486D" w:rsidP="00A2486D">
      <w:pPr>
        <w:pStyle w:val="a5"/>
        <w:widowControl/>
        <w:shd w:val="clear" w:color="auto" w:fill="FFFFFF"/>
        <w:snapToGrid w:val="0"/>
        <w:spacing w:beforeAutospacing="0" w:afterAutospacing="0" w:line="520" w:lineRule="exact"/>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八、下一步改进措施</w:t>
      </w:r>
    </w:p>
    <w:p w:rsidR="00A2486D" w:rsidRDefault="00A2486D" w:rsidP="00A2486D">
      <w:pPr>
        <w:ind w:firstLineChars="200" w:firstLine="632"/>
        <w:rPr>
          <w:rFonts w:ascii="仿宋" w:eastAsia="仿宋" w:hAnsi="仿宋"/>
          <w:spacing w:val="-2"/>
          <w:sz w:val="32"/>
          <w:szCs w:val="32"/>
        </w:rPr>
      </w:pPr>
      <w:r>
        <w:rPr>
          <w:rFonts w:ascii="仿宋" w:eastAsia="仿宋" w:hAnsi="仿宋" w:hint="eastAsia"/>
          <w:spacing w:val="-2"/>
          <w:sz w:val="32"/>
          <w:szCs w:val="32"/>
        </w:rPr>
        <w:t>1．加强预算编制的合理性。预算的合理性是行政事业单位内部控制的精髓，在今后的工作中，我局进一步重视部门预算，严格执行《中华人民共和国预算法》，增强预算业务控</w:t>
      </w:r>
      <w:r>
        <w:rPr>
          <w:rFonts w:ascii="仿宋" w:eastAsia="仿宋" w:hAnsi="仿宋" w:hint="eastAsia"/>
          <w:spacing w:val="-2"/>
          <w:sz w:val="32"/>
          <w:szCs w:val="32"/>
        </w:rPr>
        <w:lastRenderedPageBreak/>
        <w:t>制，充分发挥预算控制在内部控制中的重要作用。严格按市本级部门预算编报程序进行编制，基本支出预算按照单位的基础信息和核定的标准编制，保证单位的正常运转；项目支出预算根据单位发展规划和年度计划，结合财政部门预算安排情况，科学细化项目。</w:t>
      </w:r>
    </w:p>
    <w:p w:rsidR="00A2486D" w:rsidRDefault="00A2486D" w:rsidP="00A2486D">
      <w:pPr>
        <w:ind w:firstLineChars="200" w:firstLine="632"/>
        <w:rPr>
          <w:rFonts w:ascii="仿宋" w:eastAsia="仿宋" w:hAnsi="仿宋"/>
          <w:spacing w:val="-2"/>
          <w:sz w:val="32"/>
          <w:szCs w:val="32"/>
        </w:rPr>
      </w:pPr>
      <w:r>
        <w:rPr>
          <w:rFonts w:ascii="仿宋" w:eastAsia="仿宋" w:hAnsi="仿宋" w:hint="eastAsia"/>
          <w:spacing w:val="-2"/>
          <w:sz w:val="32"/>
          <w:szCs w:val="32"/>
        </w:rPr>
        <w:t>2．积极开展预算绩效管理工作。在今后的工作中，我局将在预算编制环节通过事前评价的方式，发现并去除评价不高的项目，避免财政资金的浪费。在财政支出过程中，及时根据资金使用进度，考核阶段性目标的完成进度，提高资金使用效率。并在每个项目结束后进行严格自查，根据事前设定的绩效目标科学评判支出的效率效果，并将评价结果合理运用于来年的预算编制中。做到预算财务分析常态化，定期做好预算支出财务分析，做好部门整体支出预算评价工作。</w:t>
      </w:r>
    </w:p>
    <w:p w:rsidR="00A2486D" w:rsidRDefault="00A2486D" w:rsidP="00A2486D">
      <w:pPr>
        <w:ind w:firstLineChars="200" w:firstLine="632"/>
        <w:rPr>
          <w:rFonts w:ascii="黑体" w:eastAsia="黑体" w:hAnsi="黑体" w:cs="黑体"/>
          <w:color w:val="000000"/>
          <w:sz w:val="32"/>
          <w:szCs w:val="32"/>
          <w:shd w:val="clear" w:color="auto" w:fill="FFFFFF"/>
        </w:rPr>
      </w:pPr>
      <w:r>
        <w:rPr>
          <w:rFonts w:ascii="仿宋" w:eastAsia="仿宋" w:hAnsi="仿宋" w:hint="eastAsia"/>
          <w:spacing w:val="-2"/>
          <w:sz w:val="32"/>
          <w:szCs w:val="32"/>
        </w:rPr>
        <w:t>3．合理确定评价指标。根据行政机关的职能职责研究制定科学合理的评价指标体系，行政机关本身不会创造财富，根本无法评价其经济效益等，因此，指标设定应重效果、轻效益，重服务、轻权力，重宏观、轻微观。</w:t>
      </w:r>
    </w:p>
    <w:p w:rsidR="00A2486D" w:rsidRDefault="00A2486D" w:rsidP="00A2486D">
      <w:pPr>
        <w:pStyle w:val="a5"/>
        <w:widowControl/>
        <w:shd w:val="clear" w:color="auto" w:fill="FFFFFF"/>
        <w:snapToGrid w:val="0"/>
        <w:spacing w:beforeAutospacing="0" w:afterAutospacing="0" w:line="520" w:lineRule="exact"/>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九、其他需要说明的情况</w:t>
      </w:r>
    </w:p>
    <w:p w:rsidR="00A2486D" w:rsidRDefault="00A2486D" w:rsidP="00A2486D">
      <w:pPr>
        <w:pStyle w:val="a5"/>
        <w:widowControl/>
        <w:shd w:val="clear" w:color="auto" w:fill="FFFFFF"/>
        <w:snapToGrid w:val="0"/>
        <w:spacing w:beforeAutospacing="0" w:afterAutospacing="0" w:line="52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无</w:t>
      </w:r>
    </w:p>
    <w:p w:rsidR="00A2486D" w:rsidRDefault="00A2486D" w:rsidP="00A2486D">
      <w:pPr>
        <w:pStyle w:val="a5"/>
        <w:widowControl/>
        <w:shd w:val="clear" w:color="auto" w:fill="FFFFFF"/>
        <w:spacing w:beforeAutospacing="0" w:afterAutospacing="0" w:line="480" w:lineRule="atLeast"/>
        <w:jc w:val="both"/>
        <w:rPr>
          <w:rFonts w:ascii="Calibri" w:hAnsi="Calibri" w:cs="Calibri"/>
          <w:color w:val="000000"/>
        </w:rPr>
      </w:pPr>
    </w:p>
    <w:p w:rsidR="00355EBC" w:rsidRPr="00A2486D" w:rsidRDefault="00355EBC"/>
    <w:sectPr w:rsidR="00355EBC" w:rsidRPr="00A2486D" w:rsidSect="00DD1A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5F2" w:rsidRDefault="005145F2" w:rsidP="00A2486D">
      <w:r>
        <w:separator/>
      </w:r>
    </w:p>
  </w:endnote>
  <w:endnote w:type="continuationSeparator" w:id="1">
    <w:p w:rsidR="005145F2" w:rsidRDefault="005145F2" w:rsidP="00A248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5F2" w:rsidRDefault="005145F2" w:rsidP="00A2486D">
      <w:r>
        <w:separator/>
      </w:r>
    </w:p>
  </w:footnote>
  <w:footnote w:type="continuationSeparator" w:id="1">
    <w:p w:rsidR="005145F2" w:rsidRDefault="005145F2" w:rsidP="00A248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71ABE4"/>
    <w:multiLevelType w:val="singleLevel"/>
    <w:tmpl w:val="8571ABE4"/>
    <w:lvl w:ilvl="0">
      <w:start w:val="3"/>
      <w:numFmt w:val="chineseCounting"/>
      <w:suff w:val="nothing"/>
      <w:lvlText w:val="（%1）"/>
      <w:lvlJc w:val="left"/>
      <w:rPr>
        <w:rFonts w:hint="eastAsia"/>
      </w:rPr>
    </w:lvl>
  </w:abstractNum>
  <w:abstractNum w:abstractNumId="1">
    <w:nsid w:val="918D5235"/>
    <w:multiLevelType w:val="singleLevel"/>
    <w:tmpl w:val="918D5235"/>
    <w:lvl w:ilvl="0">
      <w:start w:val="2"/>
      <w:numFmt w:val="chineseCounting"/>
      <w:suff w:val="nothing"/>
      <w:lvlText w:val="（%1）"/>
      <w:lvlJc w:val="left"/>
      <w:rPr>
        <w:rFonts w:hint="eastAsia"/>
      </w:rPr>
    </w:lvl>
  </w:abstractNum>
  <w:abstractNum w:abstractNumId="2">
    <w:nsid w:val="C96E559D"/>
    <w:multiLevelType w:val="singleLevel"/>
    <w:tmpl w:val="C96E559D"/>
    <w:lvl w:ilvl="0">
      <w:start w:val="4"/>
      <w:numFmt w:val="chineseCounting"/>
      <w:suff w:val="nothing"/>
      <w:lvlText w:val="%1、"/>
      <w:lvlJc w:val="left"/>
      <w:rPr>
        <w:rFonts w:hint="eastAsia"/>
      </w:rPr>
    </w:lvl>
  </w:abstractNum>
  <w:abstractNum w:abstractNumId="3">
    <w:nsid w:val="3AAB4DD0"/>
    <w:multiLevelType w:val="singleLevel"/>
    <w:tmpl w:val="3AAB4DD0"/>
    <w:lvl w:ilvl="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486D"/>
    <w:rsid w:val="00355EBC"/>
    <w:rsid w:val="005145F2"/>
    <w:rsid w:val="007E3A97"/>
    <w:rsid w:val="00A2486D"/>
    <w:rsid w:val="00DD1A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2486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24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2486D"/>
    <w:rPr>
      <w:sz w:val="18"/>
      <w:szCs w:val="18"/>
    </w:rPr>
  </w:style>
  <w:style w:type="paragraph" w:styleId="a4">
    <w:name w:val="footer"/>
    <w:basedOn w:val="a"/>
    <w:link w:val="Char0"/>
    <w:uiPriority w:val="99"/>
    <w:semiHidden/>
    <w:unhideWhenUsed/>
    <w:rsid w:val="00A2486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2486D"/>
    <w:rPr>
      <w:sz w:val="18"/>
      <w:szCs w:val="18"/>
    </w:rPr>
  </w:style>
  <w:style w:type="paragraph" w:styleId="a5">
    <w:name w:val="Normal (Web)"/>
    <w:basedOn w:val="a"/>
    <w:autoRedefine/>
    <w:qFormat/>
    <w:rsid w:val="00A2486D"/>
    <w:pPr>
      <w:spacing w:beforeAutospacing="1" w:afterAutospacing="1"/>
      <w:jc w:val="left"/>
    </w:pPr>
    <w:rPr>
      <w:rFonts w:cs="Times New Roman"/>
      <w:kern w:val="0"/>
      <w:sz w:val="24"/>
    </w:rPr>
  </w:style>
  <w:style w:type="paragraph" w:styleId="a6">
    <w:name w:val="List Paragraph"/>
    <w:basedOn w:val="a"/>
    <w:uiPriority w:val="99"/>
    <w:qFormat/>
    <w:rsid w:val="00A2486D"/>
    <w:pPr>
      <w:spacing w:line="365" w:lineRule="atLeast"/>
      <w:ind w:left="1" w:firstLineChars="200" w:firstLine="420"/>
      <w:textAlignment w:val="bottom"/>
    </w:pPr>
    <w:rPr>
      <w:rFonts w:ascii="Calibri" w:eastAsia="宋体" w:hAnsi="Calibri"/>
      <w:kern w:val="0"/>
      <w:sz w:val="20"/>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701</Words>
  <Characters>3997</Characters>
  <Application>Microsoft Office Word</Application>
  <DocSecurity>0</DocSecurity>
  <Lines>33</Lines>
  <Paragraphs>9</Paragraphs>
  <ScaleCrop>false</ScaleCrop>
  <Company>Microsoft</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Tjs</dc:creator>
  <cp:keywords/>
  <dc:description/>
  <cp:lastModifiedBy>Tjs</cp:lastModifiedBy>
  <cp:revision>3</cp:revision>
  <dcterms:created xsi:type="dcterms:W3CDTF">2025-09-09T02:28:00Z</dcterms:created>
  <dcterms:modified xsi:type="dcterms:W3CDTF">2025-09-09T02:30:00Z</dcterms:modified>
</cp:coreProperties>
</file>