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辰溪县全民健身服务中心部门整体支出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widowControl/>
        <w:spacing w:line="560" w:lineRule="exact"/>
        <w:ind w:firstLine="633" w:firstLineChars="198"/>
        <w:jc w:val="left"/>
        <w:rPr>
          <w:rFonts w:hint="eastAsia" w:ascii="楷体_GB2312" w:hAnsi="楷体_GB2312" w:eastAsia="楷体_GB2312" w:cs="楷体_GB2312"/>
          <w:b/>
          <w:bCs/>
          <w:sz w:val="32"/>
          <w:szCs w:val="32"/>
        </w:rPr>
      </w:pPr>
      <w:r>
        <w:rPr>
          <w:rFonts w:hint="eastAsia" w:eastAsia="仿宋_GB2312"/>
          <w:sz w:val="32"/>
          <w:szCs w:val="32"/>
        </w:rPr>
        <w:t>辰溪县全民健身服务中心作为一级部门预算单位，内设科室为：办公室、人事财务股、安全保卫股、业务管理股。</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eastAsia="zh-CN"/>
        </w:rPr>
        <w:t>辰溪县全民健身服务中心</w:t>
      </w:r>
      <w:r>
        <w:rPr>
          <w:rFonts w:hint="eastAsia" w:ascii="楷体_GB2312" w:eastAsia="楷体_GB2312" w:cs="楷体_GB2312"/>
          <w:i w:val="0"/>
          <w:iCs w:val="0"/>
          <w:caps w:val="0"/>
          <w:color w:val="000000"/>
          <w:spacing w:val="0"/>
          <w:sz w:val="32"/>
          <w:szCs w:val="32"/>
          <w:shd w:val="clear" w:fill="FFFFFF"/>
          <w:lang w:val="en-US" w:eastAsia="zh-CN"/>
        </w:rPr>
        <w:t>2024年末实有在职5人，全部为全额事业编。</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ind w:firstLine="640" w:firstLineChars="200"/>
        <w:rPr>
          <w:rFonts w:hint="eastAsia" w:ascii="仿宋_GB2312" w:eastAsia="仿宋_GB2312"/>
          <w:color w:val="FF0000"/>
          <w:kern w:val="0"/>
          <w:sz w:val="32"/>
          <w:szCs w:val="32"/>
        </w:rPr>
      </w:pPr>
      <w:r>
        <w:rPr>
          <w:rFonts w:hint="eastAsia" w:ascii="仿宋_GB2312" w:eastAsia="仿宋_GB2312"/>
          <w:kern w:val="0"/>
          <w:sz w:val="32"/>
          <w:szCs w:val="32"/>
        </w:rPr>
        <w:t>为全民健身活动提供后勤保障服务，促进体育事业健康发展，根据全民健身工作计划，负责落实全民健身器材装备配置及安装、维护工作，负责辰溪县体育馆日常管理工作。</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1.场馆免费或低收费开放360天，接待健身群众60万人次以上。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2.全年举办体育活动8次以上，承办大型赛事活动4次以上。承接县部门单位其它文体活动10次以上。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3.开展体育培训班3期，培训项目有篮球、羽毛球、乒乓球、跆拳道、居中等，培训人次3000人次以上。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4.开展体育讲座和展览3次以上。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5.全民健身日开展排舞、广场舞等大型比赛活动。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6.开展国民体质监测2000人次以上。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7.体育设施设备更新添置，满足广大群众健身需求。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8.做好物业管理的监督管理，确保场馆安全有序开放。</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9.加强对外交流，加强工作人员的管理和业务学习，派遣工作人员参加各级各类专业培训。</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10.积极完成上级下达的各类工作。</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辰溪县全民健身服务中心年初预算收入99.94万元，全部为一般公共预算财政拨款收入；调整后全年预算总收186.36万元，全部为一般公共预算财政拨款收入；2024年决算总收入176.36万元，全部为一般公共预算财政拨款收入，完成全年预算总收入的94.63%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辰溪县全民健身服务中心年初预算支出99.94万元，调整后全年预算总支出186.36万元，其中基本支出76.24万元，项目支出110.12万元。2024年年终决算总支出176.36万元，其中基本支出76.24万元，项目支出100.12万元，完成全年预算总支出的94.63%。基本支出中的财政拨款支出主要用于我单位的正常运转、完成日常工作任务以及承担单位应承担的相关业务工作开展；</w:t>
      </w:r>
      <w:r>
        <w:rPr>
          <w:rFonts w:hint="default" w:ascii="仿宋" w:hAnsi="仿宋" w:eastAsia="仿宋" w:cs="仿宋"/>
          <w:kern w:val="2"/>
          <w:sz w:val="32"/>
          <w:szCs w:val="32"/>
          <w:lang w:val="en-US" w:eastAsia="zh-CN" w:bidi="ar-SA"/>
        </w:rPr>
        <w:t> </w:t>
      </w:r>
      <w:r>
        <w:rPr>
          <w:rFonts w:hint="eastAsia" w:ascii="仿宋" w:hAnsi="仿宋" w:eastAsia="仿宋" w:cs="仿宋"/>
          <w:kern w:val="2"/>
          <w:sz w:val="32"/>
          <w:szCs w:val="32"/>
          <w:lang w:val="en-US" w:eastAsia="zh-CN" w:bidi="ar-SA"/>
        </w:rPr>
        <w:t>项目支出中的一般公共预算财政拨款项目支出及政府性基金预算财政拨款项目支出，是用于保障局机关专项业务工作的经费支出。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p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w:t>
      </w:r>
      <w:r>
        <w:rPr>
          <w:rFonts w:hint="eastAsia" w:ascii="仿宋" w:hAnsi="仿宋" w:eastAsia="仿宋" w:cs="仿宋"/>
          <w:kern w:val="2"/>
          <w:sz w:val="32"/>
          <w:szCs w:val="32"/>
          <w:lang w:val="en-US" w:eastAsia="zh-CN" w:bidi="ar-SA"/>
        </w:rPr>
        <w:t>024年部门基本支出年初预算数为49.94万元，其中人员类44.74万元，公用类5.2万元；调整后基本支出全年预算总支出76.24万元，其中人员类50.02万元，公用类26.22万元；基本支出决算数为76.24万元，其中人员类50.02万元，公用经费26.22万元。财政拨款支出主要用于我单位的正常运转、完成日常工作任务以及承担单位应承担的相关业务工作开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项目支出情况</w:t>
      </w:r>
    </w:p>
    <w:p>
      <w:pPr>
        <w:pStyle w:val="14"/>
        <w:widowControl/>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2024年项目支出年初预算数为50万元，调整后全年预算数为 110.12万元，全部为一般公共预算财政拨款支出，决算支出数为100.12万元。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2024年项目支出决算数100.12万元，包括体育馆免费开放中央、省及地方配套补助资及上年结转公共文化服务体系建设资金，主要用于体育馆免费开放日常、维护、设备更新支出。</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pPr>
        <w:widowControl/>
        <w:spacing w:line="560" w:lineRule="exact"/>
        <w:ind w:firstLine="800" w:firstLineChars="250"/>
        <w:jc w:val="left"/>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202</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年辰溪县</w:t>
      </w:r>
      <w:r>
        <w:rPr>
          <w:rFonts w:hint="eastAsia" w:ascii="仿宋_GB2312" w:eastAsia="仿宋_GB2312" w:cs="仿宋_GB2312"/>
          <w:i w:val="0"/>
          <w:iCs w:val="0"/>
          <w:caps w:val="0"/>
          <w:color w:val="000000"/>
          <w:spacing w:val="0"/>
          <w:kern w:val="0"/>
          <w:sz w:val="32"/>
          <w:szCs w:val="32"/>
          <w:shd w:val="clear" w:fill="FFFFFF"/>
          <w:lang w:val="en-US" w:eastAsia="zh-CN" w:bidi="ar"/>
        </w:rPr>
        <w:t>全民健身服务中心</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“三公”经费预算数</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万元，其中公务用车购置和维护经费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万元（其中公务用车购置费0万元，公务用车运行维护费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万元），公务接待费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万元（其中公务接待费</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万元，出国经费0万元）；202</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年“三公”经费决算数</w:t>
      </w:r>
      <w:r>
        <w:rPr>
          <w:rFonts w:hint="eastAsia" w:ascii="仿宋_GB2312" w:eastAsia="仿宋_GB2312" w:cs="仿宋_GB2312"/>
          <w:i w:val="0"/>
          <w:iCs w:val="0"/>
          <w:caps w:val="0"/>
          <w:color w:val="000000"/>
          <w:spacing w:val="0"/>
          <w:kern w:val="0"/>
          <w:sz w:val="32"/>
          <w:szCs w:val="32"/>
          <w:shd w:val="clear" w:fill="FFFFFF"/>
          <w:lang w:val="en-US" w:eastAsia="zh-CN" w:bidi="ar"/>
        </w:rPr>
        <w:t>0</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万元，</w:t>
      </w:r>
      <w:r>
        <w:rPr>
          <w:rFonts w:hint="eastAsia" w:ascii="仿宋_GB2312" w:eastAsia="仿宋_GB2312" w:cs="仿宋_GB2312"/>
          <w:i w:val="0"/>
          <w:iCs w:val="0"/>
          <w:caps w:val="0"/>
          <w:color w:val="000000"/>
          <w:spacing w:val="0"/>
          <w:kern w:val="0"/>
          <w:sz w:val="32"/>
          <w:szCs w:val="32"/>
          <w:shd w:val="clear" w:fill="FFFFFF"/>
          <w:lang w:val="en-US" w:eastAsia="zh-CN" w:bidi="ar"/>
        </w:rPr>
        <w:t>无预算无支出，严控“三公”经费支出，</w:t>
      </w: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认真贯彻落实中央“八项规定”精神和厉行节约要求。</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部门整体</w:t>
      </w:r>
      <w:r>
        <w:rPr>
          <w:rFonts w:hint="eastAsia" w:ascii="仿宋_GB2312" w:hAnsi="仿宋_GB2312" w:eastAsia="仿宋_GB2312" w:cs="仿宋_GB2312"/>
          <w:sz w:val="32"/>
          <w:szCs w:val="32"/>
        </w:rPr>
        <w:t>绩效评价工作小组按照</w:t>
      </w: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rPr>
        <w:t>评价指标表，从</w:t>
      </w:r>
      <w:r>
        <w:rPr>
          <w:rFonts w:hint="eastAsia" w:ascii="仿宋_GB2312" w:hAnsi="仿宋_GB2312" w:eastAsia="仿宋_GB2312" w:cs="仿宋_GB2312"/>
          <w:sz w:val="32"/>
          <w:szCs w:val="32"/>
          <w:lang w:eastAsia="zh-CN"/>
        </w:rPr>
        <w:t>产出指标、效益指标、满意度指标</w:t>
      </w:r>
      <w:r>
        <w:rPr>
          <w:rFonts w:hint="eastAsia" w:ascii="仿宋_GB2312" w:hAnsi="仿宋_GB2312" w:eastAsia="仿宋_GB2312" w:cs="仿宋_GB2312"/>
          <w:sz w:val="32"/>
          <w:szCs w:val="32"/>
        </w:rPr>
        <w:t>三个方面进行综合打分，经评价，</w:t>
      </w:r>
      <w:r>
        <w:rPr>
          <w:rFonts w:hint="eastAsia" w:ascii="仿宋_GB2312" w:hAnsi="仿宋_GB2312" w:eastAsia="仿宋_GB2312" w:cs="仿宋_GB2312"/>
          <w:color w:val="auto"/>
          <w:sz w:val="32"/>
          <w:szCs w:val="32"/>
          <w:lang w:val="en-US" w:eastAsia="zh-CN"/>
        </w:rPr>
        <w:t>2024年部门整体</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总分</w:t>
      </w:r>
      <w:r>
        <w:rPr>
          <w:rFonts w:hint="eastAsia" w:ascii="仿宋_GB2312" w:hAnsi="仿宋_GB2312" w:eastAsia="仿宋_GB2312" w:cs="仿宋_GB2312"/>
          <w:sz w:val="32"/>
          <w:szCs w:val="32"/>
          <w:lang w:val="en-US" w:eastAsia="zh-CN"/>
        </w:rPr>
        <w:t>100分</w:t>
      </w:r>
      <w:r>
        <w:rPr>
          <w:rFonts w:hint="eastAsia" w:ascii="仿宋_GB2312" w:hAnsi="仿宋_GB2312" w:eastAsia="仿宋_GB2312" w:cs="仿宋_GB2312"/>
          <w:color w:val="auto"/>
          <w:sz w:val="32"/>
          <w:szCs w:val="32"/>
          <w:lang w:val="en-US" w:eastAsia="zh-CN"/>
        </w:rPr>
        <w:t>，得分</w:t>
      </w:r>
      <w:r>
        <w:rPr>
          <w:rFonts w:hint="eastAsia" w:ascii="仿宋_GB2312" w:hAnsi="仿宋_GB2312" w:eastAsia="仿宋_GB2312" w:cs="仿宋_GB2312"/>
          <w:color w:val="auto"/>
          <w:sz w:val="30"/>
          <w:szCs w:val="30"/>
          <w:lang w:val="en-US" w:eastAsia="zh-CN"/>
        </w:rPr>
        <w:t>93.46</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sz w:val="32"/>
          <w:szCs w:val="32"/>
        </w:rPr>
        <w:t>自评为优秀。</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年初绩效目标完成情况：全年接待到馆人次60万余人次； 全年举办、协办体育赛事30余场；已开展羽毛球培训3期、乒乓球培训2期、游泳培训4期，健身培训5期，总计培训4000人次；已完成2500余人次国民体质监测。                   4、已成功圆满完成全国U21青年男子篮球赛和湖南省和美乡村篮球赛（村BA）的赛前准备工作 。</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auto"/>
          <w:spacing w:val="0"/>
          <w:sz w:val="32"/>
          <w:szCs w:val="32"/>
          <w:shd w:val="clear" w:fill="FFFFFF"/>
        </w:rPr>
      </w:pPr>
      <w:r>
        <w:rPr>
          <w:rFonts w:hint="default" w:ascii="楷体_GB2312" w:eastAsia="楷体_GB2312" w:cs="楷体_GB2312"/>
          <w:i w:val="0"/>
          <w:iCs w:val="0"/>
          <w:caps w:val="0"/>
          <w:color w:val="auto"/>
          <w:spacing w:val="0"/>
          <w:sz w:val="32"/>
          <w:szCs w:val="32"/>
          <w:shd w:val="clear" w:fill="FFFFFF"/>
        </w:rPr>
        <w:t>评价指标分析（或综合评价情况）。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C00000"/>
          <w:sz w:val="32"/>
          <w:szCs w:val="32"/>
          <w:lang w:val="en-US" w:eastAsia="zh-CN"/>
        </w:rPr>
      </w:pPr>
      <w:r>
        <w:rPr>
          <w:rFonts w:hint="eastAsia" w:ascii="仿宋_GB2312" w:hAnsi="仿宋_GB2312" w:eastAsia="仿宋_GB2312" w:cs="仿宋_GB2312"/>
          <w:sz w:val="32"/>
          <w:szCs w:val="32"/>
          <w:lang w:val="en-US" w:eastAsia="zh-CN"/>
        </w:rPr>
        <w:t>1、经济成本指标：</w:t>
      </w:r>
      <w:r>
        <w:rPr>
          <w:rFonts w:hint="eastAsia" w:ascii="仿宋_GB2312" w:hAnsi="仿宋_GB2312" w:eastAsia="仿宋_GB2312" w:cs="仿宋_GB2312"/>
          <w:color w:val="auto"/>
          <w:sz w:val="32"/>
          <w:szCs w:val="32"/>
          <w:lang w:val="en-US" w:eastAsia="zh-CN"/>
        </w:rPr>
        <w:t>部门预算支出金额176.36万元。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2、社会成本节约率：节约率</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0%，不适用。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3、生态环境成本节约率：节约率</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0%，不适用。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4、数量指标：接待到馆</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60万人次；在职人员控制率100%；体育赛事≧30场；国民体质监测人数≧2500人。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5、质量指标：（1）固定资产利用率100%；（2）项目绩效目标达成率100%；（3）重点工作实际完成率100%。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6、时效指标：各项工作在2024年12月31日前完成。</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7、经济效益指标：非税收入较上年增长</w:t>
      </w:r>
      <w:r>
        <w:rPr>
          <w:rFonts w:hint="eastAsia" w:ascii="宋体" w:hAnsi="宋体" w:eastAsia="宋体" w:cs="宋体"/>
          <w:sz w:val="32"/>
          <w:szCs w:val="32"/>
          <w:lang w:val="en-US" w:eastAsia="zh-CN"/>
        </w:rPr>
        <w:t>≧2%。</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8、社会效益指标：促进全民健身运动发展，提高群众对体育公益事业关注度，效果明显。</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9、生态效益指标：改善社会生态环境，效果较明显。</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10、可持续影响指标：提高全民身体素质达标率及增强全民健身意识，效果明显。</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11、服务对象满意度指标：广大群众对免费开放政策及公共服务水平满意度率≥98%。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sz w:val="32"/>
          <w:szCs w:val="32"/>
          <w:shd w:val="clear" w:fill="FFFFFF"/>
          <w:lang w:val="en-US" w:eastAsia="zh-CN"/>
        </w:rPr>
        <w:t xml:space="preserve">  </w:t>
      </w:r>
      <w:r>
        <w:rPr>
          <w:rFonts w:hint="eastAsia" w:ascii="仿宋_GB2312" w:eastAsia="仿宋_GB2312" w:cs="仿宋_GB2312"/>
          <w:i w:val="0"/>
          <w:iCs w:val="0"/>
          <w:caps w:val="0"/>
          <w:color w:val="000000"/>
          <w:spacing w:val="0"/>
          <w:kern w:val="0"/>
          <w:sz w:val="32"/>
          <w:szCs w:val="32"/>
          <w:shd w:val="clear" w:fill="FFFFFF"/>
          <w:lang w:val="en-US" w:eastAsia="zh-CN" w:bidi="ar"/>
        </w:rPr>
        <w:t>1、绩效指标设置的科学性、合理性有待提升。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2、需要提高目标设置质量。提高工作质量，科学合理设置目标，使单位既能够掌控目标的完成又能反映单位职能职责情况</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1.修改完善管理制度。从不断完善管理制度、优化绩效目标表，到预算执行监控，再到项目事前绩效，绩效评价工作，单位对绩效管理的重视、工作流程、绩效目标设定均有明显提高</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2.认真总结经验。对照评分表、编审表的评审进行数据分析，不断加以改进</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3.科学设置目标，细化、量化精准</w:t>
      </w:r>
      <w:r>
        <w:rPr>
          <w:rFonts w:hint="eastAsia" w:ascii="仿宋_GB2312" w:eastAsia="仿宋_GB2312" w:cs="仿宋_GB2312"/>
          <w:i w:val="0"/>
          <w:iCs w:val="0"/>
          <w:caps w:val="0"/>
          <w:color w:val="000000"/>
          <w:spacing w:val="0"/>
          <w:kern w:val="0"/>
          <w:sz w:val="32"/>
          <w:szCs w:val="32"/>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4.重视绩效结果应用。对上年度绩效评价结果加以应用，不断提高单位绩效管理工作。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eastAsiaTheme="minorEastAsia"/>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 xml:space="preserve">               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rPr>
          <w:rFonts w:hint="default"/>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D450BD-9084-4804-960E-9B178D1F22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6C700CD-B8EB-4C11-B4ED-8A4C8278D11A}"/>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DA5D9091-528C-4A1A-8442-DCC123B7E051}"/>
  </w:font>
  <w:font w:name="方正小标宋_GBK">
    <w:panose1 w:val="03000509000000000000"/>
    <w:charset w:val="86"/>
    <w:family w:val="auto"/>
    <w:pitch w:val="default"/>
    <w:sig w:usb0="00000001" w:usb1="080E0000" w:usb2="00000000" w:usb3="00000000" w:csb0="00040000" w:csb1="00000000"/>
    <w:embedRegular r:id="rId4" w:fontKey="{556711BB-2EF7-42B9-A07F-C04B879F9E4A}"/>
  </w:font>
  <w:font w:name="仿宋_GB2312">
    <w:panose1 w:val="02010609030101010101"/>
    <w:charset w:val="86"/>
    <w:family w:val="auto"/>
    <w:pitch w:val="default"/>
    <w:sig w:usb0="00000001" w:usb1="080E0000" w:usb2="00000000" w:usb3="00000000" w:csb0="00040000" w:csb1="00000000"/>
    <w:embedRegular r:id="rId5" w:fontKey="{43444F01-0BA3-4707-90D5-ABBB78D8DDDD}"/>
  </w:font>
  <w:font w:name="仿宋">
    <w:panose1 w:val="02010609060101010101"/>
    <w:charset w:val="86"/>
    <w:family w:val="auto"/>
    <w:pitch w:val="default"/>
    <w:sig w:usb0="800002BF" w:usb1="38CF7CFA" w:usb2="00000016" w:usb3="00000000" w:csb0="00040001" w:csb1="00000000"/>
    <w:embedRegular r:id="rId6" w:fontKey="{24132701-5062-4106-BD60-8779FA8699AA}"/>
  </w:font>
  <w:font w:name="方正仿宋_GB2312">
    <w:panose1 w:val="02000000000000000000"/>
    <w:charset w:val="86"/>
    <w:family w:val="auto"/>
    <w:pitch w:val="default"/>
    <w:sig w:usb0="A00002BF" w:usb1="184F6CFA" w:usb2="00000012" w:usb3="00000000" w:csb0="00040001" w:csb1="00000000"/>
    <w:embedRegular r:id="rId7" w:fontKey="{11E78399-DE96-49D3-A187-D8A6359EFD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410E0"/>
    <w:multiLevelType w:val="singleLevel"/>
    <w:tmpl w:val="D10410E0"/>
    <w:lvl w:ilvl="0" w:tentative="0">
      <w:start w:val="3"/>
      <w:numFmt w:val="chineseCounting"/>
      <w:suff w:val="nothing"/>
      <w:lvlText w:val="（%1）"/>
      <w:lvlJc w:val="left"/>
      <w:rPr>
        <w:rFonts w:hint="eastAsia"/>
      </w:rPr>
    </w:lvl>
  </w:abstractNum>
  <w:abstractNum w:abstractNumId="1">
    <w:nsid w:val="0417F144"/>
    <w:multiLevelType w:val="singleLevel"/>
    <w:tmpl w:val="0417F144"/>
    <w:lvl w:ilvl="0" w:tentative="0">
      <w:start w:val="2"/>
      <w:numFmt w:val="chineseCounting"/>
      <w:suff w:val="nothing"/>
      <w:lvlText w:val="（%1）"/>
      <w:lvlJc w:val="left"/>
      <w:rPr>
        <w:rFonts w:hint="eastAsia"/>
      </w:rPr>
    </w:lvl>
  </w:abstractNum>
  <w:abstractNum w:abstractNumId="2">
    <w:nsid w:val="6A636B63"/>
    <w:multiLevelType w:val="singleLevel"/>
    <w:tmpl w:val="6A636B63"/>
    <w:lvl w:ilvl="0" w:tentative="0">
      <w:start w:val="3"/>
      <w:numFmt w:val="chineseCounting"/>
      <w:suff w:val="nothing"/>
      <w:lvlText w:val="%1、"/>
      <w:lvlJc w:val="left"/>
      <w:rPr>
        <w:rFonts w:hint="eastAsia"/>
      </w:rPr>
    </w:lvl>
  </w:abstractNum>
  <w:abstractNum w:abstractNumId="3">
    <w:nsid w:val="7F91E841"/>
    <w:multiLevelType w:val="singleLevel"/>
    <w:tmpl w:val="7F91E841"/>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YzA0NTEzMGNlZDg3MzQ1MWZkZjM5MWE1NjdhZjYifQ=="/>
    <w:docVar w:name="KSO_WPS_MARK_KEY" w:val="9920a277-c0c3-43b4-93d3-1636fe398e0b"/>
  </w:docVars>
  <w:rsids>
    <w:rsidRoot w:val="753C4E9B"/>
    <w:rsid w:val="046A73C6"/>
    <w:rsid w:val="05E95AA6"/>
    <w:rsid w:val="0C180A78"/>
    <w:rsid w:val="0CAF7D6D"/>
    <w:rsid w:val="0D276746"/>
    <w:rsid w:val="0D464D9C"/>
    <w:rsid w:val="0DD52794"/>
    <w:rsid w:val="0E956870"/>
    <w:rsid w:val="10C666A5"/>
    <w:rsid w:val="12150BE4"/>
    <w:rsid w:val="1223366A"/>
    <w:rsid w:val="12BC1D24"/>
    <w:rsid w:val="143877FD"/>
    <w:rsid w:val="16682886"/>
    <w:rsid w:val="17C820DA"/>
    <w:rsid w:val="19E805B2"/>
    <w:rsid w:val="22FE234B"/>
    <w:rsid w:val="277E6F02"/>
    <w:rsid w:val="283A3ECE"/>
    <w:rsid w:val="29990575"/>
    <w:rsid w:val="2AF6742D"/>
    <w:rsid w:val="2E833798"/>
    <w:rsid w:val="312A2265"/>
    <w:rsid w:val="313006A3"/>
    <w:rsid w:val="36FC0F5D"/>
    <w:rsid w:val="375773F8"/>
    <w:rsid w:val="38CC5315"/>
    <w:rsid w:val="393E32BB"/>
    <w:rsid w:val="419B2857"/>
    <w:rsid w:val="41A35ED0"/>
    <w:rsid w:val="41D71DA8"/>
    <w:rsid w:val="45D249F5"/>
    <w:rsid w:val="47A15D52"/>
    <w:rsid w:val="4C6611ED"/>
    <w:rsid w:val="552A0475"/>
    <w:rsid w:val="562844D7"/>
    <w:rsid w:val="578D10CB"/>
    <w:rsid w:val="5A5915AC"/>
    <w:rsid w:val="5BE013BF"/>
    <w:rsid w:val="62B15DFC"/>
    <w:rsid w:val="639E777C"/>
    <w:rsid w:val="6A12486A"/>
    <w:rsid w:val="71BD6A55"/>
    <w:rsid w:val="753C4E9B"/>
    <w:rsid w:val="77CA616D"/>
    <w:rsid w:val="781113A7"/>
    <w:rsid w:val="788A485A"/>
    <w:rsid w:val="791E6510"/>
    <w:rsid w:val="79AE1A3A"/>
    <w:rsid w:val="7B0B5B57"/>
    <w:rsid w:val="7C8D4A41"/>
    <w:rsid w:val="7C9048DB"/>
    <w:rsid w:val="7FAC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paragraph" w:customStyle="1" w:styleId="11">
    <w:name w:val="标题1"/>
    <w:basedOn w:val="3"/>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2218</Words>
  <Characters>2428</Characters>
  <Lines>0</Lines>
  <Paragraphs>0</Paragraphs>
  <TotalTime>6</TotalTime>
  <ScaleCrop>false</ScaleCrop>
  <LinksUpToDate>false</LinksUpToDate>
  <CharactersWithSpaces>2528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沙漠</cp:lastModifiedBy>
  <cp:lastPrinted>2025-05-19T03:37:00Z</cp:lastPrinted>
  <dcterms:modified xsi:type="dcterms:W3CDTF">2025-09-10T00:31:00Z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4B545E2748234224AA7888E0D1AE4147_13</vt:lpwstr>
  </property>
  <property fmtid="{D5CDD505-2E9C-101B-9397-08002B2CF9AE}" pid="4" name="KSOTemplateDocerSaveRecord">
    <vt:lpwstr>eyJoZGlkIjoiN2YzNjBkOTgyNWQ1YTMxYzM3MzMwNWFiODNmOWIzYWMiLCJ1c2VySWQiOiIyNjQxMDUwMTIifQ==</vt:lpwstr>
  </property>
</Properties>
</file>