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41CA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right="0" w:firstLine="0"/>
        <w:jc w:val="center"/>
        <w:rPr>
          <w:rFonts w:ascii="Montserrat" w:hAnsi="Montserrat" w:eastAsia="Montserrat" w:cs="Montserrat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color w:val="000000"/>
          <w:spacing w:val="0"/>
          <w:shd w:val="clear" w:fill="FFFFFF"/>
        </w:rPr>
        <w:t>部门整体支出绩效自评报告</w:t>
      </w:r>
    </w:p>
    <w:p w14:paraId="4B2122D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leftChars="0" w:firstLine="0" w:firstLineChars="0"/>
        <w:jc w:val="left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一、部门、单位基本情况</w:t>
      </w:r>
    </w:p>
    <w:p w14:paraId="7ED817AC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（一）机构设置情况</w:t>
      </w:r>
    </w:p>
    <w:p w14:paraId="160AEAC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辰溪县孝坪镇板桥幼儿园为公益一类事业单位，无内设机构，独立核算。</w:t>
      </w:r>
    </w:p>
    <w:p w14:paraId="3E03A7A5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（二）人员编制情况</w:t>
      </w:r>
    </w:p>
    <w:p w14:paraId="2622027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人员编制数 2 人，2024 年实际在职人数 2 人，控制率 100%。</w:t>
      </w:r>
    </w:p>
    <w:p w14:paraId="2A80F6EC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（三）主要职能职责</w:t>
      </w:r>
    </w:p>
    <w:p w14:paraId="1245646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承担学前教育教学、幼儿保育、校园管理及社区教育服务。</w:t>
      </w:r>
    </w:p>
    <w:p w14:paraId="2D4DB03C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（四）绩效目标设定情况</w:t>
      </w:r>
    </w:p>
    <w:p w14:paraId="127D1BF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提升教育教学质量，完成固定资产投入≥30 万元，控制收入费用率≤60%，预算执行率≥75%，社区服务覆盖率≥70%，幼儿及家长综合满意度≥90 分。</w:t>
      </w:r>
    </w:p>
    <w:p w14:paraId="14CC8EB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leftChars="0" w:firstLine="0" w:firstLineChars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二、部门整体支出管理及使用情况</w:t>
      </w:r>
    </w:p>
    <w:p w14:paraId="4244BC2B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（一）预算执行、使用、管理总体情况</w:t>
      </w:r>
    </w:p>
    <w:p w14:paraId="1DE5C4B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2024 年总收入 104.01 万元，总支出 79.13 万元，预算执行率 76.08%，资金使用符合财务制度，重点保障教学与基建。</w:t>
      </w:r>
    </w:p>
    <w:p w14:paraId="7AC1F3BD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（二）部门预算执行情况</w:t>
      </w:r>
    </w:p>
    <w:p w14:paraId="058E5CA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基本支出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：全年预算数 17.35 万元，决算数 17.35 万元，主要用于人员经费和公用经费。</w:t>
      </w:r>
    </w:p>
    <w:p w14:paraId="454CCF1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项目支出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：全年预算数 61.78 万元，决算数 61.78 万元，主要用于园区维修改造。</w:t>
      </w:r>
    </w:p>
    <w:p w14:paraId="42D4D311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（三）“三公” 经费使用和管理情况</w:t>
      </w:r>
    </w:p>
    <w:p w14:paraId="3D3961C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“三公” 经费全年预算及决算均为 0，严格执行财政纪律，无相关支出。</w:t>
      </w:r>
    </w:p>
    <w:p w14:paraId="160C632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leftChars="0" w:firstLine="0" w:firstLineChars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三、政府性基金预算支出情况</w:t>
      </w:r>
    </w:p>
    <w:p w14:paraId="19C669A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无政府性基金预算支出。</w:t>
      </w:r>
    </w:p>
    <w:p w14:paraId="4792729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leftChars="0" w:firstLine="0" w:firstLineChars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四、国有资本经营预算支出情况</w:t>
      </w:r>
    </w:p>
    <w:p w14:paraId="5961840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无国有资本经营预算支出。</w:t>
      </w:r>
    </w:p>
    <w:p w14:paraId="1B8FFAD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leftChars="0" w:firstLine="0" w:firstLineChars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五、社会保险基金预算支出情况</w:t>
      </w:r>
    </w:p>
    <w:p w14:paraId="630A295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无社会保险基金预算支出。</w:t>
      </w:r>
    </w:p>
    <w:p w14:paraId="0C1BE05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leftChars="0" w:firstLine="144" w:firstLineChars="45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六、部门整体支出绩效情况</w:t>
      </w:r>
    </w:p>
    <w:p w14:paraId="07EA8519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（一）综合评价结论</w:t>
      </w:r>
    </w:p>
    <w:p w14:paraId="6B0350F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自评得分 85 分，评价等级为 “良好”。完成固定资产投入、收入费用率控制等核心目标，部分指标（如社区服务覆盖率）因生源减少未达预期。</w:t>
      </w:r>
    </w:p>
    <w:p w14:paraId="66D77467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（二）评价指标分析</w:t>
      </w:r>
    </w:p>
    <w:p w14:paraId="308A1F8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产出指标（28/30 分）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3625BD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080" w:leftChars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固定资产新增 32.66 万元（≥30 万元），培训计划完成率 100%，教学设备完好率 100%，预算执行偏差率 23.92%（超 15%，扣 2 分）。</w:t>
      </w:r>
    </w:p>
    <w:p w14:paraId="756C4F1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效益指标（28/30 分）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28A0EF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080" w:leftChars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事业收入占比 31.4%（≥30%），社区服务覆盖率 60%（未达 70%，扣 2 分），教师平均任职 4 年（≥3 年），节能环保投入 0 万元（未达标，扣 5 分）。</w:t>
      </w:r>
    </w:p>
    <w:p w14:paraId="5CC138C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满意度指标（8/10 分）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1CB543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080" w:leftChars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幼儿及家长综合满意度 87 分（未达 90 分，扣 2 分）。</w:t>
      </w:r>
    </w:p>
    <w:p w14:paraId="70D46B6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成本指标（19/20 分）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7B2902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080" w:leftChars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收入费用率 58.73%（≤60%），特殊群体关爱活动参与率 0%（未开展，扣 5 分），单位建筑面积能耗持平（达标）。</w:t>
      </w:r>
    </w:p>
    <w:p w14:paraId="7A448A4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七、存在的问题及原因分析</w:t>
      </w:r>
    </w:p>
    <w:p w14:paraId="2EC8575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预算执行偏差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：部分项目暂缓实施，导致预算执行率未达预期。</w:t>
      </w:r>
    </w:p>
    <w:p w14:paraId="28ADCFB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社区服务覆盖不足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：区域生源减少，合作社区数量未达标。</w:t>
      </w:r>
    </w:p>
    <w:p w14:paraId="5406F60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节能环保与社会成本投入不足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：未列支相关经费，活动开展为零。</w:t>
      </w:r>
    </w:p>
    <w:p w14:paraId="7158029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八、下一步改进措施</w:t>
      </w:r>
    </w:p>
    <w:p w14:paraId="00E7F98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预算管理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：加强动态监控，提前规划专项需求。</w:t>
      </w:r>
    </w:p>
    <w:p w14:paraId="46EB395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社区合作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：2025 年计划与 2 个社区建立长期合作，提升服务覆盖率。</w:t>
      </w:r>
    </w:p>
    <w:p w14:paraId="51EAD68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jc w:val="left"/>
      </w:pP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节能环保与社会责任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：预算列支 0.5 万元用于节能设备和环保活动，开展 2 次特殊群体关爱活动。</w:t>
      </w:r>
    </w:p>
    <w:p w14:paraId="5D68B41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九、其他需要说明的情况</w:t>
      </w:r>
    </w:p>
    <w:p w14:paraId="7F420CC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无特殊事项说明。</w:t>
      </w:r>
    </w:p>
    <w:p w14:paraId="341DD8B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219C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99499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1C0B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462FC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B8C60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EFE02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7DE2F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1A4CB1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0885D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sectPr>
          <w:footerReference r:id="rId3" w:type="default"/>
          <w:pgSz w:w="11906" w:h="16838"/>
          <w:pgMar w:top="2098" w:right="1800" w:bottom="1984" w:left="1587" w:header="851" w:footer="992" w:gutter="0"/>
          <w:cols w:space="425" w:num="1"/>
          <w:docGrid w:type="lines" w:linePitch="312" w:charSpace="0"/>
        </w:sectPr>
      </w:pPr>
    </w:p>
    <w:p w14:paraId="1688756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附件1-1</w:t>
      </w:r>
    </w:p>
    <w:p w14:paraId="6A68B179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6A913125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>填报单位：</w:t>
      </w:r>
    </w:p>
    <w:tbl>
      <w:tblPr>
        <w:tblStyle w:val="10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053D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5A787EB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C39697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8BAB83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64A58B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3CB4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2428B38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3B0C896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982D7CF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DF0B13C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 w14:paraId="7FD8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8BBEB7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12AF48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0C3267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143CFF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6A6F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F42135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12EB07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490FE2F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0BD64D4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39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EA94C8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80B4099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0E0ED7B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4B6E1C2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15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984A03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3799F5E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595B273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13B5283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6C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3100E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AB38E0A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456208F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69D3C82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CF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EE85C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BC47D97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4F1D19E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4AE040C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F2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E7FF3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549E77A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01A9015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3D3DEB3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10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8B849D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9034F56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273725D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43EEB04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45E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7E3A9F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5BACBDC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49FB16E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1546341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6F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D45448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A3DCBB4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1B469BA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1036721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2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740B3CA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 w14:paraId="7954756A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E56F0D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5705D39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7EF7211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FA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713E0C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1A2F017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6ABBB858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23EFB049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B1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1B703F0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AAEFC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4C77B4E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1570E4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</w:tr>
      <w:tr w14:paraId="768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71AE68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DCA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031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E81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</w:t>
            </w:r>
          </w:p>
        </w:tc>
      </w:tr>
      <w:tr w14:paraId="5E47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457794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CA7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9D0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02C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</w:tr>
      <w:tr w14:paraId="13BE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77E49D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ED7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D0A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6B7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0B1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8D0E36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B80A9D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60EBF2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5194625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</w:tr>
      <w:tr w14:paraId="1482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8E45FF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部门基本支出预算调整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3D5D40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ACCFAD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2513911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</w:tr>
      <w:tr w14:paraId="2749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3AFB906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89" w:type="dxa"/>
            <w:noWrap w:val="0"/>
            <w:vAlign w:val="center"/>
          </w:tcPr>
          <w:p w14:paraId="60BC675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 w14:paraId="1E7A49A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 w14:paraId="77F6E1A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251E5ED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7B34148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61638E1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658D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6EEC19E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CC7CA5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EB0304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90C9CA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47F260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 w14:paraId="113A5CA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5713BB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</w:tr>
      <w:tr w14:paraId="70E1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37D2800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6170E9A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严格预算管理，压减非必要开支，严控办公耗材与水电使用，优化资产配置，纳入绩效考核，师生共同参与节约。</w:t>
            </w:r>
          </w:p>
        </w:tc>
      </w:tr>
    </w:tbl>
    <w:p w14:paraId="46A57ADC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55E19530">
      <w:pPr>
        <w:widowControl w:val="0"/>
        <w:kinsoku/>
        <w:autoSpaceDE/>
        <w:autoSpaceDN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张振华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2025年5月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13874558841</w:t>
      </w:r>
    </w:p>
    <w:p w14:paraId="49E54E4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 w14:paraId="444BC809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p w14:paraId="194824B4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</w:p>
    <w:p w14:paraId="62AF2F0D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object>
          <v:shape id="_x0000_i1026" o:spt="75" alt="" type="#_x0000_t75" style="height:515pt;width:425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6" DrawAspect="Content" ObjectID="_1468075725" r:id="rId5">
            <o:LockedField>false</o:LockedField>
          </o:OLEObject>
        </w:object>
      </w:r>
    </w:p>
    <w:p w14:paraId="7A94AE38">
      <w:pPr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张振华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2025年5月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13874558841</w:t>
      </w:r>
      <w:bookmarkStart w:id="0" w:name="_GoBack"/>
      <w:bookmarkEnd w:id="0"/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09FCD4-576C-4416-A273-E560E5B24AB6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B82D55C-D46B-432F-A76D-1E2F1EF4EA5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B451183B-5EE2-4E37-AED0-12D26C09E6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4FCDCC7-8E51-46A4-8B72-EC61AD44E80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B34D734-8C44-4B25-AE58-EC78FAC7940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9E542DB-CA69-48A1-AC5D-949568BB3B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5D0FA0E8-DFC0-4622-B708-3B3D288FD0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D3DC9EDC-434A-40C9-97E7-D461B429D6E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9" w:fontKey="{C619AB28-7590-46AD-B61C-C5D0D03B5C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6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6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72CDB"/>
    <w:multiLevelType w:val="multilevel"/>
    <w:tmpl w:val="03A72C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83B6821"/>
    <w:multiLevelType w:val="multilevel"/>
    <w:tmpl w:val="383B68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F7E97EA"/>
    <w:multiLevelType w:val="multilevel"/>
    <w:tmpl w:val="3F7E97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94FD664"/>
    <w:multiLevelType w:val="multilevel"/>
    <w:tmpl w:val="594FD6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46A73C6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D4A79CF"/>
    <w:rsid w:val="22FE234B"/>
    <w:rsid w:val="277E6F02"/>
    <w:rsid w:val="29990575"/>
    <w:rsid w:val="2AF6742D"/>
    <w:rsid w:val="2C3B721F"/>
    <w:rsid w:val="2E833798"/>
    <w:rsid w:val="312A2265"/>
    <w:rsid w:val="36FC0F5D"/>
    <w:rsid w:val="375773F8"/>
    <w:rsid w:val="38CC5315"/>
    <w:rsid w:val="393E32BB"/>
    <w:rsid w:val="409C5E2B"/>
    <w:rsid w:val="419B2857"/>
    <w:rsid w:val="41D71DA8"/>
    <w:rsid w:val="45D249F5"/>
    <w:rsid w:val="4C6611ED"/>
    <w:rsid w:val="552A0475"/>
    <w:rsid w:val="578D10CB"/>
    <w:rsid w:val="5A5915AC"/>
    <w:rsid w:val="6A12486A"/>
    <w:rsid w:val="753C4E9B"/>
    <w:rsid w:val="77CA616D"/>
    <w:rsid w:val="781113A7"/>
    <w:rsid w:val="791E6510"/>
    <w:rsid w:val="7C5448E3"/>
    <w:rsid w:val="7C8D4A41"/>
    <w:rsid w:val="7C9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标题1"/>
    <w:basedOn w:val="3"/>
    <w:autoRedefine/>
    <w:qFormat/>
    <w:uiPriority w:val="0"/>
    <w:rPr>
      <w:rFonts w:eastAsia="黑体"/>
    </w:rPr>
  </w:style>
  <w:style w:type="paragraph" w:customStyle="1" w:styleId="14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735</Words>
  <Characters>832</Characters>
  <Lines>0</Lines>
  <Paragraphs>0</Paragraphs>
  <TotalTime>1</TotalTime>
  <ScaleCrop>false</ScaleCrop>
  <LinksUpToDate>false</LinksUpToDate>
  <CharactersWithSpaces>890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企业用户_462231534</cp:lastModifiedBy>
  <cp:lastPrinted>2024-02-26T03:24:00Z</cp:lastPrinted>
  <dcterms:modified xsi:type="dcterms:W3CDTF">2025-05-19T21:57:08Z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2657476AA5DF4497876C9E27A5CCDC2D_13</vt:lpwstr>
  </property>
  <property fmtid="{D5CDD505-2E9C-101B-9397-08002B2CF9AE}" pid="4" name="KSOTemplateDocerSaveRecord">
    <vt:lpwstr>eyJoZGlkIjoiNzE0MWFlMjYwZTU2NGFjZjNjYTRlYTE0MDE2M2IwNjgiLCJ1c2VySWQiOiIxNTUyODIzNzYyIn0=</vt:lpwstr>
  </property>
</Properties>
</file>