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000000"/>
          <w:spacing w:val="0"/>
          <w:sz w:val="44"/>
          <w:szCs w:val="44"/>
          <w:shd w:val="clear" w:fill="FFFFFF"/>
          <w:lang w:eastAsia="zh-CN"/>
        </w:rPr>
      </w:pPr>
      <w:r>
        <w:rPr>
          <w:rFonts w:hint="eastAsia" w:ascii="黑体" w:hAnsi="黑体" w:eastAsia="黑体" w:cs="黑体"/>
          <w:i w:val="0"/>
          <w:iCs w:val="0"/>
          <w:caps w:val="0"/>
          <w:color w:val="000000"/>
          <w:spacing w:val="0"/>
          <w:sz w:val="44"/>
          <w:szCs w:val="44"/>
          <w:shd w:val="clear" w:fill="FFFFFF"/>
          <w:lang w:eastAsia="zh-CN"/>
        </w:rPr>
        <w:t>辰溪县</w:t>
      </w:r>
      <w:r>
        <w:rPr>
          <w:rFonts w:hint="eastAsia" w:ascii="黑体" w:hAnsi="黑体" w:eastAsia="黑体" w:cs="黑体"/>
          <w:i w:val="0"/>
          <w:iCs w:val="0"/>
          <w:caps w:val="0"/>
          <w:color w:val="000000"/>
          <w:spacing w:val="0"/>
          <w:sz w:val="44"/>
          <w:szCs w:val="44"/>
          <w:shd w:val="clear" w:fill="FFFFFF"/>
          <w:lang w:val="en-US" w:eastAsia="zh-CN"/>
        </w:rPr>
        <w:t>文化馆</w:t>
      </w:r>
      <w:r>
        <w:rPr>
          <w:rFonts w:hint="eastAsia" w:ascii="黑体" w:hAnsi="黑体" w:eastAsia="黑体" w:cs="黑体"/>
          <w:i w:val="0"/>
          <w:iCs w:val="0"/>
          <w:caps w:val="0"/>
          <w:color w:val="000000"/>
          <w:spacing w:val="0"/>
          <w:sz w:val="44"/>
          <w:szCs w:val="44"/>
          <w:shd w:val="clear" w:fill="FFFFFF"/>
          <w:lang w:eastAsia="zh-CN"/>
        </w:rPr>
        <w:t>部门整体支出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000000"/>
          <w:spacing w:val="0"/>
          <w:sz w:val="44"/>
          <w:szCs w:val="44"/>
          <w:shd w:val="clear" w:fill="FFFFFF"/>
          <w:lang w:eastAsia="zh-CN"/>
        </w:rPr>
      </w:pPr>
      <w:r>
        <w:rPr>
          <w:rFonts w:hint="eastAsia" w:ascii="黑体" w:hAnsi="黑体" w:eastAsia="黑体" w:cs="黑体"/>
          <w:i w:val="0"/>
          <w:iCs w:val="0"/>
          <w:caps w:val="0"/>
          <w:color w:val="000000"/>
          <w:spacing w:val="0"/>
          <w:sz w:val="44"/>
          <w:szCs w:val="44"/>
          <w:shd w:val="clear" w:fill="FFFFFF"/>
          <w:lang w:eastAsia="zh-CN"/>
        </w:rPr>
        <w:t>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部门、单位基本情况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（一）机构设置情况</w:t>
      </w:r>
    </w:p>
    <w:p>
      <w:pPr>
        <w:widowControl/>
        <w:spacing w:line="560" w:lineRule="exact"/>
        <w:ind w:firstLine="633" w:firstLineChars="198"/>
        <w:jc w:val="left"/>
        <w:rPr>
          <w:rFonts w:hint="eastAsia" w:ascii="仿宋" w:hAnsi="仿宋" w:eastAsia="仿宋" w:cs="仿宋"/>
          <w:sz w:val="32"/>
          <w:szCs w:val="32"/>
        </w:rPr>
      </w:pPr>
      <w:r>
        <w:rPr>
          <w:rFonts w:hint="eastAsia" w:ascii="仿宋" w:hAnsi="仿宋" w:eastAsia="仿宋" w:cs="仿宋"/>
          <w:sz w:val="32"/>
          <w:szCs w:val="32"/>
        </w:rPr>
        <w:t>辰溪县</w:t>
      </w:r>
      <w:r>
        <w:rPr>
          <w:rFonts w:hint="eastAsia" w:ascii="仿宋" w:hAnsi="仿宋" w:eastAsia="仿宋" w:cs="仿宋"/>
          <w:sz w:val="32"/>
          <w:szCs w:val="32"/>
          <w:lang w:val="en-US" w:eastAsia="zh-CN"/>
        </w:rPr>
        <w:t>文化馆</w:t>
      </w:r>
      <w:r>
        <w:rPr>
          <w:rFonts w:hint="eastAsia" w:ascii="仿宋" w:hAnsi="仿宋" w:eastAsia="仿宋" w:cs="仿宋"/>
          <w:sz w:val="32"/>
          <w:szCs w:val="32"/>
        </w:rPr>
        <w:t>作为一级部门预算单位，内设科室为：办公室、人事财务</w:t>
      </w:r>
      <w:r>
        <w:rPr>
          <w:rFonts w:hint="eastAsia" w:ascii="仿宋" w:hAnsi="仿宋" w:eastAsia="仿宋" w:cs="仿宋"/>
          <w:sz w:val="32"/>
          <w:szCs w:val="32"/>
          <w:lang w:val="en-US" w:eastAsia="zh-CN"/>
        </w:rPr>
        <w:t>室</w:t>
      </w:r>
      <w:r>
        <w:rPr>
          <w:rFonts w:hint="eastAsia" w:ascii="仿宋" w:hAnsi="仿宋" w:eastAsia="仿宋" w:cs="仿宋"/>
          <w:sz w:val="32"/>
          <w:szCs w:val="32"/>
        </w:rPr>
        <w:t>、</w:t>
      </w:r>
      <w:r>
        <w:rPr>
          <w:rFonts w:hint="eastAsia" w:ascii="仿宋" w:hAnsi="仿宋" w:eastAsia="仿宋" w:cs="仿宋"/>
          <w:sz w:val="32"/>
          <w:szCs w:val="32"/>
          <w:lang w:val="en-US" w:eastAsia="zh-CN"/>
        </w:rPr>
        <w:t>创作室</w:t>
      </w:r>
      <w:r>
        <w:rPr>
          <w:rFonts w:hint="eastAsia" w:ascii="仿宋" w:hAnsi="仿宋" w:eastAsia="仿宋" w:cs="仿宋"/>
          <w:sz w:val="32"/>
          <w:szCs w:val="32"/>
        </w:rPr>
        <w:t>、业务</w:t>
      </w:r>
      <w:r>
        <w:rPr>
          <w:rFonts w:hint="eastAsia" w:ascii="仿宋" w:hAnsi="仿宋" w:eastAsia="仿宋" w:cs="仿宋"/>
          <w:sz w:val="32"/>
          <w:szCs w:val="32"/>
          <w:lang w:val="en-US" w:eastAsia="zh-CN"/>
        </w:rPr>
        <w:t>室</w:t>
      </w:r>
      <w:r>
        <w:rPr>
          <w:rFonts w:hint="eastAsia" w:ascii="仿宋" w:hAnsi="仿宋" w:eastAsia="仿宋" w:cs="仿宋"/>
          <w:sz w:val="32"/>
          <w:szCs w:val="32"/>
        </w:rPr>
        <w:t>。</w:t>
      </w:r>
    </w:p>
    <w:p>
      <w:pPr>
        <w:widowControl/>
        <w:spacing w:line="560" w:lineRule="exact"/>
        <w:ind w:firstLine="633" w:firstLineChars="198"/>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i w:val="0"/>
          <w:iCs w:val="0"/>
          <w:caps w:val="0"/>
          <w:color w:val="000000"/>
          <w:spacing w:val="0"/>
          <w:sz w:val="32"/>
          <w:szCs w:val="32"/>
          <w:shd w:val="clear" w:fill="FFFFFF"/>
        </w:rPr>
        <w:t>人员编制情况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辰溪县</w:t>
      </w:r>
      <w:r>
        <w:rPr>
          <w:rFonts w:hint="eastAsia" w:ascii="仿宋" w:hAnsi="仿宋" w:eastAsia="仿宋" w:cs="仿宋"/>
          <w:i w:val="0"/>
          <w:iCs w:val="0"/>
          <w:caps w:val="0"/>
          <w:color w:val="000000"/>
          <w:spacing w:val="0"/>
          <w:sz w:val="32"/>
          <w:szCs w:val="32"/>
          <w:shd w:val="clear" w:fill="FFFFFF"/>
          <w:lang w:val="en-US" w:eastAsia="zh-CN"/>
        </w:rPr>
        <w:t>文化馆实有在职10人，全部为全额事业编。</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三</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主要职能职责</w:t>
      </w:r>
    </w:p>
    <w:p>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文化培训：举办普及性文化艺术类培训，提升群众的文化艺术素养。2、讲座展览：举办公益性讲座、传播文化知识，丰富群众文化生活。3、宣传活动：开展各类宣传活动，加大全民文化活动宣传，引导广大人民群众积极参与文化活动，提升全民文艺活动意识。4、组织文化活动：组织公益性群众文化活动，为群众提供文化展示和交流的平台。5、文艺创作与辅导：组织文艺创作与业务辅导，选派优秀文艺专业人才，对舞蹈、声乐、戏曲等业余文艺队伍进行公益辅导，推动文艺创作和发展。6、文化遗产保护：负责民间民族文化收集整理及非遗项目传承保护工作，保护和传承地方特色文化。</w:t>
      </w:r>
    </w:p>
    <w:p>
      <w:p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四</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绩效目标设定情况</w:t>
      </w:r>
    </w:p>
    <w:p>
      <w:p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通过文化事业专项资金的投入，举办各种内容丰富形式多样的群众文化活动、丰富广大群众精神生活，提高群众文化艺术素养，满足广大群众日益提升的对美好幸福生活需求，增强广大群众对幸福生活的获得感，积极推动我县群众文化事业的发展。</w:t>
      </w:r>
    </w:p>
    <w:p>
      <w:p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2.文化馆免费开放接待到馆群众</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万人次，馆内举办书法、美术、摄影、声乐、音乐、小提琴、舞蹈等艺术门类免费培训12期，不断加大免费培训力度，丰富培训内容。举办展览5次，组织开展公益讲座4次。</w:t>
      </w:r>
    </w:p>
    <w:p>
      <w:p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3、重点打造优秀文艺作品7个，选送参加省市文艺汇演和比赛，力争获得优异成绩。</w:t>
      </w:r>
    </w:p>
    <w:p>
      <w:pPr>
        <w:ind w:left="638" w:leftChars="304" w:firstLine="0" w:firstLineChars="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 xml:space="preserve">4.加大非遗项目保护与传承，积极开展文化志愿者活动。                                                                                        5、积极配合并落实上级部门下发的各项工作任务。   </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二、部门整体支出管理及使用情况</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（一）预算执行、使用、管理总体情况。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辰溪县文化馆年初预算收入数为138.25万元，调整后全年预算总收入196.13万元，全部为一般公共预算财政拨款收入。2024年决算总收入195.13万元，全部为一般公共预算财政拨款收入195.13万元，完成全年预算总收入的99.49%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辰溪县文化馆年初预算支出数为138.25万元，调整后全年预算总支出196.13万元，其中基本支出149.14万元，项目支出46.99万元，2024年年终决算总支出195.13万元，其中基本支出148.14万元（人员类支出110.63万元，公用类支出37.51万元），项目支出46.99万元，完成全年预算总支出的99.49%。基本支出中的财政拨款支出主要用于我单位的正常运转、完成日常工作任务以及承担单位应承担的相关业务工作开展；</w:t>
      </w:r>
      <w:r>
        <w:rPr>
          <w:rFonts w:hint="default" w:ascii="仿宋" w:hAnsi="仿宋" w:eastAsia="仿宋" w:cs="仿宋"/>
          <w:kern w:val="2"/>
          <w:sz w:val="32"/>
          <w:szCs w:val="32"/>
          <w:lang w:val="en-US" w:eastAsia="zh-CN" w:bidi="ar-SA"/>
        </w:rPr>
        <w:t> </w:t>
      </w:r>
      <w:r>
        <w:rPr>
          <w:rFonts w:hint="eastAsia" w:ascii="仿宋" w:hAnsi="仿宋" w:eastAsia="仿宋" w:cs="仿宋"/>
          <w:kern w:val="2"/>
          <w:sz w:val="32"/>
          <w:szCs w:val="32"/>
          <w:lang w:val="en-US" w:eastAsia="zh-CN" w:bidi="ar-SA"/>
        </w:rPr>
        <w:t>项目支出中的一般公共预算财政拨款项目支出及政府性基金预算财政拨款项目支出，是用于保障局机关专项业务工作的经费支出。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（二）部门预算执行情况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1.基本支出情况</w:t>
      </w:r>
    </w:p>
    <w:p>
      <w:p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w:t>
      </w:r>
      <w:r>
        <w:rPr>
          <w:rFonts w:hint="eastAsia" w:ascii="仿宋" w:hAnsi="仿宋" w:eastAsia="仿宋" w:cs="仿宋"/>
          <w:kern w:val="2"/>
          <w:sz w:val="32"/>
          <w:szCs w:val="32"/>
          <w:lang w:val="en-US" w:eastAsia="zh-CN" w:bidi="ar-SA"/>
        </w:rPr>
        <w:t>024年部门基本支出年初预算数为123.25万元，其中人员类支出110.25万元，公用类支出13万元；调整后基本支出全年预算总支出149.14万元，其中人员类支出110.63万元，公用类支出38.51万元；基本支出年终决算数为148.14万元，其中人员类支出110.63万元，公用类支出37.51万元。财政拨款支出主要用于我单位的正常运转、完成日常工作任务以及承担单位应承担的相关业务工作开展。</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项目支出情况</w:t>
      </w:r>
    </w:p>
    <w:p>
      <w:pPr>
        <w:pStyle w:val="14"/>
        <w:widowControl/>
        <w:numPr>
          <w:ilvl w:val="0"/>
          <w:numId w:val="0"/>
        </w:numPr>
        <w:spacing w:line="6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2024年项目支出年初预算15万元，调整后全年预算总支出46.99</w:t>
      </w:r>
      <w:r>
        <w:rPr>
          <w:rFonts w:hint="eastAsia" w:ascii="仿宋" w:hAnsi="仿宋" w:eastAsia="仿宋" w:cs="仿宋"/>
          <w:color w:val="auto"/>
          <w:sz w:val="32"/>
          <w:szCs w:val="32"/>
          <w:lang w:val="en-US" w:eastAsia="zh-CN"/>
        </w:rPr>
        <w:t>万元，其中包括预算追加怀化市第二届艺术节经费28.59万元，文化馆免费开放支出18.4万元（含上级指标款支出）。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sz w:val="32"/>
          <w:szCs w:val="32"/>
          <w:shd w:val="clear" w:fill="FFFFFF"/>
          <w:lang w:val="en-US" w:eastAsia="zh-CN"/>
        </w:rPr>
        <w:t>2024年“文化馆免费开放”资金18.4万元，主要用于文化馆免费开放培训、展览及讲座支出；</w:t>
      </w:r>
      <w:r>
        <w:rPr>
          <w:rFonts w:hint="eastAsia" w:ascii="仿宋" w:hAnsi="仿宋" w:eastAsia="仿宋" w:cs="仿宋"/>
          <w:color w:val="auto"/>
          <w:sz w:val="32"/>
          <w:szCs w:val="32"/>
          <w:lang w:val="en-US" w:eastAsia="zh-CN"/>
        </w:rPr>
        <w:t>怀化市第二届艺术节经费28.59万元主要用于参加艺术节比赛开支。</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（三）</w:t>
      </w:r>
      <w:r>
        <w:rPr>
          <w:rFonts w:hint="eastAsia" w:ascii="仿宋" w:hAnsi="仿宋" w:eastAsia="仿宋" w:cs="仿宋"/>
          <w:i w:val="0"/>
          <w:iCs w:val="0"/>
          <w:caps w:val="0"/>
          <w:color w:val="000000"/>
          <w:spacing w:val="0"/>
          <w:sz w:val="32"/>
          <w:szCs w:val="32"/>
          <w:shd w:val="clear" w:fill="FFFFFF"/>
        </w:rPr>
        <w:t>"三公"经费使用和管理情况</w:t>
      </w:r>
    </w:p>
    <w:p>
      <w:pPr>
        <w:widowControl/>
        <w:spacing w:line="560" w:lineRule="exact"/>
        <w:ind w:firstLine="800" w:firstLineChars="25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2024年辰溪县文化馆“三公”经费预算数0万元，其中公务用车购置和维护经费0万元（其中公务用车购置费0万元，公务用车运行维护费0万元），公务接待费0万元（其中公务接待费0万元，出国经费0万元）；2024年“三公”经费决算数0万元，无预算无支出，严控“三公”经费支出，认真贯彻落实中央“八项规定”精神和厉行节约要求。</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政府性基金预算支出情况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无</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国有资本经营预算支出情况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无</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社会保险基金预算支出情况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六、部门整体支出绩效情况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（一）综合评价结论。反映自评得分及评价等级。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部门整体</w:t>
      </w:r>
      <w:r>
        <w:rPr>
          <w:rFonts w:hint="eastAsia" w:ascii="仿宋" w:hAnsi="仿宋" w:eastAsia="仿宋" w:cs="仿宋"/>
          <w:sz w:val="32"/>
          <w:szCs w:val="32"/>
        </w:rPr>
        <w:t>绩效评价工作小组按照</w:t>
      </w:r>
      <w:r>
        <w:rPr>
          <w:rFonts w:hint="eastAsia" w:ascii="仿宋" w:hAnsi="仿宋" w:eastAsia="仿宋" w:cs="仿宋"/>
          <w:sz w:val="32"/>
          <w:szCs w:val="32"/>
          <w:lang w:eastAsia="zh-CN"/>
        </w:rPr>
        <w:t>绩效</w:t>
      </w:r>
      <w:r>
        <w:rPr>
          <w:rFonts w:hint="eastAsia" w:ascii="仿宋" w:hAnsi="仿宋" w:eastAsia="仿宋" w:cs="仿宋"/>
          <w:sz w:val="32"/>
          <w:szCs w:val="32"/>
        </w:rPr>
        <w:t>评价指标表，从</w:t>
      </w:r>
      <w:r>
        <w:rPr>
          <w:rFonts w:hint="eastAsia" w:ascii="仿宋" w:hAnsi="仿宋" w:eastAsia="仿宋" w:cs="仿宋"/>
          <w:sz w:val="32"/>
          <w:szCs w:val="32"/>
          <w:lang w:eastAsia="zh-CN"/>
        </w:rPr>
        <w:t>产出指标、效益指标、满意度指标</w:t>
      </w:r>
      <w:r>
        <w:rPr>
          <w:rFonts w:hint="eastAsia" w:ascii="仿宋" w:hAnsi="仿宋" w:eastAsia="仿宋" w:cs="仿宋"/>
          <w:sz w:val="32"/>
          <w:szCs w:val="32"/>
        </w:rPr>
        <w:t>三个方面进行综合打分，经评价，</w:t>
      </w:r>
      <w:r>
        <w:rPr>
          <w:rFonts w:hint="eastAsia" w:ascii="仿宋" w:hAnsi="仿宋" w:eastAsia="仿宋" w:cs="仿宋"/>
          <w:color w:val="auto"/>
          <w:sz w:val="32"/>
          <w:szCs w:val="32"/>
          <w:lang w:val="en-US" w:eastAsia="zh-CN"/>
        </w:rPr>
        <w:t>2024年部门整体</w:t>
      </w:r>
      <w:r>
        <w:rPr>
          <w:rFonts w:hint="eastAsia" w:ascii="仿宋" w:hAnsi="仿宋" w:eastAsia="仿宋" w:cs="仿宋"/>
          <w:color w:val="auto"/>
          <w:sz w:val="32"/>
          <w:szCs w:val="32"/>
        </w:rPr>
        <w:t>绩效</w:t>
      </w:r>
      <w:r>
        <w:rPr>
          <w:rFonts w:hint="eastAsia" w:ascii="仿宋" w:hAnsi="仿宋" w:eastAsia="仿宋" w:cs="仿宋"/>
          <w:color w:val="auto"/>
          <w:sz w:val="32"/>
          <w:szCs w:val="32"/>
          <w:lang w:eastAsia="zh-CN"/>
        </w:rPr>
        <w:t>总分</w:t>
      </w:r>
      <w:r>
        <w:rPr>
          <w:rFonts w:hint="eastAsia" w:ascii="仿宋" w:hAnsi="仿宋" w:eastAsia="仿宋" w:cs="仿宋"/>
          <w:color w:val="auto"/>
          <w:sz w:val="32"/>
          <w:szCs w:val="32"/>
          <w:lang w:val="en-US" w:eastAsia="zh-CN"/>
        </w:rPr>
        <w:t>100分，得分</w:t>
      </w:r>
      <w:r>
        <w:rPr>
          <w:rFonts w:hint="eastAsia" w:ascii="仿宋" w:hAnsi="仿宋" w:eastAsia="仿宋" w:cs="仿宋"/>
          <w:color w:val="auto"/>
          <w:sz w:val="30"/>
          <w:szCs w:val="30"/>
          <w:lang w:val="en-US" w:eastAsia="zh-CN"/>
        </w:rPr>
        <w:t>93.95</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自评为优秀。</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年初绩效目标完成情况：</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1、组织举办文艺活动20场次，受众人数达5万余人次。</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2、开展免费培训15期，培训人数两千余人次。</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3、举办展览6次，参观展览人达2万余人次。</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4、组织开展公益讲座4次，参加人数五百人。</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5、文艺创作及获奖荣誉，组织创作歌曲三首，舞蹈《幸福小院》荣获湖南省艺术节优秀节目奖并参加由湖南省文旅厅组织的进衡阳社区展演，原创中国画《燕尾龙舟闹端午》入围湖南省艺术节书画类展览。</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6、理论研究：发表学术论文三篇，其中《浅谈新形势下的群众文化工作的策略探析》荣获刊物一等奖，出版《辰河戏通论》理论专著。</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7、免费开放：今年场馆免费接待10万余人次。八、积极配合并落实上级部门下发的各项工作任务。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20" w:firstLineChars="1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eastAsia="zh-CN"/>
        </w:rPr>
        <w:t>（二）</w:t>
      </w:r>
      <w:r>
        <w:rPr>
          <w:rFonts w:hint="eastAsia" w:ascii="仿宋" w:hAnsi="仿宋" w:eastAsia="仿宋" w:cs="仿宋"/>
          <w:i w:val="0"/>
          <w:iCs w:val="0"/>
          <w:caps w:val="0"/>
          <w:color w:val="auto"/>
          <w:spacing w:val="0"/>
          <w:sz w:val="32"/>
          <w:szCs w:val="32"/>
          <w:shd w:val="clear" w:fill="FFFFFF"/>
        </w:rPr>
        <w:t>评价指标分析（或综合评价情况）。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1、经济成本指标：部门预算支出金额195.13万元。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2、社会成本节约率：节约率≧0%，不适用。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3、生态环境成本节约率：节约率≧0%，不适用。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4、数量指标：接待到馆≧10万人次；在职人员控制率100%；举办艺术类培训班15期；举办展览6次；创作优秀文艺作品6个。</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5、质量指标：（1）固定资产利用率100%；（2）项目绩效目标达成率100%；（3）重点工作实际完成率100%。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6、时效指标：各项工作在2024年12月31日前完成。</w:t>
      </w:r>
    </w:p>
    <w:p>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7、经济效益指标：降低单位运行成本，效果较明显。</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8、社会效益指标：丰富人民群众精神生活，保障广大群众基本文化权益，切实提高广大群众获得感与幸福感，效果明显。</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9、生态效益指标：改善社会生态环境，效果较明显。</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10、可持续影响指标：提高群众文化精神素养，构建和谐社会，助力乡村振兴，效果明显。</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11、服务对象满意度指标：广大群众对免费开放政策及公共服务水平满意度率≥98%。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_GB2312" w:eastAsia="仿宋_GB2312" w:cs="仿宋_GB2312"/>
          <w:i w:val="0"/>
          <w:iCs w:val="0"/>
          <w:caps w:val="0"/>
          <w:color w:val="000000"/>
          <w:spacing w:val="0"/>
          <w:kern w:val="0"/>
          <w:sz w:val="32"/>
          <w:szCs w:val="32"/>
          <w:shd w:val="clear" w:fill="FFFFFF"/>
          <w:lang w:val="en-US" w:eastAsia="zh-CN" w:bidi="ar"/>
        </w:rPr>
        <w:t>1、绩效指标设置的科学性、合理性有待提升。</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20" w:firstLineChars="1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2、需要提高目标设置质量。提高工作质量，科学合理设置目标，使单位既能够掌控目标的完成又能反映单位职能职责情况</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1.修改完善管理制度。从不断完善管理制度、优化绩效目标表，到预算执行监控，再到项目事前绩效，绩效评价工作，单位对绩效管理的重视、工作流程、绩效目标设定均有明显提高</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2.认真总结经验。对照评分表、编审表的评审进行数据分析，不断加以改进</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3.科学设置目标，细化、量化精准</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4.重视绩效结果应用。对上年度绩效评价结果加以应用，不断提高单位绩效管理工作。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九、其他需要说明的情况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32"/>
          <w:szCs w:val="32"/>
          <w:shd w:val="clear" w:fill="FFFFFF"/>
          <w:lang w:val="en-US" w:eastAsia="zh-CN"/>
        </w:rPr>
        <w:t xml:space="preserve"> 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D6037E-8A8B-44DD-AE8D-439059FAE2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EBFACB7-713B-4B31-98D1-6FD6B54307CC}"/>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7A0978C5-BBD2-41B6-B9B9-11252A375FAF}"/>
  </w:font>
  <w:font w:name="仿宋_GB2312">
    <w:panose1 w:val="02010609030101010101"/>
    <w:charset w:val="86"/>
    <w:family w:val="auto"/>
    <w:pitch w:val="default"/>
    <w:sig w:usb0="00000001" w:usb1="080E0000" w:usb2="00000000" w:usb3="00000000" w:csb0="00040000" w:csb1="00000000"/>
    <w:embedRegular r:id="rId4" w:fontKey="{6E5A4028-0EEA-4CD1-9428-756E426DC34C}"/>
  </w:font>
  <w:font w:name="方正仿宋_GB2312">
    <w:panose1 w:val="02000000000000000000"/>
    <w:charset w:val="86"/>
    <w:family w:val="auto"/>
    <w:pitch w:val="default"/>
    <w:sig w:usb0="A00002BF" w:usb1="184F6CFA" w:usb2="00000012" w:usb3="00000000" w:csb0="00040001" w:csb1="00000000"/>
    <w:embedRegular r:id="rId5" w:fontKey="{3F6AED90-8624-462F-8313-F3BB71CD2052}"/>
  </w:font>
  <w:font w:name="方正小标宋_GBK">
    <w:panose1 w:val="03000509000000000000"/>
    <w:charset w:val="86"/>
    <w:family w:val="auto"/>
    <w:pitch w:val="default"/>
    <w:sig w:usb0="00000001" w:usb1="080E0000" w:usb2="00000000" w:usb3="00000000" w:csb0="00040000" w:csb1="00000000"/>
    <w:embedRegular r:id="rId6" w:fontKey="{1CAF6783-140F-4F46-BD2D-582C573B1D5D}"/>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91901"/>
    <w:multiLevelType w:val="singleLevel"/>
    <w:tmpl w:val="E8091901"/>
    <w:lvl w:ilvl="0" w:tentative="0">
      <w:start w:val="1"/>
      <w:numFmt w:val="chineseCounting"/>
      <w:suff w:val="nothing"/>
      <w:lvlText w:val="%1、"/>
      <w:lvlJc w:val="left"/>
      <w:rPr>
        <w:rFonts w:hint="eastAsia"/>
      </w:rPr>
    </w:lvl>
  </w:abstractNum>
  <w:abstractNum w:abstractNumId="1">
    <w:nsid w:val="610E7011"/>
    <w:multiLevelType w:val="singleLevel"/>
    <w:tmpl w:val="610E7011"/>
    <w:lvl w:ilvl="0" w:tentative="0">
      <w:start w:val="8"/>
      <w:numFmt w:val="chineseCounting"/>
      <w:suff w:val="nothing"/>
      <w:lvlText w:val="%1、"/>
      <w:lvlJc w:val="left"/>
      <w:rPr>
        <w:rFonts w:hint="eastAsia"/>
      </w:rPr>
    </w:lvl>
  </w:abstractNum>
  <w:abstractNum w:abstractNumId="2">
    <w:nsid w:val="6A636B63"/>
    <w:multiLevelType w:val="singleLevel"/>
    <w:tmpl w:val="6A636B63"/>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YzA0NTEzMGNlZDg3MzQ1MWZkZjM5MWE1NjdhZjYifQ=="/>
    <w:docVar w:name="KSO_WPS_MARK_KEY" w:val="9920a277-c0c3-43b4-93d3-1636fe398e0b"/>
  </w:docVars>
  <w:rsids>
    <w:rsidRoot w:val="753C4E9B"/>
    <w:rsid w:val="046A73C6"/>
    <w:rsid w:val="05E95AA6"/>
    <w:rsid w:val="06DA40AA"/>
    <w:rsid w:val="0C180A78"/>
    <w:rsid w:val="0CAF7D6D"/>
    <w:rsid w:val="0D276746"/>
    <w:rsid w:val="0D464D9C"/>
    <w:rsid w:val="0DD52794"/>
    <w:rsid w:val="0E956870"/>
    <w:rsid w:val="10C666A5"/>
    <w:rsid w:val="12150BE4"/>
    <w:rsid w:val="1223366A"/>
    <w:rsid w:val="12BC1D24"/>
    <w:rsid w:val="143877FD"/>
    <w:rsid w:val="16682886"/>
    <w:rsid w:val="17C820DA"/>
    <w:rsid w:val="19E805B2"/>
    <w:rsid w:val="22FE234B"/>
    <w:rsid w:val="277E6F02"/>
    <w:rsid w:val="283A3ECE"/>
    <w:rsid w:val="29990575"/>
    <w:rsid w:val="2AF6742D"/>
    <w:rsid w:val="2E833798"/>
    <w:rsid w:val="312A2265"/>
    <w:rsid w:val="36FC0F5D"/>
    <w:rsid w:val="375773F8"/>
    <w:rsid w:val="38A3544B"/>
    <w:rsid w:val="38CC5315"/>
    <w:rsid w:val="393E32BB"/>
    <w:rsid w:val="3BDA05E2"/>
    <w:rsid w:val="419B2857"/>
    <w:rsid w:val="41D71DA8"/>
    <w:rsid w:val="45D249F5"/>
    <w:rsid w:val="496B10B8"/>
    <w:rsid w:val="4C6611ED"/>
    <w:rsid w:val="552A0475"/>
    <w:rsid w:val="578D10CB"/>
    <w:rsid w:val="5A5915AC"/>
    <w:rsid w:val="5E124BF2"/>
    <w:rsid w:val="63BC39B5"/>
    <w:rsid w:val="69934C94"/>
    <w:rsid w:val="6A12486A"/>
    <w:rsid w:val="71BD6A55"/>
    <w:rsid w:val="753C4E9B"/>
    <w:rsid w:val="76DD7582"/>
    <w:rsid w:val="77CA616D"/>
    <w:rsid w:val="781113A7"/>
    <w:rsid w:val="788A485A"/>
    <w:rsid w:val="791E6510"/>
    <w:rsid w:val="7B690F2A"/>
    <w:rsid w:val="7BB84AE8"/>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spacing w:beforeLines="0" w:afterLines="0"/>
      <w:ind w:firstLine="420"/>
    </w:pPr>
    <w:rPr>
      <w:rFonts w:hint="default"/>
      <w:sz w:val="32"/>
    </w:rPr>
  </w:style>
  <w:style w:type="paragraph" w:customStyle="1" w:styleId="11">
    <w:name w:val="标题1"/>
    <w:basedOn w:val="3"/>
    <w:qFormat/>
    <w:uiPriority w:val="0"/>
    <w:rPr>
      <w:rFonts w:eastAsia="黑体"/>
    </w:rPr>
  </w:style>
  <w:style w:type="paragraph" w:customStyle="1" w:styleId="12">
    <w:name w:val="首行缩进"/>
    <w:basedOn w:val="1"/>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styleId="14">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4367</Words>
  <Characters>4812</Characters>
  <Lines>0</Lines>
  <Paragraphs>0</Paragraphs>
  <TotalTime>77</TotalTime>
  <ScaleCrop>false</ScaleCrop>
  <LinksUpToDate>false</LinksUpToDate>
  <CharactersWithSpaces>5431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沙漠</cp:lastModifiedBy>
  <cp:lastPrinted>2025-05-19T03:44:00Z</cp:lastPrinted>
  <dcterms:modified xsi:type="dcterms:W3CDTF">2025-09-10T00:32:12Z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4B545E2748234224AA7888E0D1AE4147_13</vt:lpwstr>
  </property>
  <property fmtid="{D5CDD505-2E9C-101B-9397-08002B2CF9AE}" pid="4" name="KSOTemplateDocerSaveRecord">
    <vt:lpwstr>eyJoZGlkIjoiMGQyNjhkOTk2M2RiZTg0YTk2YzRiYzI2OTc2ZTEwZWMiLCJ1c2VySWQiOiI1MjcwMDE5NDAifQ==</vt:lpwstr>
  </property>
</Properties>
</file>