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辰溪县孝坪镇中心幼儿园部门整体支出绩效自评报告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hint="eastAsia" w:ascii="仿宋_GB2312" w:eastAsia="仿宋_GB2312" w:cs="仿宋_GB2312"/>
          <w:color w:val="000000"/>
        </w:rPr>
      </w:pP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一、部门、单位基本情况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>
      <w:pPr>
        <w:widowControl/>
        <w:spacing w:line="520" w:lineRule="exact"/>
        <w:ind w:firstLine="627" w:firstLineChars="196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辰溪县孝坪镇中心幼儿园是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sz w:val="32"/>
          <w:szCs w:val="32"/>
        </w:rPr>
        <w:t>级部门预算单位，单位性质为全额财政补助事业单位，主要职能为实施学胶教育，促进学前教育发展。内设办公室为：园长室，教师办公室。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>
      <w:pPr>
        <w:widowControl/>
        <w:spacing w:line="520" w:lineRule="exact"/>
        <w:ind w:firstLine="627" w:firstLineChars="196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核定编制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个，在编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人。现实有人员11人，其中在职在编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人、临聘人员8人，退休</w:t>
      </w:r>
      <w:r>
        <w:rPr>
          <w:rFonts w:ascii="仿宋" w:hAnsi="仿宋" w:eastAsia="仿宋"/>
          <w:color w:val="000000"/>
          <w:sz w:val="32"/>
          <w:szCs w:val="32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>
      <w:pPr>
        <w:spacing w:line="560" w:lineRule="exact"/>
        <w:ind w:firstLine="640" w:firstLineChars="200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全面贯彻党的教育方针，认真执行上级领导机关的指示和决定。按教育规律办学，全面教育和教学任务。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</w:rPr>
        <w:t>根据具体事项设定相应绩效目标，完成各项经费使用准确性和及时性，办人民满意教育，使本园在学生教师社会方面的满意度不断提高。</w:t>
      </w:r>
    </w:p>
    <w:p>
      <w:pPr>
        <w:snapToGrid w:val="0"/>
        <w:spacing w:line="5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预算执行、使用、管理总体情况。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我园202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年度一般公共预算全年执行数为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79.61</w:t>
      </w:r>
      <w:r>
        <w:rPr>
          <w:rFonts w:hint="eastAsia" w:ascii="仿宋" w:hAnsi="仿宋" w:eastAsia="仿宋"/>
          <w:color w:val="000000"/>
          <w:sz w:val="32"/>
          <w:szCs w:val="32"/>
        </w:rPr>
        <w:t>万元。其中人员经费支出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60.41</w:t>
      </w:r>
      <w:r>
        <w:rPr>
          <w:rFonts w:hint="eastAsia" w:ascii="仿宋" w:hAnsi="仿宋" w:eastAsia="仿宋"/>
          <w:color w:val="000000"/>
          <w:sz w:val="32"/>
          <w:szCs w:val="32"/>
        </w:rPr>
        <w:t>万元，公用经费支出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19.2</w:t>
      </w:r>
      <w:r>
        <w:rPr>
          <w:rFonts w:hint="eastAsia" w:ascii="仿宋" w:hAnsi="仿宋" w:eastAsia="仿宋"/>
          <w:color w:val="000000"/>
          <w:sz w:val="32"/>
          <w:szCs w:val="32"/>
        </w:rPr>
        <w:t>万。在使用过程中我单位严格经费用途使用，全部为教育支出。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（二）部门预算执行情况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1.基本支出情况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我园202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年度一般公共预算年初预算支出</w:t>
      </w:r>
      <w:r>
        <w:rPr>
          <w:rFonts w:hint="eastAsia" w:eastAsia="仿宋_GB2312"/>
          <w:sz w:val="32"/>
          <w:szCs w:val="32"/>
          <w:lang w:val="en-US" w:eastAsia="zh-CN"/>
        </w:rPr>
        <w:t>57.74</w:t>
      </w:r>
      <w:r>
        <w:rPr>
          <w:rFonts w:hint="eastAsia" w:ascii="仿宋" w:hAnsi="仿宋" w:eastAsia="仿宋"/>
          <w:color w:val="000000"/>
          <w:sz w:val="32"/>
          <w:szCs w:val="32"/>
        </w:rPr>
        <w:t>万元，全年预算数为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57.74</w:t>
      </w:r>
      <w:r>
        <w:rPr>
          <w:rFonts w:hint="eastAsia" w:ascii="仿宋" w:hAnsi="仿宋" w:eastAsia="仿宋"/>
          <w:color w:val="000000"/>
          <w:sz w:val="32"/>
          <w:szCs w:val="32"/>
        </w:rPr>
        <w:t>万元，全年执行数为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79.61</w:t>
      </w:r>
      <w:r>
        <w:rPr>
          <w:rFonts w:hint="eastAsia" w:ascii="仿宋" w:hAnsi="仿宋" w:eastAsia="仿宋"/>
          <w:color w:val="000000"/>
          <w:sz w:val="32"/>
          <w:szCs w:val="32"/>
        </w:rPr>
        <w:t>万元。202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年度我园部门整体支出规模为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79.61</w:t>
      </w:r>
      <w:r>
        <w:rPr>
          <w:rFonts w:hint="eastAsia" w:ascii="仿宋" w:hAnsi="仿宋" w:eastAsia="仿宋"/>
          <w:color w:val="000000"/>
          <w:sz w:val="32"/>
          <w:szCs w:val="32"/>
        </w:rPr>
        <w:t>万元，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一般公共预算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47.83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其他资金：31.78都为基本支出，全部用于教育支出。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2.项目支出情况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hint="eastAsia" w:ascii="仿宋" w:hAnsi="仿宋" w:eastAsia="仿宋" w:cstheme="minorBidi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</w:rPr>
        <w:t>本年我单位无项目支出。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（三）"三公"经费使用和管理情况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theme="minorBidi"/>
          <w:color w:val="000000"/>
          <w:kern w:val="2"/>
          <w:sz w:val="32"/>
          <w:szCs w:val="32"/>
        </w:rPr>
        <w:t>我园无本公经费预算也无三公经费支出。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三、政府性基金预算支出情况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我园无政府性基金预算支出。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四、国有资本经营预算支出情况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我园无国有资本经营预算支出。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五、社会保险基金预算支出情况</w:t>
      </w:r>
    </w:p>
    <w:p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我园无社会保险基金预算支出。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六、部门整体支出绩效情况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反映自评得分及评价等级。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根据部门整体支出绩效评价指标体系，我园202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年度部门整体支出绩效自评得分是：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87.5</w:t>
      </w:r>
      <w:r>
        <w:rPr>
          <w:rFonts w:hint="eastAsia" w:ascii="仿宋" w:hAnsi="仿宋" w:eastAsia="仿宋"/>
          <w:color w:val="000000"/>
          <w:sz w:val="32"/>
          <w:szCs w:val="32"/>
        </w:rPr>
        <w:t>分。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</w:p>
    <w:p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基本支出主要用于人员经费、保障单位正常运转、开展教育教学业务。在基本支出中我园按规定使用经费，执行及时到位。我园本年度部门整体支出按预期目标完成，绩效情况好。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七、存在的问题及原因分析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预算项目支出编制需进一步明确、精细化，同时项目执行率需进一步提高，提高经费的使用效能。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原因主要是对幼儿园的业务支出预算不够准确，中途经常会有一些突发的支出项目。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八、下一步改进措施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科学合理编制预算，严格执行预算。预算编制工作要根据新政策、新情况及时更新完善，早编、 细编预算，增强可操作性;提高资金使用效益，增加资金使用透明度。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加强单位财务管理，健全单位财务管理制度体系，规范单位财务行为。提高资金使用效率。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九、其他需要说明的情况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720" w:firstLineChars="3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无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报告应包括以下附件：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部门整体支出绩效评价基础数据表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</w:t>
      </w:r>
    </w:p>
    <w:p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部门整体支出绩效自评表</w:t>
      </w: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  <w:t xml:space="preserve">附件1-1 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 xml:space="preserve">填报单位：辰溪县孝坪镇中心幼儿园            </w:t>
      </w:r>
    </w:p>
    <w:tbl>
      <w:tblPr>
        <w:tblStyle w:val="8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3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3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100%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3、市级专项资金</w:t>
            </w:r>
          </w:p>
          <w:p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14.19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0.6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4.3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0.1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13"/>
        <w:spacing w:line="280" w:lineRule="exact"/>
        <w:ind w:firstLine="440"/>
        <w:rPr>
          <w:rFonts w:hint="eastAsia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spacing w:line="60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陶瑾     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13787556141 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整体支出绩效自评表</w:t>
      </w:r>
    </w:p>
    <w:tbl>
      <w:tblPr>
        <w:tblStyle w:val="8"/>
        <w:tblW w:w="9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55"/>
        <w:gridCol w:w="1101"/>
        <w:gridCol w:w="987"/>
        <w:gridCol w:w="406"/>
        <w:gridCol w:w="888"/>
        <w:gridCol w:w="1097"/>
        <w:gridCol w:w="541"/>
        <w:gridCol w:w="69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预算单位名称</w:t>
            </w:r>
          </w:p>
        </w:tc>
        <w:tc>
          <w:tcPr>
            <w:tcW w:w="8264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辰溪县孝坪镇中心幼儿园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57.74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79.61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79.61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100%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79.61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47.83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7" w:type="dxa"/>
            <w:gridSpan w:val="5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政府性基金拨款：0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纳入专户管理的非税收入拨款：0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7" w:type="dxa"/>
            <w:gridSpan w:val="5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31.78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完成本年度学前教育工作及上级各项任务</w:t>
            </w:r>
          </w:p>
        </w:tc>
        <w:tc>
          <w:tcPr>
            <w:tcW w:w="3727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　做好学前教育工作，加强幼儿各方面能力的培养，和习惯养成，提升我园办学水平。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92" w:type="dxa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（20分)</w:t>
            </w:r>
          </w:p>
        </w:tc>
        <w:tc>
          <w:tcPr>
            <w:tcW w:w="1101" w:type="dxa"/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学前教育（财政拨款）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57.74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47.83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社会成本节约率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auto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生态环境成本节约率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（30分)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学前教育项目完成率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95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7.5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指标未下达，经费使用存在跨年度，有些未能全部完成。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经费使用准确性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经费支付及时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92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指标未及时下达。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（30分）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办好教育民生实事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一般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明显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软硬件设施需提高。需加强资金投入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办好人民满意教育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明显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建设美丽校园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一般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园区硬件设施还需更换。以后按排好资金，提升硬件设施。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可持续发展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一般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幼儿园设施及课程安排，未能持续进行。以后需合理规化。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使用人员满意度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88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幼儿园软硬件设施都 需提高。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1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87.5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陶瑾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  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13787556141 </w:t>
      </w:r>
    </w:p>
    <w:sectPr>
      <w:footerReference r:id="rId3" w:type="default"/>
      <w:pgSz w:w="11906" w:h="16838"/>
      <w:pgMar w:top="2098" w:right="1800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9E"/>
    <w:rsid w:val="00053F41"/>
    <w:rsid w:val="00077F4E"/>
    <w:rsid w:val="000F6A35"/>
    <w:rsid w:val="0036443F"/>
    <w:rsid w:val="003711FC"/>
    <w:rsid w:val="003C14C7"/>
    <w:rsid w:val="004274D2"/>
    <w:rsid w:val="00456FE9"/>
    <w:rsid w:val="005E01B6"/>
    <w:rsid w:val="00674A0D"/>
    <w:rsid w:val="006E522F"/>
    <w:rsid w:val="008A08DC"/>
    <w:rsid w:val="008D0F32"/>
    <w:rsid w:val="0096352D"/>
    <w:rsid w:val="00A0798B"/>
    <w:rsid w:val="00A55198"/>
    <w:rsid w:val="00B344B2"/>
    <w:rsid w:val="00C03AC5"/>
    <w:rsid w:val="00C36EF6"/>
    <w:rsid w:val="00C50A98"/>
    <w:rsid w:val="00C63234"/>
    <w:rsid w:val="00E147D4"/>
    <w:rsid w:val="00F1439E"/>
    <w:rsid w:val="00F1597C"/>
    <w:rsid w:val="00FD2F18"/>
    <w:rsid w:val="0286114D"/>
    <w:rsid w:val="086A5F7A"/>
    <w:rsid w:val="08BD62CF"/>
    <w:rsid w:val="08CC7A93"/>
    <w:rsid w:val="0A4303BB"/>
    <w:rsid w:val="0B903B1C"/>
    <w:rsid w:val="1136150A"/>
    <w:rsid w:val="13B54E3A"/>
    <w:rsid w:val="184A4F5B"/>
    <w:rsid w:val="190B3BD6"/>
    <w:rsid w:val="196F2A09"/>
    <w:rsid w:val="1A5A71E2"/>
    <w:rsid w:val="216C3651"/>
    <w:rsid w:val="338167E4"/>
    <w:rsid w:val="33C318B6"/>
    <w:rsid w:val="33D25764"/>
    <w:rsid w:val="36D12670"/>
    <w:rsid w:val="37EA648C"/>
    <w:rsid w:val="3BED1956"/>
    <w:rsid w:val="3FD00321"/>
    <w:rsid w:val="424243EC"/>
    <w:rsid w:val="464B59EB"/>
    <w:rsid w:val="479C779F"/>
    <w:rsid w:val="48C3293E"/>
    <w:rsid w:val="52235F4E"/>
    <w:rsid w:val="5CFA5C6B"/>
    <w:rsid w:val="60FC4616"/>
    <w:rsid w:val="64636F79"/>
    <w:rsid w:val="677A0AF4"/>
    <w:rsid w:val="7005432C"/>
    <w:rsid w:val="7C9607AB"/>
    <w:rsid w:val="7CC5384E"/>
    <w:rsid w:val="7F6B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link w:val="12"/>
    <w:unhideWhenUsed/>
    <w:qFormat/>
    <w:uiPriority w:val="99"/>
    <w:pPr>
      <w:spacing w:after="0"/>
      <w:ind w:left="0" w:leftChars="0" w:firstLine="420" w:firstLineChars="200"/>
    </w:pPr>
    <w:rPr>
      <w:sz w:val="32"/>
    </w:rPr>
  </w:style>
  <w:style w:type="character" w:customStyle="1" w:styleId="10">
    <w:name w:val="页脚 字符"/>
    <w:basedOn w:val="9"/>
    <w:link w:val="4"/>
    <w:uiPriority w:val="0"/>
    <w:rPr>
      <w:sz w:val="18"/>
      <w:szCs w:val="24"/>
      <w14:ligatures w14:val="none"/>
    </w:rPr>
  </w:style>
  <w:style w:type="character" w:customStyle="1" w:styleId="11">
    <w:name w:val="正文文本缩进 字符"/>
    <w:basedOn w:val="9"/>
    <w:link w:val="3"/>
    <w:semiHidden/>
    <w:uiPriority w:val="99"/>
    <w:rPr>
      <w:szCs w:val="24"/>
      <w14:ligatures w14:val="none"/>
    </w:rPr>
  </w:style>
  <w:style w:type="character" w:customStyle="1" w:styleId="12">
    <w:name w:val="正文文本首行缩进 2 字符"/>
    <w:basedOn w:val="11"/>
    <w:link w:val="7"/>
    <w:uiPriority w:val="99"/>
    <w:rPr>
      <w:sz w:val="32"/>
      <w:szCs w:val="24"/>
      <w14:ligatures w14:val="none"/>
    </w:rPr>
  </w:style>
  <w:style w:type="paragraph" w:customStyle="1" w:styleId="13">
    <w:name w:val="标题1"/>
    <w:basedOn w:val="2"/>
    <w:qFormat/>
    <w:uiPriority w:val="0"/>
    <w:pPr>
      <w:spacing w:before="0" w:after="0" w:line="560" w:lineRule="exact"/>
      <w:ind w:firstLine="200" w:firstLineChars="200"/>
    </w:pPr>
    <w:rPr>
      <w:rFonts w:eastAsia="黑体"/>
      <w:b w:val="0"/>
    </w:rPr>
  </w:style>
  <w:style w:type="character" w:customStyle="1" w:styleId="14">
    <w:name w:val="标题 2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566C7A-2F22-425A-939F-8F63EE45F3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427</Words>
  <Characters>2440</Characters>
  <Lines>20</Lines>
  <Paragraphs>5</Paragraphs>
  <TotalTime>27</TotalTime>
  <ScaleCrop>false</ScaleCrop>
  <LinksUpToDate>false</LinksUpToDate>
  <CharactersWithSpaces>2862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2024-12-06T07:10:00Z</dcterms:created>
  <dc:creator>雨 小</dc:creator>
  <cp:lastModifiedBy>CXYX</cp:lastModifiedBy>
  <cp:lastPrinted>2025-05-12T08:52:00Z</cp:lastPrinted>
  <dcterms:modified xsi:type="dcterms:W3CDTF">2025-05-14T00:51:04Z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