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FFF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000000"/>
          <w:spacing w:val="0"/>
          <w:sz w:val="44"/>
          <w:szCs w:val="44"/>
          <w:shd w:val="clear" w:fill="FFFFFF"/>
          <w:lang w:val="en-US" w:eastAsia="zh-CN"/>
        </w:rPr>
      </w:pPr>
      <w:r>
        <w:rPr>
          <w:rFonts w:hint="eastAsia" w:ascii="黑体" w:hAnsi="黑体" w:eastAsia="黑体" w:cs="黑体"/>
          <w:i w:val="0"/>
          <w:iCs w:val="0"/>
          <w:caps w:val="0"/>
          <w:color w:val="000000"/>
          <w:spacing w:val="0"/>
          <w:sz w:val="44"/>
          <w:szCs w:val="44"/>
          <w:shd w:val="clear" w:fill="FFFFFF"/>
          <w:lang w:val="en-US" w:eastAsia="zh-CN"/>
        </w:rPr>
        <w:t>辰溪县自然资源技术服务中心</w:t>
      </w:r>
    </w:p>
    <w:p w14:paraId="274D60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黑体" w:hAnsi="黑体" w:eastAsia="黑体" w:cs="黑体"/>
          <w:i w:val="0"/>
          <w:iCs w:val="0"/>
          <w:caps w:val="0"/>
          <w:color w:val="000000"/>
          <w:spacing w:val="0"/>
          <w:sz w:val="44"/>
          <w:szCs w:val="44"/>
        </w:rPr>
      </w:pPr>
      <w:r>
        <w:rPr>
          <w:rFonts w:hint="eastAsia" w:ascii="黑体" w:hAnsi="黑体" w:eastAsia="黑体" w:cs="黑体"/>
          <w:i w:val="0"/>
          <w:iCs w:val="0"/>
          <w:caps w:val="0"/>
          <w:color w:val="000000"/>
          <w:spacing w:val="0"/>
          <w:sz w:val="44"/>
          <w:szCs w:val="44"/>
          <w:shd w:val="clear" w:fill="FFFFFF"/>
        </w:rPr>
        <w:t>部门整体支出绩效自评报告</w:t>
      </w:r>
    </w:p>
    <w:p w14:paraId="573B8C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33A864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6C1F3289">
      <w:pPr>
        <w:pStyle w:val="3"/>
        <w:spacing w:line="520" w:lineRule="exact"/>
        <w:ind w:firstLine="600"/>
        <w:rPr>
          <w:rFonts w:hint="eastAsia" w:ascii="楷体_GB2312" w:eastAsia="仿宋" w:cs="楷体_GB2312"/>
          <w:i w:val="0"/>
          <w:iCs w:val="0"/>
          <w:caps w:val="0"/>
          <w:color w:val="000000"/>
          <w:spacing w:val="0"/>
          <w:sz w:val="32"/>
          <w:szCs w:val="32"/>
          <w:shd w:val="clear" w:fill="FFFFFF"/>
          <w:lang w:eastAsia="zh-CN"/>
        </w:rPr>
      </w:pPr>
      <w:r>
        <w:rPr>
          <w:rFonts w:hint="eastAsia" w:ascii="仿宋" w:hAnsi="仿宋" w:eastAsia="仿宋" w:cs="仿宋"/>
          <w:b w:val="0"/>
          <w:bCs w:val="0"/>
          <w:sz w:val="30"/>
          <w:szCs w:val="30"/>
        </w:rPr>
        <w:t>单位内设科室：办公室、测量室、审批室、档案室、财务室</w:t>
      </w:r>
      <w:r>
        <w:rPr>
          <w:rFonts w:hint="eastAsia" w:ascii="仿宋" w:hAnsi="仿宋" w:eastAsia="仿宋" w:cs="仿宋"/>
          <w:b w:val="0"/>
          <w:bCs w:val="0"/>
          <w:sz w:val="30"/>
          <w:szCs w:val="30"/>
          <w:lang w:eastAsia="zh-CN"/>
        </w:rPr>
        <w:t>。</w:t>
      </w:r>
    </w:p>
    <w:p w14:paraId="24B000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（二）人员编制情况</w:t>
      </w:r>
    </w:p>
    <w:p w14:paraId="3C143F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color w:val="3D3D3D"/>
          <w:kern w:val="2"/>
          <w:sz w:val="32"/>
          <w:szCs w:val="32"/>
          <w:lang w:val="en-US" w:eastAsia="zh-CN" w:bidi="ar-SA"/>
        </w:rPr>
        <w:t>2024年辰溪县自然资源技术服务中心在编在岗28人，其中全额事业编制12人，自收自支编制16人，退休18人。</w:t>
      </w:r>
    </w:p>
    <w:p w14:paraId="36504F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（三）主要职能职责</w:t>
      </w:r>
    </w:p>
    <w:p w14:paraId="42BE47E8">
      <w:pPr>
        <w:widowControl/>
        <w:spacing w:line="520" w:lineRule="exact"/>
        <w:ind w:firstLine="594" w:firstLineChars="198"/>
        <w:jc w:val="left"/>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b w:val="0"/>
          <w:bCs w:val="0"/>
          <w:kern w:val="0"/>
          <w:sz w:val="30"/>
          <w:szCs w:val="30"/>
        </w:rPr>
        <w:t>主要职责是贯彻执行国家及省市、县有关城乡规划的方针、政策和法规，负责拟订全县城乡规划方面的地方性政策、管理办法并组织实施和监督检查；负责研究制定全县城乡规划事业发展战略和中长期发展规划以及区域规划；负责组织编制城市总体规划、分区规划、详细规划和各项专业规划，为国土空间规划及城乡规划管理服务、提供各类测绘工作。</w:t>
      </w:r>
    </w:p>
    <w:p w14:paraId="479EA75D">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14:paraId="70A53D8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color w:val="3D3D3D"/>
          <w:sz w:val="32"/>
          <w:szCs w:val="32"/>
          <w:lang w:val="en-US" w:eastAsia="zh-CN"/>
        </w:rPr>
      </w:pPr>
      <w:r>
        <w:rPr>
          <w:rFonts w:hint="eastAsia" w:ascii="仿宋" w:hAnsi="仿宋" w:eastAsia="仿宋" w:cs="仿宋"/>
          <w:color w:val="3D3D3D"/>
          <w:sz w:val="32"/>
          <w:szCs w:val="32"/>
          <w:lang w:val="en-US" w:eastAsia="zh-CN"/>
        </w:rPr>
        <w:t>1、绩效指标是绩效目标的细化和量化的描述，主要包括成本指标、产出指标、效益指标和满意度指标等。</w:t>
      </w:r>
    </w:p>
    <w:p w14:paraId="6A81683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default" w:ascii="仿宋" w:hAnsi="仿宋" w:eastAsia="仿宋" w:cs="仿宋"/>
          <w:color w:val="3D3D3D"/>
          <w:sz w:val="32"/>
          <w:szCs w:val="32"/>
          <w:lang w:val="en-US" w:eastAsia="zh-CN"/>
        </w:rPr>
      </w:pPr>
      <w:r>
        <w:rPr>
          <w:rFonts w:hint="eastAsia" w:ascii="仿宋" w:hAnsi="仿宋" w:eastAsia="仿宋" w:cs="仿宋"/>
          <w:color w:val="3D3D3D"/>
          <w:sz w:val="32"/>
          <w:szCs w:val="32"/>
          <w:lang w:val="en-US" w:eastAsia="zh-CN"/>
        </w:rPr>
        <w:t>（1）成本指标是用于衡量项目在成本控制和资源使用效率的量化工具，包括经济成本指标、社会成本指标、生态环境指标等；</w:t>
      </w:r>
    </w:p>
    <w:p w14:paraId="4D1672E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eastAsia" w:ascii="仿宋" w:hAnsi="仿宋" w:eastAsia="仿宋" w:cs="仿宋"/>
          <w:color w:val="3D3D3D"/>
          <w:sz w:val="32"/>
          <w:szCs w:val="32"/>
          <w:lang w:val="en-US" w:eastAsia="zh-CN"/>
        </w:rPr>
      </w:pPr>
      <w:r>
        <w:rPr>
          <w:rFonts w:hint="eastAsia" w:ascii="仿宋" w:hAnsi="仿宋" w:eastAsia="仿宋" w:cs="仿宋"/>
          <w:color w:val="3D3D3D"/>
          <w:sz w:val="32"/>
          <w:szCs w:val="32"/>
          <w:lang w:val="en-US" w:eastAsia="zh-CN"/>
        </w:rPr>
        <w:t>（2）产出指标是对预计产出的描述，包括数量指标、质量指标、时效指标等；</w:t>
      </w:r>
    </w:p>
    <w:p w14:paraId="2D8FE18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default" w:ascii="仿宋" w:hAnsi="仿宋" w:eastAsia="仿宋" w:cs="仿宋"/>
          <w:color w:val="3D3D3D"/>
          <w:sz w:val="32"/>
          <w:szCs w:val="32"/>
          <w:lang w:val="en-US" w:eastAsia="zh-CN"/>
        </w:rPr>
      </w:pPr>
      <w:r>
        <w:rPr>
          <w:rFonts w:hint="eastAsia" w:ascii="仿宋" w:hAnsi="仿宋" w:eastAsia="仿宋" w:cs="仿宋"/>
          <w:color w:val="3D3D3D"/>
          <w:sz w:val="32"/>
          <w:szCs w:val="32"/>
          <w:lang w:val="en-US" w:eastAsia="zh-CN"/>
        </w:rPr>
        <w:t>（3）效益指标是对预期效果的描述，包括经济效益指标、社会效益指标、生态效益指标、可持续影响指标等；</w:t>
      </w:r>
    </w:p>
    <w:p w14:paraId="758761F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eastAsia" w:ascii="仿宋" w:hAnsi="仿宋" w:eastAsia="仿宋" w:cs="仿宋"/>
          <w:color w:val="3D3D3D"/>
          <w:sz w:val="32"/>
          <w:szCs w:val="32"/>
          <w:lang w:val="en-US" w:eastAsia="zh-CN"/>
        </w:rPr>
      </w:pPr>
      <w:r>
        <w:rPr>
          <w:rFonts w:hint="eastAsia" w:ascii="仿宋" w:hAnsi="仿宋" w:eastAsia="仿宋" w:cs="仿宋"/>
          <w:color w:val="3D3D3D"/>
          <w:sz w:val="32"/>
          <w:szCs w:val="32"/>
          <w:lang w:val="en-US" w:eastAsia="zh-CN"/>
        </w:rPr>
        <w:t>（4）满意度指标是反应服务对象或项目受益人的认可程度的指标。</w:t>
      </w:r>
    </w:p>
    <w:p w14:paraId="1BF3225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color w:val="3D3D3D"/>
          <w:sz w:val="32"/>
          <w:szCs w:val="32"/>
          <w:lang w:val="en-US" w:eastAsia="zh-CN"/>
        </w:rPr>
        <w:t>2、绩效目标设定的依据包括：　　</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（1）国家相关法律、法规和规章制度，国民经济和社会发展规划；</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（2）部门职能、中长期发展规划、年度工作计划或项目规划；　　</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（3）年度预算管理要求；　　</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（4）相关历史数据、行业标准、计划标准等；</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（5）符合财政部门要求的其他依据。</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 xml:space="preserve">    3、设定的绩效目标应当符合以下要求：　　</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（1）指向明确。绩效目标要符合国民经济和社会发展规划、部门职能及事业发展规划等要求，并与相应的预算支出内容、范围、方向、效果等紧密相关。　　</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2）细化量化。绩效目标应当从数量、质量、成本、时效以及经济效益、社会效益、生态效益、可持续影响、满意度等方面进行细化，尽量进行定量表述。不能以量化形式表述的，可采用定性表述，但应具有可衡量性。　　</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（3）合理可行。设定绩效目标时要经过调查研究和科学论证，符合客观实际，能够在一定期限内如期实现。　　</w:t>
      </w:r>
      <w:r>
        <w:rPr>
          <w:rFonts w:hint="eastAsia" w:ascii="仿宋" w:hAnsi="仿宋" w:eastAsia="仿宋" w:cs="仿宋"/>
          <w:color w:val="3D3D3D"/>
          <w:sz w:val="32"/>
          <w:szCs w:val="32"/>
          <w:lang w:val="en-US" w:eastAsia="zh-CN"/>
        </w:rPr>
        <w:br w:type="textWrapping"/>
      </w:r>
      <w:r>
        <w:rPr>
          <w:rFonts w:hint="eastAsia" w:ascii="仿宋" w:hAnsi="仿宋" w:eastAsia="仿宋" w:cs="仿宋"/>
          <w:color w:val="3D3D3D"/>
          <w:sz w:val="32"/>
          <w:szCs w:val="32"/>
          <w:lang w:val="en-US" w:eastAsia="zh-CN"/>
        </w:rPr>
        <w:t>（4）相应匹配。绩效目标要与计划期内的任务数或计划数相对应，与预算确定的投资额或资金量相匹配。</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160BF7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w:t>
      </w:r>
      <w:r>
        <w:rPr>
          <w:rFonts w:hint="eastAsia" w:ascii="楷体_GB2312" w:eastAsia="楷体_GB2312" w:cs="楷体_GB2312"/>
          <w:i w:val="0"/>
          <w:iCs w:val="0"/>
          <w:caps w:val="0"/>
          <w:color w:val="000000"/>
          <w:spacing w:val="0"/>
          <w:sz w:val="32"/>
          <w:szCs w:val="32"/>
          <w:shd w:val="clear" w:fill="FFFFFF"/>
          <w:lang w:val="en-US" w:eastAsia="zh-CN"/>
        </w:rPr>
        <w:t>一</w:t>
      </w:r>
      <w:r>
        <w:rPr>
          <w:rFonts w:hint="default" w:ascii="楷体_GB2312" w:eastAsia="楷体_GB2312" w:cs="楷体_GB2312"/>
          <w:i w:val="0"/>
          <w:iCs w:val="0"/>
          <w:caps w:val="0"/>
          <w:color w:val="000000"/>
          <w:spacing w:val="0"/>
          <w:sz w:val="32"/>
          <w:szCs w:val="32"/>
          <w:shd w:val="clear" w:fill="FFFFFF"/>
        </w:rPr>
        <w:t>）部门预算执行情况</w:t>
      </w:r>
    </w:p>
    <w:p w14:paraId="5D99BD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14:paraId="68661B6F">
      <w:pPr>
        <w:spacing w:line="520" w:lineRule="exact"/>
        <w:ind w:firstLine="600" w:firstLineChars="200"/>
        <w:rPr>
          <w:rFonts w:hint="default" w:ascii="仿宋_GB2312" w:eastAsia="仿宋_GB2312" w:cs="仿宋_GB2312"/>
          <w:i w:val="0"/>
          <w:iCs w:val="0"/>
          <w:caps w:val="0"/>
          <w:color w:val="000000"/>
          <w:spacing w:val="0"/>
          <w:sz w:val="32"/>
          <w:szCs w:val="32"/>
          <w:shd w:val="clear" w:fill="FFFFFF"/>
        </w:rPr>
      </w:pPr>
      <w:r>
        <w:rPr>
          <w:rFonts w:hint="eastAsia" w:ascii="仿宋" w:hAnsi="仿宋" w:eastAsia="仿宋" w:cs="仿宋"/>
          <w:b w:val="0"/>
          <w:bCs w:val="0"/>
          <w:color w:val="000000"/>
          <w:sz w:val="30"/>
          <w:szCs w:val="30"/>
        </w:rPr>
        <w:t>202</w:t>
      </w:r>
      <w:r>
        <w:rPr>
          <w:rFonts w:hint="eastAsia" w:ascii="仿宋" w:hAnsi="仿宋" w:eastAsia="仿宋" w:cs="仿宋"/>
          <w:b w:val="0"/>
          <w:bCs w:val="0"/>
          <w:color w:val="000000"/>
          <w:sz w:val="30"/>
          <w:szCs w:val="30"/>
          <w:lang w:val="en-US" w:eastAsia="zh-CN"/>
        </w:rPr>
        <w:t>4</w:t>
      </w:r>
      <w:r>
        <w:rPr>
          <w:rFonts w:hint="eastAsia" w:ascii="仿宋" w:hAnsi="仿宋" w:eastAsia="仿宋" w:cs="仿宋"/>
          <w:b w:val="0"/>
          <w:bCs w:val="0"/>
          <w:color w:val="000000"/>
          <w:sz w:val="30"/>
          <w:szCs w:val="30"/>
        </w:rPr>
        <w:t>年部门年初预算总支出</w:t>
      </w:r>
      <w:r>
        <w:rPr>
          <w:rFonts w:hint="eastAsia" w:ascii="仿宋" w:hAnsi="仿宋" w:eastAsia="仿宋" w:cs="仿宋"/>
          <w:b w:val="0"/>
          <w:bCs w:val="0"/>
          <w:color w:val="000000"/>
          <w:sz w:val="30"/>
          <w:szCs w:val="30"/>
          <w:lang w:val="en-US" w:eastAsia="zh-CN"/>
        </w:rPr>
        <w:t>321.76</w:t>
      </w:r>
      <w:r>
        <w:rPr>
          <w:rFonts w:hint="eastAsia" w:ascii="仿宋" w:hAnsi="仿宋" w:eastAsia="仿宋" w:cs="仿宋"/>
          <w:b w:val="0"/>
          <w:bCs w:val="0"/>
          <w:color w:val="000000"/>
          <w:sz w:val="30"/>
          <w:szCs w:val="30"/>
        </w:rPr>
        <w:t>万元，其中基本支出预算数</w:t>
      </w:r>
      <w:r>
        <w:rPr>
          <w:rFonts w:hint="eastAsia" w:ascii="仿宋" w:hAnsi="仿宋" w:eastAsia="仿宋" w:cs="仿宋"/>
          <w:b w:val="0"/>
          <w:bCs w:val="0"/>
          <w:color w:val="000000"/>
          <w:sz w:val="30"/>
          <w:szCs w:val="30"/>
          <w:lang w:val="en-US" w:eastAsia="zh-CN"/>
        </w:rPr>
        <w:t>321.76</w:t>
      </w:r>
      <w:r>
        <w:rPr>
          <w:rFonts w:hint="eastAsia" w:ascii="仿宋" w:hAnsi="仿宋" w:eastAsia="仿宋" w:cs="仿宋"/>
          <w:b w:val="0"/>
          <w:bCs w:val="0"/>
          <w:color w:val="000000"/>
          <w:sz w:val="30"/>
          <w:szCs w:val="30"/>
        </w:rPr>
        <w:t>万元。</w:t>
      </w:r>
    </w:p>
    <w:p w14:paraId="241597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202</w:t>
      </w:r>
      <w:r>
        <w:rPr>
          <w:rFonts w:hint="eastAsia" w:ascii="仿宋" w:hAnsi="仿宋" w:eastAsia="仿宋" w:cs="仿宋"/>
          <w:b w:val="0"/>
          <w:bCs w:val="0"/>
          <w:color w:val="000000"/>
          <w:sz w:val="30"/>
          <w:szCs w:val="30"/>
          <w:lang w:val="en-US" w:eastAsia="zh-CN"/>
        </w:rPr>
        <w:t>4</w:t>
      </w:r>
      <w:r>
        <w:rPr>
          <w:rFonts w:hint="eastAsia" w:ascii="仿宋" w:hAnsi="仿宋" w:eastAsia="仿宋" w:cs="仿宋"/>
          <w:b w:val="0"/>
          <w:bCs w:val="0"/>
          <w:color w:val="000000"/>
          <w:sz w:val="30"/>
          <w:szCs w:val="30"/>
        </w:rPr>
        <w:t>年部门决算总支出</w:t>
      </w:r>
      <w:r>
        <w:rPr>
          <w:rFonts w:hint="eastAsia" w:ascii="仿宋" w:hAnsi="仿宋" w:eastAsia="仿宋" w:cs="仿宋"/>
          <w:b w:val="0"/>
          <w:bCs w:val="0"/>
          <w:color w:val="000000"/>
          <w:sz w:val="30"/>
          <w:szCs w:val="30"/>
          <w:lang w:val="en-US" w:eastAsia="zh-CN"/>
        </w:rPr>
        <w:t>442.53</w:t>
      </w:r>
      <w:r>
        <w:rPr>
          <w:rFonts w:hint="eastAsia" w:ascii="仿宋" w:hAnsi="仿宋" w:eastAsia="仿宋" w:cs="仿宋"/>
          <w:b w:val="0"/>
          <w:bCs w:val="0"/>
          <w:color w:val="000000"/>
          <w:sz w:val="30"/>
          <w:szCs w:val="30"/>
        </w:rPr>
        <w:t>万元，其中基本支出决算数</w:t>
      </w:r>
      <w:r>
        <w:rPr>
          <w:rFonts w:hint="eastAsia" w:ascii="仿宋" w:hAnsi="仿宋" w:eastAsia="仿宋" w:cs="仿宋"/>
          <w:b w:val="0"/>
          <w:bCs w:val="0"/>
          <w:color w:val="000000"/>
          <w:sz w:val="30"/>
          <w:szCs w:val="30"/>
          <w:lang w:val="en-US" w:eastAsia="zh-CN"/>
        </w:rPr>
        <w:t>442.53</w:t>
      </w:r>
      <w:r>
        <w:rPr>
          <w:rFonts w:hint="eastAsia" w:ascii="仿宋" w:hAnsi="仿宋" w:eastAsia="仿宋" w:cs="仿宋"/>
          <w:b w:val="0"/>
          <w:bCs w:val="0"/>
          <w:color w:val="000000"/>
          <w:sz w:val="30"/>
          <w:szCs w:val="30"/>
        </w:rPr>
        <w:t>万元，项目支出决算数</w:t>
      </w:r>
      <w:r>
        <w:rPr>
          <w:rFonts w:hint="eastAsia" w:ascii="仿宋" w:hAnsi="仿宋" w:eastAsia="仿宋" w:cs="仿宋"/>
          <w:b w:val="0"/>
          <w:bCs w:val="0"/>
          <w:color w:val="000000"/>
          <w:sz w:val="30"/>
          <w:szCs w:val="30"/>
          <w:lang w:val="en-US" w:eastAsia="zh-CN"/>
        </w:rPr>
        <w:t>0</w:t>
      </w:r>
      <w:r>
        <w:rPr>
          <w:rFonts w:hint="eastAsia" w:ascii="仿宋" w:hAnsi="仿宋" w:eastAsia="仿宋" w:cs="仿宋"/>
          <w:b w:val="0"/>
          <w:bCs w:val="0"/>
          <w:color w:val="000000"/>
          <w:sz w:val="30"/>
          <w:szCs w:val="30"/>
        </w:rPr>
        <w:t>万元。</w:t>
      </w:r>
    </w:p>
    <w:p w14:paraId="3884C3EC">
      <w:pPr>
        <w:spacing w:line="520" w:lineRule="exact"/>
        <w:ind w:firstLine="600" w:firstLineChars="200"/>
        <w:rPr>
          <w:rFonts w:hint="default" w:ascii="仿宋_GB2312" w:eastAsia="仿宋_GB2312" w:cs="仿宋_GB2312"/>
          <w:i w:val="0"/>
          <w:iCs w:val="0"/>
          <w:caps w:val="0"/>
          <w:color w:val="000000"/>
          <w:spacing w:val="0"/>
          <w:sz w:val="32"/>
          <w:szCs w:val="32"/>
          <w:shd w:val="clear" w:fill="FFFFFF"/>
        </w:rPr>
      </w:pPr>
      <w:r>
        <w:rPr>
          <w:rFonts w:hint="eastAsia" w:ascii="仿宋" w:hAnsi="仿宋" w:eastAsia="仿宋" w:cs="仿宋"/>
          <w:b w:val="0"/>
          <w:bCs w:val="0"/>
          <w:color w:val="000000"/>
          <w:sz w:val="30"/>
          <w:szCs w:val="30"/>
        </w:rPr>
        <w:t>一般公共预算财政拨款基本支出</w:t>
      </w:r>
      <w:r>
        <w:rPr>
          <w:rFonts w:hint="eastAsia" w:ascii="仿宋" w:hAnsi="仿宋" w:eastAsia="仿宋" w:cs="仿宋"/>
          <w:b w:val="0"/>
          <w:bCs w:val="0"/>
          <w:color w:val="000000"/>
          <w:sz w:val="30"/>
          <w:szCs w:val="30"/>
          <w:lang w:val="en-US" w:eastAsia="zh-CN"/>
        </w:rPr>
        <w:t>342.06</w:t>
      </w:r>
      <w:r>
        <w:rPr>
          <w:rFonts w:hint="eastAsia" w:ascii="仿宋" w:hAnsi="仿宋" w:eastAsia="仿宋" w:cs="仿宋"/>
          <w:b w:val="0"/>
          <w:bCs w:val="0"/>
          <w:color w:val="000000"/>
          <w:sz w:val="30"/>
          <w:szCs w:val="30"/>
        </w:rPr>
        <w:t>万元，其中人员经费</w:t>
      </w:r>
      <w:r>
        <w:rPr>
          <w:rFonts w:hint="eastAsia" w:ascii="仿宋" w:hAnsi="仿宋" w:eastAsia="仿宋" w:cs="仿宋"/>
          <w:b w:val="0"/>
          <w:bCs w:val="0"/>
          <w:color w:val="000000"/>
          <w:sz w:val="30"/>
          <w:szCs w:val="30"/>
          <w:lang w:val="en-US" w:eastAsia="zh-CN"/>
        </w:rPr>
        <w:t>328.43</w:t>
      </w:r>
      <w:r>
        <w:rPr>
          <w:rFonts w:hint="eastAsia" w:ascii="仿宋" w:hAnsi="仿宋" w:eastAsia="仿宋" w:cs="仿宋"/>
          <w:b w:val="0"/>
          <w:bCs w:val="0"/>
          <w:color w:val="000000"/>
          <w:sz w:val="30"/>
          <w:szCs w:val="30"/>
        </w:rPr>
        <w:t>万元、</w:t>
      </w:r>
      <w:r>
        <w:rPr>
          <w:rFonts w:hint="eastAsia" w:ascii="仿宋" w:hAnsi="仿宋" w:eastAsia="仿宋" w:cs="仿宋"/>
          <w:b w:val="0"/>
          <w:bCs w:val="0"/>
          <w:color w:val="000000"/>
          <w:sz w:val="30"/>
          <w:szCs w:val="30"/>
          <w:lang w:val="en-US" w:eastAsia="zh-CN"/>
        </w:rPr>
        <w:t>公用经费13.63</w:t>
      </w:r>
      <w:r>
        <w:rPr>
          <w:rFonts w:hint="eastAsia" w:ascii="仿宋" w:hAnsi="仿宋" w:eastAsia="仿宋" w:cs="仿宋"/>
          <w:b w:val="0"/>
          <w:bCs w:val="0"/>
          <w:color w:val="000000"/>
          <w:sz w:val="30"/>
          <w:szCs w:val="30"/>
        </w:rPr>
        <w:t>万元，是用于保障</w:t>
      </w:r>
      <w:bookmarkStart w:id="0" w:name="OLE_LINK2"/>
      <w:r>
        <w:rPr>
          <w:rFonts w:hint="eastAsia" w:ascii="仿宋" w:hAnsi="仿宋" w:eastAsia="仿宋" w:cs="仿宋"/>
          <w:b w:val="0"/>
          <w:bCs w:val="0"/>
          <w:color w:val="000000"/>
          <w:sz w:val="30"/>
          <w:szCs w:val="30"/>
        </w:rPr>
        <w:t>单位日常支出，</w:t>
      </w:r>
      <w:bookmarkEnd w:id="0"/>
      <w:r>
        <w:rPr>
          <w:rFonts w:hint="eastAsia" w:ascii="仿宋" w:hAnsi="仿宋" w:eastAsia="仿宋" w:cs="仿宋"/>
          <w:b w:val="0"/>
          <w:bCs w:val="0"/>
          <w:color w:val="000000"/>
          <w:sz w:val="30"/>
          <w:szCs w:val="30"/>
        </w:rPr>
        <w:t>包括基本工资、津贴补贴等人员经费以及办公费、印刷费、水电费、办公设备购置等日常公用经费。</w:t>
      </w:r>
    </w:p>
    <w:p w14:paraId="4709D24C">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项目支出情况</w:t>
      </w:r>
    </w:p>
    <w:p w14:paraId="76F07AD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leftChars="0" w:right="0" w:rightChars="0"/>
        <w:textAlignment w:val="auto"/>
        <w:rPr>
          <w:rFonts w:hint="default" w:ascii="仿宋" w:hAnsi="仿宋" w:eastAsia="仿宋" w:cs="仿宋"/>
          <w:b w:val="0"/>
          <w:bCs w:val="0"/>
          <w:color w:val="000000"/>
          <w:kern w:val="2"/>
          <w:sz w:val="30"/>
          <w:szCs w:val="30"/>
          <w:lang w:val="en-US" w:eastAsia="zh-CN" w:bidi="ar-SA"/>
        </w:rPr>
      </w:pPr>
      <w:r>
        <w:rPr>
          <w:rFonts w:hint="eastAsia" w:ascii="仿宋" w:hAnsi="仿宋" w:eastAsia="仿宋" w:cs="仿宋"/>
          <w:b w:val="0"/>
          <w:bCs w:val="0"/>
          <w:color w:val="000000"/>
          <w:kern w:val="2"/>
          <w:sz w:val="30"/>
          <w:szCs w:val="30"/>
          <w:lang w:val="en-US" w:eastAsia="zh-CN" w:bidi="ar-SA"/>
        </w:rPr>
        <w:t>无项目支出</w:t>
      </w:r>
    </w:p>
    <w:p w14:paraId="2EDEBFF0">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"三公"经费使用</w:t>
      </w:r>
    </w:p>
    <w:p w14:paraId="5B9C381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b w:val="0"/>
          <w:bCs w:val="0"/>
          <w:color w:val="000000"/>
          <w:sz w:val="30"/>
          <w:szCs w:val="30"/>
        </w:rPr>
        <w:t>202</w:t>
      </w:r>
      <w:r>
        <w:rPr>
          <w:rFonts w:hint="eastAsia" w:ascii="仿宋" w:hAnsi="仿宋" w:eastAsia="仿宋" w:cs="仿宋"/>
          <w:b w:val="0"/>
          <w:bCs w:val="0"/>
          <w:color w:val="000000"/>
          <w:sz w:val="30"/>
          <w:szCs w:val="30"/>
          <w:lang w:val="en-US" w:eastAsia="zh-CN"/>
        </w:rPr>
        <w:t>4</w:t>
      </w:r>
      <w:r>
        <w:rPr>
          <w:rFonts w:hint="eastAsia" w:ascii="仿宋" w:hAnsi="仿宋" w:eastAsia="仿宋" w:cs="仿宋"/>
          <w:b w:val="0"/>
          <w:bCs w:val="0"/>
          <w:color w:val="000000"/>
          <w:sz w:val="30"/>
          <w:szCs w:val="30"/>
        </w:rPr>
        <w:t>年辰溪县自然资源技术服务中心年初“三公”经费预算数</w:t>
      </w:r>
      <w:r>
        <w:rPr>
          <w:rFonts w:hint="eastAsia" w:ascii="仿宋" w:hAnsi="仿宋" w:eastAsia="仿宋" w:cs="仿宋"/>
          <w:b w:val="0"/>
          <w:bCs w:val="0"/>
          <w:color w:val="000000"/>
          <w:sz w:val="30"/>
          <w:szCs w:val="30"/>
          <w:lang w:val="en-US" w:eastAsia="zh-CN"/>
        </w:rPr>
        <w:t>0</w:t>
      </w:r>
      <w:r>
        <w:rPr>
          <w:rFonts w:hint="eastAsia" w:ascii="仿宋" w:hAnsi="仿宋" w:eastAsia="仿宋" w:cs="仿宋"/>
          <w:b w:val="0"/>
          <w:bCs w:val="0"/>
          <w:color w:val="000000"/>
          <w:sz w:val="30"/>
          <w:szCs w:val="30"/>
        </w:rPr>
        <w:t>万元，“三公”经费支出</w:t>
      </w:r>
      <w:r>
        <w:rPr>
          <w:rFonts w:hint="eastAsia" w:ascii="仿宋" w:hAnsi="仿宋" w:eastAsia="仿宋" w:cs="仿宋"/>
          <w:b w:val="0"/>
          <w:bCs w:val="0"/>
          <w:color w:val="000000"/>
          <w:sz w:val="30"/>
          <w:szCs w:val="30"/>
          <w:lang w:val="en-US" w:eastAsia="zh-CN"/>
        </w:rPr>
        <w:t>0</w:t>
      </w:r>
      <w:r>
        <w:rPr>
          <w:rFonts w:hint="eastAsia" w:ascii="仿宋" w:hAnsi="仿宋" w:eastAsia="仿宋" w:cs="仿宋"/>
          <w:b w:val="0"/>
          <w:bCs w:val="0"/>
          <w:color w:val="000000"/>
          <w:sz w:val="30"/>
          <w:szCs w:val="30"/>
        </w:rPr>
        <w:t>万元。</w:t>
      </w:r>
    </w:p>
    <w:p w14:paraId="0F0FDD5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3D800D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default" w:ascii="黑体" w:hAnsi="黑体" w:eastAsia="黑体" w:cs="黑体"/>
          <w:i w:val="0"/>
          <w:iCs w:val="0"/>
          <w:caps w:val="0"/>
          <w:color w:val="000000"/>
          <w:spacing w:val="0"/>
          <w:sz w:val="32"/>
          <w:szCs w:val="32"/>
          <w:shd w:val="clear" w:fill="FFFFFF"/>
          <w:lang w:val="en-US"/>
        </w:rPr>
      </w:pPr>
      <w:r>
        <w:rPr>
          <w:rFonts w:hint="eastAsia" w:ascii="仿宋" w:hAnsi="仿宋" w:eastAsia="仿宋" w:cs="仿宋"/>
          <w:b w:val="0"/>
          <w:bCs w:val="0"/>
          <w:color w:val="000000"/>
          <w:kern w:val="2"/>
          <w:sz w:val="30"/>
          <w:szCs w:val="30"/>
          <w:lang w:val="en-US" w:eastAsia="zh-CN" w:bidi="ar-SA"/>
        </w:rPr>
        <w:t>无政府性基金预算支出</w:t>
      </w:r>
    </w:p>
    <w:p w14:paraId="069C89A3">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491503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b w:val="0"/>
          <w:bCs w:val="0"/>
          <w:color w:val="000000"/>
          <w:kern w:val="2"/>
          <w:sz w:val="30"/>
          <w:szCs w:val="30"/>
          <w:lang w:val="en-US" w:eastAsia="zh-CN" w:bidi="ar-SA"/>
        </w:rPr>
      </w:pPr>
      <w:r>
        <w:rPr>
          <w:rFonts w:hint="eastAsia" w:ascii="仿宋" w:hAnsi="仿宋" w:eastAsia="仿宋" w:cs="仿宋"/>
          <w:b w:val="0"/>
          <w:bCs w:val="0"/>
          <w:color w:val="000000"/>
          <w:kern w:val="2"/>
          <w:sz w:val="30"/>
          <w:szCs w:val="30"/>
          <w:lang w:val="en-US" w:eastAsia="zh-CN" w:bidi="ar-SA"/>
        </w:rPr>
        <w:t>无国有资本经营预算支出</w:t>
      </w:r>
    </w:p>
    <w:p w14:paraId="48ED9844">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2048683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320" w:firstLineChars="100"/>
        <w:textAlignment w:val="auto"/>
        <w:rPr>
          <w:rFonts w:hint="default" w:ascii="仿宋" w:hAnsi="仿宋" w:eastAsia="仿宋" w:cs="仿宋"/>
          <w:b w:val="0"/>
          <w:bCs w:val="0"/>
          <w:color w:val="000000"/>
          <w:kern w:val="2"/>
          <w:sz w:val="30"/>
          <w:szCs w:val="30"/>
          <w:lang w:val="en-US" w:eastAsia="zh-CN" w:bidi="ar-SA"/>
        </w:rPr>
      </w:pP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 w:hAnsi="仿宋" w:eastAsia="仿宋" w:cs="仿宋"/>
          <w:b w:val="0"/>
          <w:bCs w:val="0"/>
          <w:color w:val="000000"/>
          <w:kern w:val="2"/>
          <w:sz w:val="30"/>
          <w:szCs w:val="30"/>
          <w:lang w:val="en-US" w:eastAsia="zh-CN" w:bidi="ar-SA"/>
        </w:rPr>
        <w:t xml:space="preserve"> 无社会保险基金预算支出</w:t>
      </w:r>
    </w:p>
    <w:p w14:paraId="28A4E1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43903F69">
      <w:pPr>
        <w:pStyle w:val="3"/>
        <w:spacing w:line="520" w:lineRule="exact"/>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1、部门按“三定”方案中所赋予的职责和年度承担的目标开展工作。</w:t>
      </w:r>
    </w:p>
    <w:p w14:paraId="60978AF3">
      <w:pPr>
        <w:pStyle w:val="3"/>
        <w:spacing w:line="520" w:lineRule="exact"/>
        <w:rPr>
          <w:rFonts w:hint="eastAsia" w:ascii="仿宋" w:hAnsi="仿宋" w:eastAsia="仿宋" w:cs="仿宋"/>
          <w:b w:val="0"/>
          <w:bCs w:val="0"/>
          <w:sz w:val="28"/>
          <w:szCs w:val="28"/>
        </w:rPr>
      </w:pPr>
      <w:r>
        <w:rPr>
          <w:rFonts w:hint="eastAsia" w:ascii="仿宋" w:hAnsi="仿宋" w:eastAsia="仿宋" w:cs="仿宋"/>
          <w:b w:val="0"/>
          <w:bCs w:val="0"/>
          <w:kern w:val="0"/>
          <w:sz w:val="28"/>
          <w:szCs w:val="28"/>
        </w:rPr>
        <w:t xml:space="preserve">2、在职责范围之内，部门的活动符合部门中长期规划，部门所设立的活动明确合理、活动的关键性指标设置, 为加强预算管理，规范财务行为，部门制定的管理制度，部门使用预算资金严格按照预算财务管理制度的规定执行。 </w:t>
      </w:r>
    </w:p>
    <w:p w14:paraId="2797A935">
      <w:pPr>
        <w:pStyle w:val="3"/>
        <w:spacing w:line="520" w:lineRule="exact"/>
        <w:ind w:firstLine="560"/>
        <w:rPr>
          <w:rFonts w:hint="eastAsia" w:ascii="仿宋" w:hAnsi="仿宋" w:eastAsia="仿宋" w:cs="仿宋"/>
          <w:b w:val="0"/>
          <w:bCs w:val="0"/>
          <w:sz w:val="28"/>
          <w:szCs w:val="28"/>
        </w:rPr>
      </w:pPr>
      <w:r>
        <w:rPr>
          <w:rFonts w:hint="eastAsia" w:ascii="仿宋" w:hAnsi="仿宋" w:eastAsia="仿宋" w:cs="仿宋"/>
          <w:b w:val="0"/>
          <w:bCs w:val="0"/>
          <w:kern w:val="0"/>
          <w:sz w:val="28"/>
          <w:szCs w:val="28"/>
        </w:rPr>
        <w:t>3、部门按照政府信息公开有关规定公开相关预决算信息。</w:t>
      </w:r>
    </w:p>
    <w:p w14:paraId="0FFDBCEB">
      <w:pPr>
        <w:pStyle w:val="3"/>
        <w:spacing w:line="520" w:lineRule="exact"/>
        <w:ind w:firstLine="56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4、部门为加强资产管理、规范资产管理行为而制定的管理制度是否健全完整, 部门的资产是否保存完整、使用合规、收入及时足额上缴，</w:t>
      </w:r>
    </w:p>
    <w:p w14:paraId="2383F9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399F93BA">
      <w:pPr>
        <w:spacing w:line="520" w:lineRule="exact"/>
        <w:ind w:firstLine="600" w:firstLineChars="20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1、部门预算编制不规范，单位虽然设立了资金绩效目标，但目标不够明确、细化和量化。</w:t>
      </w:r>
    </w:p>
    <w:p w14:paraId="748975BE">
      <w:pPr>
        <w:spacing w:line="520" w:lineRule="exact"/>
        <w:ind w:firstLine="600" w:firstLineChars="20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2. 资金使用效益有待进一步提高。</w:t>
      </w:r>
    </w:p>
    <w:p w14:paraId="0BC0820A">
      <w:pPr>
        <w:widowControl/>
        <w:spacing w:line="520" w:lineRule="exact"/>
        <w:ind w:firstLine="600" w:firstLineChars="200"/>
        <w:rPr>
          <w:rFonts w:hint="eastAsia" w:ascii="仿宋" w:hAnsi="仿宋" w:eastAsia="仿宋" w:cs="仿宋"/>
          <w:b w:val="0"/>
          <w:bCs w:val="0"/>
          <w:color w:val="3D3D3D"/>
          <w:kern w:val="0"/>
          <w:sz w:val="30"/>
          <w:szCs w:val="30"/>
        </w:rPr>
      </w:pPr>
      <w:r>
        <w:rPr>
          <w:rFonts w:hint="eastAsia" w:ascii="仿宋" w:hAnsi="仿宋" w:eastAsia="仿宋" w:cs="仿宋"/>
          <w:b w:val="0"/>
          <w:bCs w:val="0"/>
          <w:color w:val="3D3D3D"/>
          <w:kern w:val="0"/>
          <w:sz w:val="30"/>
          <w:szCs w:val="30"/>
        </w:rPr>
        <w:t>3、年度预算与实际执行存在偏差，主要是财政资金紧张，不能按时拨付至单位账上且单位不能及时支付各项支出。</w:t>
      </w:r>
    </w:p>
    <w:p w14:paraId="360825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5918A7B2">
      <w:pPr>
        <w:widowControl/>
        <w:numPr>
          <w:ilvl w:val="0"/>
          <w:numId w:val="0"/>
        </w:numPr>
        <w:spacing w:line="520" w:lineRule="exact"/>
        <w:ind w:firstLine="600" w:firstLineChars="200"/>
        <w:rPr>
          <w:rFonts w:hint="eastAsia" w:ascii="仿宋" w:hAnsi="仿宋" w:eastAsia="仿宋" w:cs="仿宋"/>
          <w:b w:val="0"/>
          <w:bCs w:val="0"/>
          <w:color w:val="3D3D3D"/>
          <w:kern w:val="0"/>
          <w:sz w:val="30"/>
          <w:szCs w:val="30"/>
        </w:rPr>
      </w:pPr>
      <w:r>
        <w:rPr>
          <w:rFonts w:hint="eastAsia" w:ascii="仿宋" w:hAnsi="仿宋" w:eastAsia="仿宋" w:cs="仿宋"/>
          <w:b w:val="0"/>
          <w:bCs w:val="0"/>
          <w:color w:val="3D3D3D"/>
          <w:kern w:val="0"/>
          <w:sz w:val="30"/>
          <w:szCs w:val="30"/>
          <w:lang w:val="en-US" w:eastAsia="zh-CN"/>
        </w:rPr>
        <w:t>1、</w:t>
      </w:r>
      <w:r>
        <w:rPr>
          <w:rFonts w:hint="eastAsia" w:ascii="仿宋" w:hAnsi="仿宋" w:eastAsia="仿宋" w:cs="仿宋"/>
          <w:b w:val="0"/>
          <w:bCs w:val="0"/>
          <w:color w:val="3D3D3D"/>
          <w:kern w:val="0"/>
          <w:sz w:val="30"/>
          <w:szCs w:val="30"/>
        </w:rPr>
        <w:t>加强单位预算编制工作，根据人员情况、业务开展需要，逐项做出预算计划，不留缺口、不留空项。</w:t>
      </w:r>
    </w:p>
    <w:p w14:paraId="7BECD052">
      <w:pPr>
        <w:widowControl/>
        <w:spacing w:line="520" w:lineRule="exact"/>
        <w:ind w:firstLine="600" w:firstLineChars="200"/>
        <w:rPr>
          <w:rFonts w:hint="eastAsia" w:ascii="仿宋" w:hAnsi="仿宋" w:eastAsia="仿宋" w:cs="仿宋"/>
          <w:b w:val="0"/>
          <w:bCs w:val="0"/>
          <w:color w:val="3D3D3D"/>
          <w:kern w:val="0"/>
          <w:sz w:val="30"/>
          <w:szCs w:val="30"/>
        </w:rPr>
      </w:pPr>
      <w:r>
        <w:rPr>
          <w:rFonts w:hint="eastAsia" w:ascii="仿宋" w:hAnsi="仿宋" w:eastAsia="仿宋" w:cs="仿宋"/>
          <w:b w:val="0"/>
          <w:bCs w:val="0"/>
          <w:color w:val="3D3D3D"/>
          <w:kern w:val="0"/>
          <w:sz w:val="30"/>
          <w:szCs w:val="30"/>
        </w:rPr>
        <w:t>2、规范账务处理，提高财务信息质量</w:t>
      </w:r>
    </w:p>
    <w:p w14:paraId="169800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b w:val="0"/>
          <w:bCs w:val="0"/>
          <w:color w:val="000000"/>
          <w:sz w:val="30"/>
          <w:szCs w:val="30"/>
        </w:rPr>
        <w:t>3、加强业务培训，提高评价水平。健全预算绩效管理制度，推动预算绩效管理科学、程序规范、方法合理、结果可行。</w:t>
      </w:r>
    </w:p>
    <w:p w14:paraId="106A32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1EB8C6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default" w:ascii="Calibri" w:hAnsi="Calibri" w:cs="Calibri"/>
          <w:i w:val="0"/>
          <w:iCs w:val="0"/>
          <w:caps w:val="0"/>
          <w:color w:val="000000"/>
          <w:spacing w:val="0"/>
          <w:sz w:val="24"/>
          <w:szCs w:val="24"/>
        </w:rPr>
      </w:pPr>
      <w:r>
        <w:rPr>
          <w:rFonts w:hint="eastAsia" w:ascii="仿宋" w:hAnsi="仿宋" w:eastAsia="仿宋" w:cs="仿宋"/>
          <w:b w:val="0"/>
          <w:bCs w:val="0"/>
          <w:color w:val="000000"/>
          <w:sz w:val="30"/>
          <w:szCs w:val="30"/>
          <w:lang w:val="en-US" w:eastAsia="zh-CN"/>
        </w:rPr>
        <w:t>无其他需要说明的情况</w:t>
      </w:r>
    </w:p>
    <w:p w14:paraId="52EFE02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039390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sectPr>
          <w:footerReference r:id="rId3" w:type="default"/>
          <w:pgSz w:w="11906" w:h="16838"/>
          <w:pgMar w:top="2098" w:right="1800" w:bottom="1984" w:left="1587" w:header="851" w:footer="992" w:gutter="0"/>
          <w:cols w:space="425" w:num="1"/>
          <w:docGrid w:type="lines" w:linePitch="312" w:charSpace="0"/>
        </w:sectPr>
      </w:pPr>
    </w:p>
    <w:p w14:paraId="168875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 xml:space="preserve">附件1-1 </w:t>
      </w:r>
    </w:p>
    <w:p w14:paraId="6A68B17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6A913125">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填报单位：辰溪县自然资源技术服务中心                                        </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53D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5A787E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C39697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18BAB83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264A58B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3CB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2428B38B">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3B0C896">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28</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0982D7C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28</w:t>
            </w:r>
          </w:p>
        </w:tc>
        <w:tc>
          <w:tcPr>
            <w:tcW w:w="1832" w:type="dxa"/>
            <w:gridSpan w:val="2"/>
            <w:noWrap w:val="0"/>
            <w:vAlign w:val="center"/>
          </w:tcPr>
          <w:p w14:paraId="1DF0B13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100%</w:t>
            </w:r>
            <w:r>
              <w:rPr>
                <w:rFonts w:hint="eastAsia" w:ascii="仿宋" w:hAnsi="仿宋" w:eastAsia="仿宋" w:cs="仿宋"/>
                <w:b w:val="0"/>
                <w:bCs w:val="0"/>
                <w:kern w:val="0"/>
                <w:sz w:val="20"/>
                <w:szCs w:val="20"/>
                <w:lang w:eastAsia="zh-CN"/>
              </w:rPr>
              <w:t xml:space="preserve"> </w:t>
            </w:r>
          </w:p>
        </w:tc>
      </w:tr>
      <w:tr w14:paraId="7FD8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8BBEB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12AF48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40C3267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7143CF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6A6F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42135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5B12EB0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0.26</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90FE2F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0BD64D4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w:t>
            </w:r>
          </w:p>
        </w:tc>
      </w:tr>
      <w:tr w14:paraId="363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EA94C8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80B409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0E0ED7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B6E1C2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5D15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984A03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63799F5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595B2730">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3B5283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06C2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3100E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3AB38E0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56208F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69D3C82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25CF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EE85C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7BC47D9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F1D19E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AE040C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55F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E7FF3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549E77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0.26</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01A9015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3D3DEB3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2610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8B849D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19034F56">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273725D2">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3EEB04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345E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7E3A9F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35BACBD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9FB16E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546341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146F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45448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5A3DCB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1B469BAD">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036721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652E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40B3CA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val="en-US" w:eastAsia="zh-CN"/>
              </w:rPr>
              <w:t>市级</w:t>
            </w:r>
            <w:r>
              <w:rPr>
                <w:rFonts w:hint="eastAsia" w:ascii="仿宋" w:hAnsi="仿宋" w:eastAsia="仿宋" w:cs="仿宋"/>
                <w:b w:val="0"/>
                <w:bCs w:val="0"/>
                <w:kern w:val="0"/>
                <w:sz w:val="20"/>
                <w:szCs w:val="20"/>
              </w:rPr>
              <w:t>专项资金</w:t>
            </w:r>
          </w:p>
          <w:p w14:paraId="7954756A">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0E56F0DC">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705D392">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7EF72111">
            <w:pPr>
              <w:widowControl/>
              <w:jc w:val="center"/>
              <w:rPr>
                <w:rFonts w:hint="eastAsia" w:ascii="仿宋" w:hAnsi="仿宋" w:eastAsia="仿宋" w:cs="仿宋"/>
                <w:b w:val="0"/>
                <w:bCs w:val="0"/>
                <w:kern w:val="0"/>
                <w:sz w:val="20"/>
                <w:szCs w:val="20"/>
              </w:rPr>
            </w:pPr>
          </w:p>
        </w:tc>
      </w:tr>
      <w:tr w14:paraId="4DFA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713E0C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41A2F01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6ABBB85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3EFB04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0408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3020140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6C844A16">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6399D9C">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1E7E8F04">
            <w:pPr>
              <w:widowControl/>
              <w:jc w:val="center"/>
              <w:rPr>
                <w:rFonts w:hint="eastAsia" w:ascii="仿宋" w:hAnsi="仿宋" w:eastAsia="仿宋" w:cs="仿宋"/>
                <w:b w:val="0"/>
                <w:bCs w:val="0"/>
                <w:kern w:val="0"/>
                <w:sz w:val="20"/>
                <w:szCs w:val="20"/>
              </w:rPr>
            </w:pPr>
          </w:p>
        </w:tc>
      </w:tr>
      <w:tr w14:paraId="15B1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1B703F0">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5BAAEFCD">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182.69</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C77B4E5">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14.3</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1570E4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35.55</w:t>
            </w:r>
          </w:p>
        </w:tc>
      </w:tr>
      <w:tr w14:paraId="7681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71AE68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4DCA4E65">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val="en-US" w:eastAsia="zh-CN"/>
              </w:rPr>
              <w:t>171.81</w:t>
            </w:r>
            <w:r>
              <w:rPr>
                <w:rFonts w:hint="eastAsia" w:ascii="仿宋" w:hAnsi="仿宋" w:eastAsia="仿宋" w:cs="仿宋"/>
                <w:b w:val="0"/>
                <w:bCs w:val="0"/>
                <w:color w:val="FF0000"/>
                <w:kern w:val="0"/>
                <w:sz w:val="20"/>
                <w:szCs w:val="20"/>
                <w:lang w:eastAsia="zh-CN"/>
              </w:rPr>
              <w:t xml:space="preserve"> </w:t>
            </w:r>
          </w:p>
        </w:tc>
        <w:tc>
          <w:tcPr>
            <w:tcW w:w="2240" w:type="dxa"/>
            <w:gridSpan w:val="2"/>
            <w:noWrap w:val="0"/>
            <w:vAlign w:val="center"/>
          </w:tcPr>
          <w:p w14:paraId="7031DA3B">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val="en-US" w:eastAsia="zh-CN"/>
              </w:rPr>
              <w:t>10.5</w:t>
            </w:r>
            <w:r>
              <w:rPr>
                <w:rFonts w:hint="eastAsia" w:ascii="仿宋" w:hAnsi="仿宋" w:eastAsia="仿宋" w:cs="仿宋"/>
                <w:b w:val="0"/>
                <w:bCs w:val="0"/>
                <w:color w:val="FF0000"/>
                <w:kern w:val="0"/>
                <w:sz w:val="20"/>
                <w:szCs w:val="20"/>
                <w:lang w:eastAsia="zh-CN"/>
              </w:rPr>
              <w:t xml:space="preserve"> </w:t>
            </w:r>
          </w:p>
        </w:tc>
        <w:tc>
          <w:tcPr>
            <w:tcW w:w="1832" w:type="dxa"/>
            <w:gridSpan w:val="2"/>
            <w:noWrap w:val="0"/>
            <w:vAlign w:val="center"/>
          </w:tcPr>
          <w:p w14:paraId="6E811BB0">
            <w:pPr>
              <w:widowControl/>
              <w:jc w:val="center"/>
              <w:rPr>
                <w:rFonts w:hint="default"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eastAsia="zh-CN"/>
              </w:rPr>
              <w:t xml:space="preserve"> </w:t>
            </w:r>
            <w:r>
              <w:rPr>
                <w:rFonts w:hint="eastAsia" w:ascii="仿宋" w:hAnsi="仿宋" w:eastAsia="仿宋" w:cs="仿宋"/>
                <w:b w:val="0"/>
                <w:bCs w:val="0"/>
                <w:color w:val="FF0000"/>
                <w:kern w:val="0"/>
                <w:sz w:val="20"/>
                <w:szCs w:val="20"/>
                <w:lang w:val="en-US" w:eastAsia="zh-CN"/>
              </w:rPr>
              <w:t>31.25</w:t>
            </w:r>
          </w:p>
        </w:tc>
      </w:tr>
      <w:tr w14:paraId="5E47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457794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7CA7D6E9">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val="en-US" w:eastAsia="zh-CN"/>
              </w:rPr>
              <w:t>10.88</w:t>
            </w:r>
            <w:r>
              <w:rPr>
                <w:rFonts w:hint="eastAsia" w:ascii="仿宋" w:hAnsi="仿宋" w:eastAsia="仿宋" w:cs="仿宋"/>
                <w:b w:val="0"/>
                <w:bCs w:val="0"/>
                <w:color w:val="FF0000"/>
                <w:kern w:val="0"/>
                <w:sz w:val="20"/>
                <w:szCs w:val="20"/>
                <w:lang w:eastAsia="zh-CN"/>
              </w:rPr>
              <w:t xml:space="preserve"> </w:t>
            </w:r>
          </w:p>
        </w:tc>
        <w:tc>
          <w:tcPr>
            <w:tcW w:w="2240" w:type="dxa"/>
            <w:gridSpan w:val="2"/>
            <w:noWrap w:val="0"/>
            <w:vAlign w:val="center"/>
          </w:tcPr>
          <w:p w14:paraId="39D0C2A2">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val="en-US" w:eastAsia="zh-CN"/>
              </w:rPr>
              <w:t>3.8</w:t>
            </w:r>
            <w:r>
              <w:rPr>
                <w:rFonts w:hint="eastAsia" w:ascii="仿宋" w:hAnsi="仿宋" w:eastAsia="仿宋" w:cs="仿宋"/>
                <w:b w:val="0"/>
                <w:bCs w:val="0"/>
                <w:color w:val="FF0000"/>
                <w:kern w:val="0"/>
                <w:sz w:val="20"/>
                <w:szCs w:val="20"/>
                <w:lang w:eastAsia="zh-CN"/>
              </w:rPr>
              <w:t xml:space="preserve"> </w:t>
            </w:r>
          </w:p>
        </w:tc>
        <w:tc>
          <w:tcPr>
            <w:tcW w:w="1832" w:type="dxa"/>
            <w:gridSpan w:val="2"/>
            <w:noWrap w:val="0"/>
            <w:vAlign w:val="center"/>
          </w:tcPr>
          <w:p w14:paraId="002C4BAE">
            <w:pPr>
              <w:widowControl/>
              <w:jc w:val="center"/>
              <w:rPr>
                <w:rFonts w:hint="default" w:ascii="仿宋" w:hAnsi="仿宋" w:eastAsia="仿宋" w:cs="仿宋"/>
                <w:b w:val="0"/>
                <w:bCs w:val="0"/>
                <w:color w:val="FF0000"/>
                <w:kern w:val="0"/>
                <w:sz w:val="20"/>
                <w:szCs w:val="20"/>
                <w:lang w:val="en-US" w:eastAsia="zh-CN"/>
              </w:rPr>
            </w:pPr>
            <w:r>
              <w:rPr>
                <w:rFonts w:hint="eastAsia" w:ascii="仿宋" w:hAnsi="仿宋" w:eastAsia="仿宋" w:cs="仿宋"/>
                <w:b w:val="0"/>
                <w:bCs w:val="0"/>
                <w:color w:val="FF0000"/>
                <w:kern w:val="0"/>
                <w:sz w:val="20"/>
                <w:szCs w:val="20"/>
                <w:lang w:eastAsia="zh-CN"/>
              </w:rPr>
              <w:t xml:space="preserve"> </w:t>
            </w:r>
            <w:r>
              <w:rPr>
                <w:rFonts w:hint="eastAsia" w:ascii="仿宋" w:hAnsi="仿宋" w:eastAsia="仿宋" w:cs="仿宋"/>
                <w:b w:val="0"/>
                <w:bCs w:val="0"/>
                <w:color w:val="FF0000"/>
                <w:kern w:val="0"/>
                <w:sz w:val="20"/>
                <w:szCs w:val="20"/>
                <w:lang w:val="en-US" w:eastAsia="zh-CN"/>
              </w:rPr>
              <w:t>4.3</w:t>
            </w:r>
          </w:p>
        </w:tc>
      </w:tr>
      <w:tr w14:paraId="13BE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77E49D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4ED79638">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c>
          <w:tcPr>
            <w:tcW w:w="2240" w:type="dxa"/>
            <w:gridSpan w:val="2"/>
            <w:noWrap w:val="0"/>
            <w:vAlign w:val="center"/>
          </w:tcPr>
          <w:p w14:paraId="2D0A86B0">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c>
          <w:tcPr>
            <w:tcW w:w="1832" w:type="dxa"/>
            <w:gridSpan w:val="2"/>
            <w:noWrap w:val="0"/>
            <w:vAlign w:val="center"/>
          </w:tcPr>
          <w:p w14:paraId="06B7C78F">
            <w:pPr>
              <w:widowControl/>
              <w:jc w:val="center"/>
              <w:rPr>
                <w:rFonts w:hint="eastAsia" w:ascii="仿宋" w:hAnsi="仿宋" w:eastAsia="仿宋" w:cs="仿宋"/>
                <w:b w:val="0"/>
                <w:bCs w:val="0"/>
                <w:color w:val="FF0000"/>
                <w:kern w:val="0"/>
                <w:sz w:val="20"/>
                <w:szCs w:val="20"/>
                <w:lang w:eastAsia="zh-CN"/>
              </w:rPr>
            </w:pPr>
            <w:r>
              <w:rPr>
                <w:rFonts w:hint="eastAsia" w:ascii="仿宋" w:hAnsi="仿宋" w:eastAsia="仿宋" w:cs="仿宋"/>
                <w:b w:val="0"/>
                <w:bCs w:val="0"/>
                <w:color w:val="FF0000"/>
                <w:kern w:val="0"/>
                <w:sz w:val="20"/>
                <w:szCs w:val="20"/>
                <w:lang w:eastAsia="zh-CN"/>
              </w:rPr>
              <w:t xml:space="preserve"> </w:t>
            </w:r>
          </w:p>
        </w:tc>
      </w:tr>
      <w:tr w14:paraId="40B1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8D0E36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4B80A9D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60EBF2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5194625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1482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8E45FF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73D5D4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0ACCFAD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513911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2749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3AFB906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p>
        </w:tc>
        <w:tc>
          <w:tcPr>
            <w:tcW w:w="1189" w:type="dxa"/>
            <w:noWrap w:val="0"/>
            <w:vAlign w:val="center"/>
          </w:tcPr>
          <w:p w14:paraId="60BC675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1E7A49AB">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77F6E1A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251E5ED1">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7B34148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61638E1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658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6EEC19E2">
            <w:pPr>
              <w:widowControl/>
              <w:jc w:val="left"/>
              <w:rPr>
                <w:rFonts w:hint="eastAsia" w:ascii="仿宋" w:hAnsi="仿宋" w:eastAsia="仿宋" w:cs="仿宋"/>
                <w:b w:val="0"/>
                <w:bCs w:val="0"/>
                <w:kern w:val="0"/>
                <w:sz w:val="20"/>
                <w:szCs w:val="20"/>
              </w:rPr>
            </w:pPr>
          </w:p>
        </w:tc>
        <w:tc>
          <w:tcPr>
            <w:tcW w:w="1189" w:type="dxa"/>
            <w:noWrap w:val="0"/>
            <w:vAlign w:val="center"/>
          </w:tcPr>
          <w:p w14:paraId="3CC7CA5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49" w:type="dxa"/>
            <w:noWrap w:val="0"/>
            <w:vAlign w:val="center"/>
          </w:tcPr>
          <w:p w14:paraId="6EB03040">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29" w:type="dxa"/>
            <w:noWrap w:val="0"/>
            <w:vAlign w:val="center"/>
          </w:tcPr>
          <w:p w14:paraId="790C9CA1">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11" w:type="dxa"/>
            <w:noWrap w:val="0"/>
            <w:vAlign w:val="center"/>
          </w:tcPr>
          <w:p w14:paraId="647F2607">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969" w:type="dxa"/>
            <w:noWrap w:val="0"/>
            <w:vAlign w:val="center"/>
          </w:tcPr>
          <w:p w14:paraId="113A5CA5">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63" w:type="dxa"/>
            <w:noWrap w:val="0"/>
            <w:vAlign w:val="center"/>
          </w:tcPr>
          <w:p w14:paraId="75713BB4">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70E1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37D280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6170E9A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bl>
    <w:p w14:paraId="46A57ADC">
      <w:pPr>
        <w:pStyle w:val="11"/>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1C9EB76B">
      <w:pPr>
        <w:widowControl w:val="0"/>
        <w:kinsoku/>
        <w:autoSpaceDE/>
        <w:autoSpaceDN/>
        <w:adjustRightInd/>
        <w:snapToGrid/>
        <w:spacing w:line="600" w:lineRule="exact"/>
        <w:jc w:val="both"/>
        <w:textAlignment w:val="auto"/>
        <w:rPr>
          <w:rFonts w:hint="eastAsia" w:ascii="方正小标宋简体" w:hAnsi="方正小标宋简体" w:eastAsia="方正小标宋简体" w:cs="方正小标宋简体"/>
          <w:color w:val="000000"/>
          <w:kern w:val="0"/>
          <w:sz w:val="36"/>
          <w:szCs w:val="36"/>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唐涵露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2025.5.14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19974502211 </w:t>
      </w:r>
    </w:p>
    <w:p w14:paraId="44012FB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9"/>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327"/>
        <w:gridCol w:w="1128"/>
        <w:gridCol w:w="998"/>
        <w:gridCol w:w="903"/>
        <w:gridCol w:w="996"/>
        <w:gridCol w:w="792"/>
        <w:gridCol w:w="660"/>
        <w:gridCol w:w="1440"/>
      </w:tblGrid>
      <w:tr w14:paraId="788C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8" w:type="dxa"/>
            <w:noWrap w:val="0"/>
            <w:vAlign w:val="center"/>
          </w:tcPr>
          <w:p w14:paraId="2386B3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val="en-US" w:eastAsia="zh-CN"/>
              </w:rPr>
              <w:t>单位</w:t>
            </w:r>
            <w:r>
              <w:rPr>
                <w:rFonts w:hint="eastAsia" w:ascii="仿宋" w:hAnsi="仿宋" w:eastAsia="仿宋" w:cs="仿宋"/>
                <w:color w:val="000000"/>
                <w:kern w:val="0"/>
                <w:sz w:val="20"/>
                <w:szCs w:val="20"/>
              </w:rPr>
              <w:t>名称</w:t>
            </w:r>
          </w:p>
        </w:tc>
        <w:tc>
          <w:tcPr>
            <w:tcW w:w="8244" w:type="dxa"/>
            <w:gridSpan w:val="8"/>
            <w:noWrap w:val="0"/>
            <w:vAlign w:val="center"/>
          </w:tcPr>
          <w:p w14:paraId="5872D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辰溪县自然资源技术服务中心</w:t>
            </w:r>
            <w:r>
              <w:rPr>
                <w:rFonts w:hint="eastAsia" w:ascii="仿宋" w:hAnsi="仿宋" w:eastAsia="仿宋" w:cs="仿宋"/>
                <w:color w:val="000000"/>
                <w:kern w:val="0"/>
                <w:sz w:val="20"/>
                <w:szCs w:val="20"/>
                <w:lang w:eastAsia="zh-CN"/>
              </w:rPr>
              <w:t xml:space="preserve"> </w:t>
            </w:r>
          </w:p>
        </w:tc>
      </w:tr>
      <w:tr w14:paraId="3271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18" w:type="dxa"/>
            <w:vMerge w:val="restart"/>
            <w:noWrap w:val="0"/>
            <w:vAlign w:val="center"/>
          </w:tcPr>
          <w:p w14:paraId="5CA5B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年度预算申请</w:t>
            </w:r>
          </w:p>
          <w:p w14:paraId="17220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455" w:type="dxa"/>
            <w:gridSpan w:val="2"/>
            <w:noWrap w:val="0"/>
            <w:vAlign w:val="center"/>
          </w:tcPr>
          <w:p w14:paraId="25560B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98" w:type="dxa"/>
            <w:noWrap w:val="0"/>
            <w:vAlign w:val="center"/>
          </w:tcPr>
          <w:p w14:paraId="587A9F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4012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903" w:type="dxa"/>
            <w:noWrap w:val="0"/>
            <w:vAlign w:val="center"/>
          </w:tcPr>
          <w:p w14:paraId="1CDF5D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996" w:type="dxa"/>
            <w:noWrap w:val="0"/>
            <w:vAlign w:val="center"/>
          </w:tcPr>
          <w:p w14:paraId="57E07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全年执行数</w:t>
            </w:r>
          </w:p>
        </w:tc>
        <w:tc>
          <w:tcPr>
            <w:tcW w:w="792" w:type="dxa"/>
            <w:noWrap w:val="0"/>
            <w:vAlign w:val="center"/>
          </w:tcPr>
          <w:p w14:paraId="1517F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660" w:type="dxa"/>
            <w:noWrap w:val="0"/>
            <w:vAlign w:val="center"/>
          </w:tcPr>
          <w:p w14:paraId="331638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40" w:type="dxa"/>
            <w:noWrap w:val="0"/>
            <w:vAlign w:val="center"/>
          </w:tcPr>
          <w:p w14:paraId="218F1F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9A8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427016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455" w:type="dxa"/>
            <w:gridSpan w:val="2"/>
            <w:noWrap w:val="0"/>
            <w:vAlign w:val="center"/>
          </w:tcPr>
          <w:p w14:paraId="37CD5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98" w:type="dxa"/>
            <w:noWrap w:val="0"/>
            <w:vAlign w:val="center"/>
          </w:tcPr>
          <w:p w14:paraId="0FA6DC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321.76</w:t>
            </w:r>
          </w:p>
        </w:tc>
        <w:tc>
          <w:tcPr>
            <w:tcW w:w="903" w:type="dxa"/>
            <w:noWrap w:val="0"/>
            <w:vAlign w:val="center"/>
          </w:tcPr>
          <w:p w14:paraId="50165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442.53</w:t>
            </w:r>
          </w:p>
        </w:tc>
        <w:tc>
          <w:tcPr>
            <w:tcW w:w="996" w:type="dxa"/>
            <w:noWrap w:val="0"/>
            <w:vAlign w:val="center"/>
          </w:tcPr>
          <w:p w14:paraId="7781B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442.52</w:t>
            </w:r>
          </w:p>
        </w:tc>
        <w:tc>
          <w:tcPr>
            <w:tcW w:w="792" w:type="dxa"/>
            <w:noWrap w:val="0"/>
            <w:vAlign w:val="center"/>
          </w:tcPr>
          <w:p w14:paraId="245BD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660" w:type="dxa"/>
            <w:noWrap w:val="0"/>
            <w:vAlign w:val="center"/>
          </w:tcPr>
          <w:p w14:paraId="104BA1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100%</w:t>
            </w:r>
          </w:p>
        </w:tc>
        <w:tc>
          <w:tcPr>
            <w:tcW w:w="1440" w:type="dxa"/>
            <w:noWrap w:val="0"/>
            <w:vAlign w:val="center"/>
          </w:tcPr>
          <w:p w14:paraId="2A6B23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r>
      <w:tr w14:paraId="790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608630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6" w:type="dxa"/>
            <w:gridSpan w:val="4"/>
            <w:noWrap w:val="0"/>
            <w:vAlign w:val="center"/>
          </w:tcPr>
          <w:p w14:paraId="088B22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888" w:type="dxa"/>
            <w:gridSpan w:val="4"/>
            <w:noWrap w:val="0"/>
            <w:vAlign w:val="center"/>
          </w:tcPr>
          <w:p w14:paraId="45A12D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3A22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74E441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6" w:type="dxa"/>
            <w:gridSpan w:val="4"/>
            <w:noWrap w:val="0"/>
            <w:vAlign w:val="center"/>
          </w:tcPr>
          <w:p w14:paraId="03F2A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342.07</w:t>
            </w:r>
          </w:p>
        </w:tc>
        <w:tc>
          <w:tcPr>
            <w:tcW w:w="3888" w:type="dxa"/>
            <w:gridSpan w:val="4"/>
            <w:noWrap w:val="0"/>
            <w:vAlign w:val="center"/>
          </w:tcPr>
          <w:p w14:paraId="293BC3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442.53</w:t>
            </w:r>
          </w:p>
        </w:tc>
      </w:tr>
      <w:tr w14:paraId="5C1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043DD3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6" w:type="dxa"/>
            <w:gridSpan w:val="4"/>
            <w:noWrap w:val="0"/>
            <w:vAlign w:val="center"/>
          </w:tcPr>
          <w:p w14:paraId="2AF5F16E">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政府性基金拨款：</w:t>
            </w:r>
            <w:r>
              <w:rPr>
                <w:rFonts w:hint="eastAsia" w:ascii="仿宋" w:hAnsi="仿宋" w:eastAsia="仿宋" w:cs="仿宋"/>
                <w:color w:val="000000"/>
                <w:kern w:val="0"/>
                <w:sz w:val="20"/>
                <w:szCs w:val="20"/>
                <w:lang w:val="en-US" w:eastAsia="zh-CN"/>
              </w:rPr>
              <w:t>0</w:t>
            </w:r>
          </w:p>
        </w:tc>
        <w:tc>
          <w:tcPr>
            <w:tcW w:w="3888" w:type="dxa"/>
            <w:gridSpan w:val="4"/>
            <w:noWrap w:val="0"/>
            <w:vAlign w:val="center"/>
          </w:tcPr>
          <w:p w14:paraId="6E665E1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:0</w:t>
            </w:r>
          </w:p>
        </w:tc>
      </w:tr>
      <w:tr w14:paraId="117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70DA80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6" w:type="dxa"/>
            <w:gridSpan w:val="4"/>
            <w:noWrap w:val="0"/>
            <w:vAlign w:val="center"/>
          </w:tcPr>
          <w:p w14:paraId="369D6D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纳入专户管理的非税收入拨款：</w:t>
            </w:r>
            <w:r>
              <w:rPr>
                <w:rFonts w:hint="eastAsia" w:ascii="仿宋" w:hAnsi="仿宋" w:eastAsia="仿宋" w:cs="仿宋"/>
                <w:color w:val="000000"/>
                <w:kern w:val="0"/>
                <w:sz w:val="20"/>
                <w:szCs w:val="20"/>
                <w:lang w:val="en-US" w:eastAsia="zh-CN"/>
              </w:rPr>
              <w:t>0</w:t>
            </w:r>
          </w:p>
        </w:tc>
        <w:tc>
          <w:tcPr>
            <w:tcW w:w="3888" w:type="dxa"/>
            <w:gridSpan w:val="4"/>
            <w:noWrap w:val="0"/>
            <w:vAlign w:val="center"/>
          </w:tcPr>
          <w:p w14:paraId="2FC847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7BD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8" w:type="dxa"/>
            <w:vMerge w:val="continue"/>
            <w:noWrap w:val="0"/>
            <w:vAlign w:val="center"/>
          </w:tcPr>
          <w:p w14:paraId="4CF314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6" w:type="dxa"/>
            <w:gridSpan w:val="4"/>
            <w:noWrap w:val="0"/>
            <w:vAlign w:val="center"/>
          </w:tcPr>
          <w:p w14:paraId="1902D710">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100.46</w:t>
            </w:r>
          </w:p>
        </w:tc>
        <w:tc>
          <w:tcPr>
            <w:tcW w:w="3888" w:type="dxa"/>
            <w:gridSpan w:val="4"/>
            <w:noWrap w:val="0"/>
            <w:vAlign w:val="center"/>
          </w:tcPr>
          <w:p w14:paraId="74BBEA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92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restart"/>
            <w:noWrap w:val="0"/>
            <w:vAlign w:val="center"/>
          </w:tcPr>
          <w:p w14:paraId="65A003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356" w:type="dxa"/>
            <w:gridSpan w:val="4"/>
            <w:noWrap w:val="0"/>
            <w:vAlign w:val="center"/>
          </w:tcPr>
          <w:p w14:paraId="422BBC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888" w:type="dxa"/>
            <w:gridSpan w:val="4"/>
            <w:noWrap w:val="0"/>
            <w:vAlign w:val="center"/>
          </w:tcPr>
          <w:p w14:paraId="254871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r>
              <w:rPr>
                <w:rFonts w:hint="eastAsia" w:ascii="仿宋" w:hAnsi="仿宋" w:eastAsia="仿宋" w:cs="仿宋"/>
                <w:color w:val="000000"/>
                <w:kern w:val="0"/>
                <w:sz w:val="20"/>
                <w:szCs w:val="20"/>
                <w:lang w:eastAsia="zh-CN"/>
              </w:rPr>
              <w:t xml:space="preserve"> </w:t>
            </w:r>
          </w:p>
        </w:tc>
      </w:tr>
      <w:tr w14:paraId="15BE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8" w:type="dxa"/>
            <w:vMerge w:val="continue"/>
            <w:noWrap w:val="0"/>
            <w:vAlign w:val="center"/>
          </w:tcPr>
          <w:p w14:paraId="1DBA05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6" w:type="dxa"/>
            <w:gridSpan w:val="4"/>
            <w:noWrap w:val="0"/>
            <w:vAlign w:val="center"/>
          </w:tcPr>
          <w:p w14:paraId="7E35BA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宋体" w:cs="宋体"/>
                <w:color w:val="000000"/>
                <w:kern w:val="0"/>
                <w:sz w:val="20"/>
                <w:szCs w:val="20"/>
              </w:rPr>
              <w:t>保障在职人员的正常办公、工资福利到位；城乡规划法规的咨询，城市地下空间的开发利用及城市道路、管线、管网等基础设施的规划管理；管理城乡规划、勘察档案资料等，完成县委政府交办的其他各项任务。</w:t>
            </w:r>
          </w:p>
        </w:tc>
        <w:tc>
          <w:tcPr>
            <w:tcW w:w="3888" w:type="dxa"/>
            <w:gridSpan w:val="4"/>
            <w:noWrap w:val="0"/>
            <w:vAlign w:val="center"/>
          </w:tcPr>
          <w:p w14:paraId="461DEE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olor w:val="000000"/>
                <w:sz w:val="21"/>
                <w:szCs w:val="21"/>
              </w:rPr>
              <w:t>　</w:t>
            </w:r>
            <w:r>
              <w:rPr>
                <w:rFonts w:hint="eastAsia" w:ascii="宋体" w:hAnsi="宋体"/>
                <w:sz w:val="20"/>
                <w:szCs w:val="20"/>
              </w:rPr>
              <w:t>日常办公运行正常；完成乡村规划详规、专规评审；完成领导交办的各项测绘任务，配合相关股室完成任务。</w:t>
            </w:r>
          </w:p>
        </w:tc>
      </w:tr>
      <w:tr w14:paraId="316A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18" w:type="dxa"/>
            <w:vMerge w:val="restart"/>
            <w:noWrap w:val="0"/>
            <w:vAlign w:val="center"/>
          </w:tcPr>
          <w:p w14:paraId="16A641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6AC9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39710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0CAD9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327" w:type="dxa"/>
            <w:noWrap w:val="0"/>
            <w:vAlign w:val="center"/>
          </w:tcPr>
          <w:p w14:paraId="2CB3C3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28" w:type="dxa"/>
            <w:noWrap w:val="0"/>
            <w:vAlign w:val="center"/>
          </w:tcPr>
          <w:p w14:paraId="14E7D6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998" w:type="dxa"/>
            <w:noWrap w:val="0"/>
            <w:vAlign w:val="center"/>
          </w:tcPr>
          <w:p w14:paraId="61ED3D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903" w:type="dxa"/>
            <w:noWrap w:val="0"/>
            <w:vAlign w:val="center"/>
          </w:tcPr>
          <w:p w14:paraId="2B351D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年度指标值</w:t>
            </w:r>
          </w:p>
        </w:tc>
        <w:tc>
          <w:tcPr>
            <w:tcW w:w="996" w:type="dxa"/>
            <w:noWrap w:val="0"/>
            <w:vAlign w:val="center"/>
          </w:tcPr>
          <w:p w14:paraId="0230B6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实际完成值</w:t>
            </w:r>
          </w:p>
        </w:tc>
        <w:tc>
          <w:tcPr>
            <w:tcW w:w="792" w:type="dxa"/>
            <w:noWrap w:val="0"/>
            <w:vAlign w:val="center"/>
          </w:tcPr>
          <w:p w14:paraId="63E9B0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660" w:type="dxa"/>
            <w:noWrap w:val="0"/>
            <w:vAlign w:val="center"/>
          </w:tcPr>
          <w:p w14:paraId="2C5B26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40" w:type="dxa"/>
            <w:noWrap w:val="0"/>
            <w:vAlign w:val="top"/>
          </w:tcPr>
          <w:p w14:paraId="29DB35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14:paraId="25BA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76D82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restart"/>
            <w:noWrap w:val="0"/>
            <w:vAlign w:val="center"/>
          </w:tcPr>
          <w:p w14:paraId="5A9006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p w14:paraId="589114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0分)</w:t>
            </w:r>
          </w:p>
        </w:tc>
        <w:tc>
          <w:tcPr>
            <w:tcW w:w="1128" w:type="dxa"/>
            <w:shd w:val="clear" w:color="auto" w:fill="auto"/>
            <w:noWrap w:val="0"/>
            <w:vAlign w:val="top"/>
          </w:tcPr>
          <w:p w14:paraId="649D74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经济成本指标</w:t>
            </w:r>
          </w:p>
        </w:tc>
        <w:tc>
          <w:tcPr>
            <w:tcW w:w="998" w:type="dxa"/>
            <w:noWrap w:val="0"/>
            <w:vAlign w:val="center"/>
          </w:tcPr>
          <w:p w14:paraId="7CACEC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基本支出</w:t>
            </w:r>
          </w:p>
        </w:tc>
        <w:tc>
          <w:tcPr>
            <w:tcW w:w="903" w:type="dxa"/>
            <w:noWrap w:val="0"/>
            <w:vAlign w:val="center"/>
          </w:tcPr>
          <w:p w14:paraId="081490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442.53</w:t>
            </w:r>
          </w:p>
        </w:tc>
        <w:tc>
          <w:tcPr>
            <w:tcW w:w="996" w:type="dxa"/>
            <w:noWrap w:val="0"/>
            <w:vAlign w:val="center"/>
          </w:tcPr>
          <w:p w14:paraId="1A9E14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442.52</w:t>
            </w:r>
          </w:p>
        </w:tc>
        <w:tc>
          <w:tcPr>
            <w:tcW w:w="792" w:type="dxa"/>
            <w:noWrap w:val="0"/>
            <w:vAlign w:val="center"/>
          </w:tcPr>
          <w:p w14:paraId="40C3BC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660" w:type="dxa"/>
            <w:noWrap w:val="0"/>
            <w:vAlign w:val="center"/>
          </w:tcPr>
          <w:p w14:paraId="5DFE32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19</w:t>
            </w:r>
          </w:p>
        </w:tc>
        <w:tc>
          <w:tcPr>
            <w:tcW w:w="1440" w:type="dxa"/>
            <w:noWrap w:val="0"/>
            <w:vAlign w:val="center"/>
          </w:tcPr>
          <w:p w14:paraId="735DA8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AA9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49D909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702104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shd w:val="clear" w:color="auto" w:fill="auto"/>
            <w:noWrap w:val="0"/>
            <w:vAlign w:val="top"/>
          </w:tcPr>
          <w:p w14:paraId="17AC76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社会成本指标</w:t>
            </w:r>
          </w:p>
        </w:tc>
        <w:tc>
          <w:tcPr>
            <w:tcW w:w="998" w:type="dxa"/>
            <w:noWrap w:val="0"/>
            <w:vAlign w:val="center"/>
          </w:tcPr>
          <w:p w14:paraId="46E2B9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3" w:type="dxa"/>
            <w:noWrap w:val="0"/>
            <w:vAlign w:val="center"/>
          </w:tcPr>
          <w:p w14:paraId="40114E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96" w:type="dxa"/>
            <w:noWrap w:val="0"/>
            <w:vAlign w:val="center"/>
          </w:tcPr>
          <w:p w14:paraId="556713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92" w:type="dxa"/>
            <w:noWrap w:val="0"/>
            <w:vAlign w:val="center"/>
          </w:tcPr>
          <w:p w14:paraId="43E18D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60" w:type="dxa"/>
            <w:noWrap w:val="0"/>
            <w:vAlign w:val="center"/>
          </w:tcPr>
          <w:p w14:paraId="48CAF9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440" w:type="dxa"/>
            <w:noWrap w:val="0"/>
            <w:vAlign w:val="center"/>
          </w:tcPr>
          <w:p w14:paraId="5DAC93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A3E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Merge w:val="continue"/>
            <w:noWrap w:val="0"/>
            <w:vAlign w:val="center"/>
          </w:tcPr>
          <w:p w14:paraId="4E4F39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5349CE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shd w:val="clear" w:color="auto" w:fill="auto"/>
            <w:noWrap w:val="0"/>
            <w:vAlign w:val="top"/>
          </w:tcPr>
          <w:p w14:paraId="1E518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生态环境成本指标</w:t>
            </w:r>
          </w:p>
        </w:tc>
        <w:tc>
          <w:tcPr>
            <w:tcW w:w="998" w:type="dxa"/>
            <w:noWrap w:val="0"/>
            <w:vAlign w:val="center"/>
          </w:tcPr>
          <w:p w14:paraId="2EEEB0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3" w:type="dxa"/>
            <w:noWrap w:val="0"/>
            <w:vAlign w:val="center"/>
          </w:tcPr>
          <w:p w14:paraId="3E8D02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96" w:type="dxa"/>
            <w:noWrap w:val="0"/>
            <w:vAlign w:val="center"/>
          </w:tcPr>
          <w:p w14:paraId="2BB963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92" w:type="dxa"/>
            <w:noWrap w:val="0"/>
            <w:vAlign w:val="center"/>
          </w:tcPr>
          <w:p w14:paraId="1A0288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60" w:type="dxa"/>
            <w:noWrap w:val="0"/>
            <w:vAlign w:val="center"/>
          </w:tcPr>
          <w:p w14:paraId="06E142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440" w:type="dxa"/>
            <w:noWrap w:val="0"/>
            <w:vAlign w:val="center"/>
          </w:tcPr>
          <w:p w14:paraId="5F65AA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3A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524D13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restart"/>
            <w:noWrap w:val="0"/>
            <w:vAlign w:val="center"/>
          </w:tcPr>
          <w:p w14:paraId="411638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737AD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0分)</w:t>
            </w:r>
          </w:p>
        </w:tc>
        <w:tc>
          <w:tcPr>
            <w:tcW w:w="1128" w:type="dxa"/>
            <w:noWrap w:val="0"/>
            <w:vAlign w:val="center"/>
          </w:tcPr>
          <w:p w14:paraId="4154D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998" w:type="dxa"/>
            <w:noWrap w:val="0"/>
            <w:vAlign w:val="center"/>
          </w:tcPr>
          <w:p w14:paraId="406E3C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财政供养人员控制率</w:t>
            </w:r>
          </w:p>
        </w:tc>
        <w:tc>
          <w:tcPr>
            <w:tcW w:w="903" w:type="dxa"/>
            <w:noWrap w:val="0"/>
            <w:vAlign w:val="center"/>
          </w:tcPr>
          <w:p w14:paraId="458EF9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lang w:eastAsia="zh-CN"/>
              </w:rPr>
              <w:t xml:space="preserve"> </w:t>
            </w:r>
          </w:p>
        </w:tc>
        <w:tc>
          <w:tcPr>
            <w:tcW w:w="996" w:type="dxa"/>
            <w:noWrap w:val="0"/>
            <w:vAlign w:val="center"/>
          </w:tcPr>
          <w:p w14:paraId="7E8E30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noWrap w:val="0"/>
            <w:vAlign w:val="center"/>
          </w:tcPr>
          <w:p w14:paraId="64E4DA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60" w:type="dxa"/>
            <w:noWrap w:val="0"/>
            <w:vAlign w:val="center"/>
          </w:tcPr>
          <w:p w14:paraId="16C6A3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40" w:type="dxa"/>
            <w:noWrap w:val="0"/>
            <w:vAlign w:val="center"/>
          </w:tcPr>
          <w:p w14:paraId="160569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6020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24BB4D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24CE6A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1073AB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998" w:type="dxa"/>
            <w:noWrap w:val="0"/>
            <w:vAlign w:val="center"/>
          </w:tcPr>
          <w:p w14:paraId="412576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政府采购执行率</w:t>
            </w:r>
          </w:p>
        </w:tc>
        <w:tc>
          <w:tcPr>
            <w:tcW w:w="903" w:type="dxa"/>
            <w:noWrap w:val="0"/>
            <w:vAlign w:val="center"/>
          </w:tcPr>
          <w:p w14:paraId="64D87E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lang w:eastAsia="zh-CN"/>
              </w:rPr>
              <w:t xml:space="preserve"> </w:t>
            </w:r>
          </w:p>
        </w:tc>
        <w:tc>
          <w:tcPr>
            <w:tcW w:w="996" w:type="dxa"/>
            <w:noWrap w:val="0"/>
            <w:vAlign w:val="center"/>
          </w:tcPr>
          <w:p w14:paraId="387656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noWrap w:val="0"/>
            <w:vAlign w:val="center"/>
          </w:tcPr>
          <w:p w14:paraId="5F4893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60" w:type="dxa"/>
            <w:noWrap w:val="0"/>
            <w:vAlign w:val="center"/>
          </w:tcPr>
          <w:p w14:paraId="04C5B9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40" w:type="dxa"/>
            <w:noWrap w:val="0"/>
            <w:vAlign w:val="center"/>
          </w:tcPr>
          <w:p w14:paraId="2FCF85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3FD3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1263C0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2E7D0F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161890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998" w:type="dxa"/>
            <w:noWrap w:val="0"/>
            <w:vAlign w:val="center"/>
          </w:tcPr>
          <w:p w14:paraId="152245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完成政府交办的空间规划、土地利用规划</w:t>
            </w:r>
          </w:p>
        </w:tc>
        <w:tc>
          <w:tcPr>
            <w:tcW w:w="903" w:type="dxa"/>
            <w:noWrap w:val="0"/>
            <w:vAlign w:val="center"/>
          </w:tcPr>
          <w:p w14:paraId="334B62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lang w:eastAsia="zh-CN"/>
              </w:rPr>
              <w:t xml:space="preserve"> </w:t>
            </w:r>
          </w:p>
        </w:tc>
        <w:tc>
          <w:tcPr>
            <w:tcW w:w="996" w:type="dxa"/>
            <w:noWrap w:val="0"/>
            <w:vAlign w:val="center"/>
          </w:tcPr>
          <w:p w14:paraId="3847ED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noWrap w:val="0"/>
            <w:vAlign w:val="center"/>
          </w:tcPr>
          <w:p w14:paraId="4FE6C8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60" w:type="dxa"/>
            <w:noWrap w:val="0"/>
            <w:vAlign w:val="center"/>
          </w:tcPr>
          <w:p w14:paraId="31B443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40" w:type="dxa"/>
            <w:noWrap w:val="0"/>
            <w:vAlign w:val="center"/>
          </w:tcPr>
          <w:p w14:paraId="400F34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2352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02F28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restart"/>
            <w:noWrap w:val="0"/>
            <w:vAlign w:val="center"/>
          </w:tcPr>
          <w:p w14:paraId="4D309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68859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r>
              <w:rPr>
                <w:rFonts w:hint="eastAsia" w:ascii="仿宋" w:hAnsi="仿宋" w:eastAsia="仿宋" w:cs="仿宋"/>
                <w:color w:val="000000"/>
                <w:kern w:val="0"/>
                <w:sz w:val="20"/>
                <w:szCs w:val="20"/>
                <w:lang w:val="en-US" w:eastAsia="zh-CN"/>
              </w:rPr>
              <w:t>0</w:t>
            </w:r>
            <w:r>
              <w:rPr>
                <w:rFonts w:hint="eastAsia" w:ascii="仿宋" w:hAnsi="仿宋" w:eastAsia="仿宋" w:cs="仿宋"/>
                <w:color w:val="000000"/>
                <w:kern w:val="0"/>
                <w:sz w:val="20"/>
                <w:szCs w:val="20"/>
              </w:rPr>
              <w:t>分）</w:t>
            </w:r>
          </w:p>
        </w:tc>
        <w:tc>
          <w:tcPr>
            <w:tcW w:w="1128" w:type="dxa"/>
            <w:noWrap w:val="0"/>
            <w:vAlign w:val="center"/>
          </w:tcPr>
          <w:p w14:paraId="5A3E1C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经济效益指标</w:t>
            </w:r>
          </w:p>
        </w:tc>
        <w:tc>
          <w:tcPr>
            <w:tcW w:w="998" w:type="dxa"/>
            <w:noWrap w:val="0"/>
            <w:vAlign w:val="center"/>
          </w:tcPr>
          <w:p w14:paraId="42AC80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全县地下空间的开发利用及城市管道、管线、管网等基础设施的规划</w:t>
            </w:r>
          </w:p>
        </w:tc>
        <w:tc>
          <w:tcPr>
            <w:tcW w:w="903" w:type="dxa"/>
            <w:noWrap w:val="0"/>
            <w:vAlign w:val="center"/>
          </w:tcPr>
          <w:p w14:paraId="7E83E7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lang w:eastAsia="zh-CN"/>
              </w:rPr>
              <w:t xml:space="preserve"> </w:t>
            </w:r>
          </w:p>
        </w:tc>
        <w:tc>
          <w:tcPr>
            <w:tcW w:w="996" w:type="dxa"/>
            <w:noWrap w:val="0"/>
            <w:vAlign w:val="center"/>
          </w:tcPr>
          <w:p w14:paraId="574AF8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noWrap w:val="0"/>
            <w:vAlign w:val="center"/>
          </w:tcPr>
          <w:p w14:paraId="422BAD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60" w:type="dxa"/>
            <w:noWrap w:val="0"/>
            <w:vAlign w:val="center"/>
          </w:tcPr>
          <w:p w14:paraId="6AB022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40" w:type="dxa"/>
            <w:noWrap w:val="0"/>
            <w:vAlign w:val="center"/>
          </w:tcPr>
          <w:p w14:paraId="5E857F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4797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0E8DBF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0EE717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03C632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社会效益指标</w:t>
            </w:r>
          </w:p>
        </w:tc>
        <w:tc>
          <w:tcPr>
            <w:tcW w:w="998" w:type="dxa"/>
            <w:noWrap w:val="0"/>
            <w:vAlign w:val="center"/>
          </w:tcPr>
          <w:p w14:paraId="2253F8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促进城市经济发展及基础设施建设，增加政府财政收入</w:t>
            </w:r>
          </w:p>
        </w:tc>
        <w:tc>
          <w:tcPr>
            <w:tcW w:w="903" w:type="dxa"/>
            <w:noWrap w:val="0"/>
            <w:vAlign w:val="center"/>
          </w:tcPr>
          <w:p w14:paraId="7B9F8A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lang w:eastAsia="zh-CN"/>
              </w:rPr>
              <w:t xml:space="preserve"> </w:t>
            </w:r>
          </w:p>
        </w:tc>
        <w:tc>
          <w:tcPr>
            <w:tcW w:w="996" w:type="dxa"/>
            <w:noWrap w:val="0"/>
            <w:vAlign w:val="center"/>
          </w:tcPr>
          <w:p w14:paraId="46A895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noWrap w:val="0"/>
            <w:vAlign w:val="center"/>
          </w:tcPr>
          <w:p w14:paraId="193276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60" w:type="dxa"/>
            <w:noWrap w:val="0"/>
            <w:vAlign w:val="center"/>
          </w:tcPr>
          <w:p w14:paraId="33339E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440" w:type="dxa"/>
            <w:noWrap w:val="0"/>
            <w:vAlign w:val="center"/>
          </w:tcPr>
          <w:p w14:paraId="5DA541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1DC7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5A09EE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03EDE6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21DA96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生态效益指标</w:t>
            </w:r>
          </w:p>
        </w:tc>
        <w:tc>
          <w:tcPr>
            <w:tcW w:w="998" w:type="dxa"/>
            <w:noWrap w:val="0"/>
            <w:vAlign w:val="center"/>
          </w:tcPr>
          <w:p w14:paraId="47B9AC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节约利用资源，减少环境破坏</w:t>
            </w:r>
          </w:p>
        </w:tc>
        <w:tc>
          <w:tcPr>
            <w:tcW w:w="903" w:type="dxa"/>
            <w:noWrap w:val="0"/>
            <w:vAlign w:val="center"/>
          </w:tcPr>
          <w:p w14:paraId="28DE93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lang w:eastAsia="zh-CN"/>
              </w:rPr>
              <w:t xml:space="preserve"> </w:t>
            </w:r>
          </w:p>
        </w:tc>
        <w:tc>
          <w:tcPr>
            <w:tcW w:w="996" w:type="dxa"/>
            <w:noWrap w:val="0"/>
            <w:vAlign w:val="center"/>
          </w:tcPr>
          <w:p w14:paraId="2CC4AD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noWrap w:val="0"/>
            <w:vAlign w:val="center"/>
          </w:tcPr>
          <w:p w14:paraId="756D30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660" w:type="dxa"/>
            <w:noWrap w:val="0"/>
            <w:vAlign w:val="center"/>
          </w:tcPr>
          <w:p w14:paraId="0F6A95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440" w:type="dxa"/>
            <w:noWrap w:val="0"/>
            <w:vAlign w:val="center"/>
          </w:tcPr>
          <w:p w14:paraId="7A673A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39E7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4092A1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327" w:type="dxa"/>
            <w:vMerge w:val="continue"/>
            <w:noWrap w:val="0"/>
            <w:vAlign w:val="center"/>
          </w:tcPr>
          <w:p w14:paraId="2CD5E6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14:paraId="337E7F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998" w:type="dxa"/>
            <w:noWrap w:val="0"/>
            <w:vAlign w:val="center"/>
          </w:tcPr>
          <w:p w14:paraId="1186B1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为国土空间规划管理服务，优化配置和有效利用</w:t>
            </w:r>
          </w:p>
        </w:tc>
        <w:tc>
          <w:tcPr>
            <w:tcW w:w="903" w:type="dxa"/>
            <w:noWrap w:val="0"/>
            <w:vAlign w:val="center"/>
          </w:tcPr>
          <w:p w14:paraId="0E1A99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lang w:eastAsia="zh-CN"/>
              </w:rPr>
              <w:t xml:space="preserve"> </w:t>
            </w:r>
          </w:p>
        </w:tc>
        <w:tc>
          <w:tcPr>
            <w:tcW w:w="996" w:type="dxa"/>
            <w:noWrap w:val="0"/>
            <w:vAlign w:val="center"/>
          </w:tcPr>
          <w:p w14:paraId="612007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92" w:type="dxa"/>
            <w:noWrap w:val="0"/>
            <w:vAlign w:val="center"/>
          </w:tcPr>
          <w:p w14:paraId="0506CE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660" w:type="dxa"/>
            <w:noWrap w:val="0"/>
            <w:vAlign w:val="center"/>
          </w:tcPr>
          <w:p w14:paraId="5D2C8A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5</w:t>
            </w:r>
          </w:p>
        </w:tc>
        <w:tc>
          <w:tcPr>
            <w:tcW w:w="1440" w:type="dxa"/>
            <w:noWrap w:val="0"/>
            <w:vAlign w:val="center"/>
          </w:tcPr>
          <w:p w14:paraId="32A310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165F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8" w:type="dxa"/>
            <w:vMerge w:val="continue"/>
            <w:noWrap w:val="0"/>
            <w:vAlign w:val="center"/>
          </w:tcPr>
          <w:p w14:paraId="642596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327" w:type="dxa"/>
            <w:noWrap w:val="0"/>
            <w:vAlign w:val="center"/>
          </w:tcPr>
          <w:p w14:paraId="1DA3E9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B8E42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3D21F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128" w:type="dxa"/>
            <w:noWrap w:val="0"/>
            <w:vAlign w:val="center"/>
          </w:tcPr>
          <w:p w14:paraId="211F5E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998" w:type="dxa"/>
            <w:noWrap w:val="0"/>
            <w:vAlign w:val="center"/>
          </w:tcPr>
          <w:p w14:paraId="065673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群众满意度</w:t>
            </w:r>
          </w:p>
        </w:tc>
        <w:tc>
          <w:tcPr>
            <w:tcW w:w="903" w:type="dxa"/>
            <w:noWrap w:val="0"/>
            <w:vAlign w:val="center"/>
          </w:tcPr>
          <w:p w14:paraId="3EFF17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95</w:t>
            </w:r>
          </w:p>
        </w:tc>
        <w:tc>
          <w:tcPr>
            <w:tcW w:w="996" w:type="dxa"/>
            <w:noWrap w:val="0"/>
            <w:vAlign w:val="center"/>
          </w:tcPr>
          <w:p w14:paraId="7B8B10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90</w:t>
            </w:r>
          </w:p>
        </w:tc>
        <w:tc>
          <w:tcPr>
            <w:tcW w:w="792" w:type="dxa"/>
            <w:noWrap w:val="0"/>
            <w:vAlign w:val="center"/>
          </w:tcPr>
          <w:p w14:paraId="32F9C9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660" w:type="dxa"/>
            <w:noWrap w:val="0"/>
            <w:vAlign w:val="center"/>
          </w:tcPr>
          <w:p w14:paraId="7DC111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8</w:t>
            </w:r>
          </w:p>
        </w:tc>
        <w:tc>
          <w:tcPr>
            <w:tcW w:w="1440" w:type="dxa"/>
            <w:noWrap w:val="0"/>
            <w:vAlign w:val="center"/>
          </w:tcPr>
          <w:p w14:paraId="3046E9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0F0D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0" w:type="dxa"/>
            <w:gridSpan w:val="6"/>
            <w:noWrap w:val="0"/>
            <w:vAlign w:val="center"/>
          </w:tcPr>
          <w:p w14:paraId="3A930E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92" w:type="dxa"/>
            <w:noWrap w:val="0"/>
            <w:vAlign w:val="center"/>
          </w:tcPr>
          <w:p w14:paraId="6CF072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660" w:type="dxa"/>
            <w:noWrap w:val="0"/>
            <w:vAlign w:val="center"/>
          </w:tcPr>
          <w:p w14:paraId="65C18C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97</w:t>
            </w:r>
          </w:p>
        </w:tc>
        <w:tc>
          <w:tcPr>
            <w:tcW w:w="1440" w:type="dxa"/>
            <w:noWrap w:val="0"/>
            <w:vAlign w:val="center"/>
          </w:tcPr>
          <w:p w14:paraId="27FB17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bl>
    <w:p w14:paraId="0688E73D">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唐涵露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2025.5.14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19974502211 </w:t>
      </w:r>
    </w:p>
    <w:p w14:paraId="2A92AD4F">
      <w:pPr>
        <w:rPr>
          <w:rFonts w:hint="default"/>
          <w:lang w:val="en-US" w:eastAsia="zh-CN"/>
        </w:rPr>
      </w:pPr>
      <w:bookmarkStart w:id="1" w:name="_GoBack"/>
      <w:bookmarkEnd w:id="1"/>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1EB884-26FE-44C4-AE7B-26777DD2DD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721ED0-9C41-4A15-9D86-02112C52B333}"/>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A593C6B3-231C-428A-8A0A-691943A43CD1}"/>
  </w:font>
  <w:font w:name="方正小标宋_GBK">
    <w:panose1 w:val="03000509000000000000"/>
    <w:charset w:val="86"/>
    <w:family w:val="auto"/>
    <w:pitch w:val="default"/>
    <w:sig w:usb0="00000001" w:usb1="080E0000" w:usb2="00000000" w:usb3="00000000" w:csb0="00040000" w:csb1="00000000"/>
    <w:embedRegular r:id="rId4" w:fontKey="{38C54715-999E-4C65-BCC5-7CDA9F22DF92}"/>
  </w:font>
  <w:font w:name="仿宋_GB2312">
    <w:panose1 w:val="02010609030101010101"/>
    <w:charset w:val="86"/>
    <w:family w:val="auto"/>
    <w:pitch w:val="default"/>
    <w:sig w:usb0="00000001" w:usb1="080E0000" w:usb2="00000000" w:usb3="00000000" w:csb0="00040000" w:csb1="00000000"/>
    <w:embedRegular r:id="rId5" w:fontKey="{F264E499-7D59-44E3-9F8A-2735E1DB0C28}"/>
  </w:font>
  <w:font w:name="仿宋">
    <w:panose1 w:val="02010609060101010101"/>
    <w:charset w:val="86"/>
    <w:family w:val="auto"/>
    <w:pitch w:val="default"/>
    <w:sig w:usb0="800002BF" w:usb1="38CF7CFA" w:usb2="00000016" w:usb3="00000000" w:csb0="00040001" w:csb1="00000000"/>
    <w:embedRegular r:id="rId6" w:fontKey="{7E70CAE1-1923-48EB-A84D-CFAD4F311C04}"/>
  </w:font>
  <w:font w:name="方正仿宋_GB2312">
    <w:panose1 w:val="02000000000000000000"/>
    <w:charset w:val="86"/>
    <w:family w:val="auto"/>
    <w:pitch w:val="default"/>
    <w:sig w:usb0="A00002BF" w:usb1="184F6CFA" w:usb2="00000012" w:usb3="00000000" w:csb0="00040001" w:csb1="00000000"/>
    <w:embedRegular r:id="rId7" w:fontKey="{66D2B713-10DF-4199-9B06-637ABF8B0368}"/>
  </w:font>
  <w:font w:name="方正小标宋简体">
    <w:panose1 w:val="03000509000000000000"/>
    <w:charset w:val="86"/>
    <w:family w:val="auto"/>
    <w:pitch w:val="default"/>
    <w:sig w:usb0="00000001" w:usb1="080E0000" w:usb2="00000000" w:usb3="00000000" w:csb0="00040000" w:csb1="00000000"/>
    <w:embedRegular r:id="rId8" w:fontKey="{6CA49A16-2631-46D2-B982-F1640FB64F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9F0E8"/>
    <w:multiLevelType w:val="singleLevel"/>
    <w:tmpl w:val="9A19F0E8"/>
    <w:lvl w:ilvl="0" w:tentative="0">
      <w:start w:val="4"/>
      <w:numFmt w:val="chineseCounting"/>
      <w:suff w:val="nothing"/>
      <w:lvlText w:val="（%1）"/>
      <w:lvlJc w:val="left"/>
      <w:rPr>
        <w:rFonts w:hint="eastAsia"/>
      </w:rPr>
    </w:lvl>
  </w:abstractNum>
  <w:abstractNum w:abstractNumId="1">
    <w:nsid w:val="9DE6CA2E"/>
    <w:multiLevelType w:val="singleLevel"/>
    <w:tmpl w:val="9DE6CA2E"/>
    <w:lvl w:ilvl="0" w:tentative="0">
      <w:start w:val="4"/>
      <w:numFmt w:val="chineseCounting"/>
      <w:suff w:val="nothing"/>
      <w:lvlText w:val="%1、"/>
      <w:lvlJc w:val="left"/>
      <w:rPr>
        <w:rFonts w:hint="eastAsia"/>
      </w:rPr>
    </w:lvl>
  </w:abstractNum>
  <w:abstractNum w:abstractNumId="2">
    <w:nsid w:val="C3ED406B"/>
    <w:multiLevelType w:val="singleLevel"/>
    <w:tmpl w:val="C3ED406B"/>
    <w:lvl w:ilvl="0" w:tentative="0">
      <w:start w:val="2"/>
      <w:numFmt w:val="decimal"/>
      <w:lvlText w:val="%1."/>
      <w:lvlJc w:val="left"/>
      <w:pPr>
        <w:tabs>
          <w:tab w:val="left" w:pos="312"/>
        </w:tabs>
      </w:pPr>
    </w:lvl>
  </w:abstractNum>
  <w:abstractNum w:abstractNumId="3">
    <w:nsid w:val="3485B122"/>
    <w:multiLevelType w:val="singleLevel"/>
    <w:tmpl w:val="3485B122"/>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46A73C6"/>
    <w:rsid w:val="05E95AA6"/>
    <w:rsid w:val="0C180A78"/>
    <w:rsid w:val="0CA91BE5"/>
    <w:rsid w:val="0CAF7D6D"/>
    <w:rsid w:val="0D276746"/>
    <w:rsid w:val="0D464D9C"/>
    <w:rsid w:val="0DD52794"/>
    <w:rsid w:val="0E956870"/>
    <w:rsid w:val="10C666A5"/>
    <w:rsid w:val="1223366A"/>
    <w:rsid w:val="143877FD"/>
    <w:rsid w:val="17C820DA"/>
    <w:rsid w:val="19E805B2"/>
    <w:rsid w:val="22FE234B"/>
    <w:rsid w:val="277E6F02"/>
    <w:rsid w:val="29990575"/>
    <w:rsid w:val="2AF6742D"/>
    <w:rsid w:val="2E833798"/>
    <w:rsid w:val="312A2265"/>
    <w:rsid w:val="36FC0F5D"/>
    <w:rsid w:val="375773F8"/>
    <w:rsid w:val="38CC5315"/>
    <w:rsid w:val="393E32BB"/>
    <w:rsid w:val="419B2857"/>
    <w:rsid w:val="41D71DA8"/>
    <w:rsid w:val="45D249F5"/>
    <w:rsid w:val="4C6611ED"/>
    <w:rsid w:val="552A0475"/>
    <w:rsid w:val="578D10CB"/>
    <w:rsid w:val="59C765E9"/>
    <w:rsid w:val="5A5915AC"/>
    <w:rsid w:val="6822480C"/>
    <w:rsid w:val="6A12486A"/>
    <w:rsid w:val="753C4E9B"/>
    <w:rsid w:val="77CA616D"/>
    <w:rsid w:val="781113A7"/>
    <w:rsid w:val="791E6510"/>
    <w:rsid w:val="7C8D4A41"/>
    <w:rsid w:val="7C90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Body Text Indent"/>
    <w:basedOn w:val="1"/>
    <w:autoRedefine/>
    <w:unhideWhenUsed/>
    <w:qFormat/>
    <w:uiPriority w:val="0"/>
    <w:pPr>
      <w:spacing w:beforeLines="0" w:afterLines="0"/>
      <w:ind w:firstLine="640" w:firstLineChars="200"/>
    </w:pPr>
    <w:rPr>
      <w:rFonts w:hint="default"/>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unhideWhenUsed/>
    <w:qFormat/>
    <w:uiPriority w:val="99"/>
    <w:pPr>
      <w:spacing w:beforeLines="0" w:afterLines="0"/>
      <w:ind w:firstLine="420"/>
    </w:pPr>
    <w:rPr>
      <w:rFonts w:hint="default"/>
      <w:sz w:val="32"/>
    </w:rPr>
  </w:style>
  <w:style w:type="paragraph" w:customStyle="1" w:styleId="11">
    <w:name w:val="标题1"/>
    <w:basedOn w:val="2"/>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2702</Words>
  <Characters>2909</Characters>
  <Lines>0</Lines>
  <Paragraphs>0</Paragraphs>
  <TotalTime>0</TotalTime>
  <ScaleCrop>false</ScaleCrop>
  <LinksUpToDate>false</LinksUpToDate>
  <CharactersWithSpaces>3241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鲸蓝深似海</cp:lastModifiedBy>
  <cp:lastPrinted>2025-05-14T10:11:18Z</cp:lastPrinted>
  <dcterms:modified xsi:type="dcterms:W3CDTF">2025-05-14T10:11:21Z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4B545E2748234224AA7888E0D1AE4147_13</vt:lpwstr>
  </property>
  <property fmtid="{D5CDD505-2E9C-101B-9397-08002B2CF9AE}" pid="4" name="KSOTemplateDocerSaveRecord">
    <vt:lpwstr>eyJoZGlkIjoiOTRlMzM1YTg1ZWUxYTIxYjE0OTM3YmFmNGRkMDNhMjEiLCJ1c2VySWQiOiIxMDUyOTEwNTcyIn0=</vt:lpwstr>
  </property>
</Properties>
</file>