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8F" w:rsidRPr="00FB0FB4" w:rsidRDefault="00BA618F" w:rsidP="00F83B4F">
      <w:pPr>
        <w:pStyle w:val="a4"/>
        <w:ind w:firstLineChars="900" w:firstLine="2160"/>
      </w:pPr>
      <w:r w:rsidRPr="00FB0FB4">
        <w:rPr>
          <w:rFonts w:hint="eastAsia"/>
        </w:rPr>
        <w:t>辰溪县教育局</w:t>
      </w:r>
      <w:r w:rsidR="00F83B4F">
        <w:rPr>
          <w:rFonts w:hint="eastAsia"/>
        </w:rPr>
        <w:t>2024年</w:t>
      </w:r>
      <w:r w:rsidRPr="00FB0FB4">
        <w:rPr>
          <w:rFonts w:hint="eastAsia"/>
        </w:rPr>
        <w:t>部门整体支出绩效自评报告</w:t>
      </w:r>
    </w:p>
    <w:p w:rsidR="00BA618F" w:rsidRDefault="00BA618F" w:rsidP="00F83B4F">
      <w:pPr>
        <w:pStyle w:val="a4"/>
      </w:pPr>
    </w:p>
    <w:p w:rsidR="00BA618F" w:rsidRDefault="00BA618F" w:rsidP="00F83B4F">
      <w:pPr>
        <w:pStyle w:val="a4"/>
      </w:pPr>
      <w:r>
        <w:rPr>
          <w:rFonts w:hint="eastAsia"/>
        </w:rPr>
        <w:t>一、部门、单位基本情况</w:t>
      </w:r>
    </w:p>
    <w:p w:rsidR="00BA618F" w:rsidRDefault="00BA618F" w:rsidP="00F83B4F">
      <w:pPr>
        <w:pStyle w:val="a4"/>
      </w:pPr>
      <w:r>
        <w:rPr>
          <w:rFonts w:hint="eastAsia"/>
        </w:rPr>
        <w:t>（一）机构设置情况</w:t>
      </w:r>
    </w:p>
    <w:p w:rsidR="00BA618F" w:rsidRPr="00F83B4F" w:rsidRDefault="00BA618F" w:rsidP="00F83B4F">
      <w:pPr>
        <w:pStyle w:val="a4"/>
      </w:pPr>
      <w:bookmarkStart w:id="0" w:name="OLE_LINK1"/>
      <w:bookmarkStart w:id="1" w:name="OLE_LINK2"/>
      <w:r w:rsidRPr="00F83B4F">
        <w:t>辰</w:t>
      </w:r>
      <w:bookmarkStart w:id="2" w:name="OLE_LINK25"/>
      <w:r w:rsidRPr="00F83B4F">
        <w:t>溪县教育局单位</w:t>
      </w:r>
      <w:bookmarkEnd w:id="2"/>
      <w:r w:rsidRPr="00F83B4F">
        <w:t>内设机构包括：办公室、政策法规股、计划财务股、基础教育股、人事股、教育督导室等6个科室。二级单位有县教育工会、县学生资助管理中心、县电教仪器站、县职业教育及成人教育办公室、县勤工俭学管理站、县招生考试管理中心、县教师培训中心、县体育卫生与艺术教育中心、县教育科学研究室。</w:t>
      </w:r>
      <w:bookmarkEnd w:id="0"/>
      <w:bookmarkEnd w:id="1"/>
    </w:p>
    <w:p w:rsidR="00BA618F" w:rsidRDefault="00BA618F" w:rsidP="00F83B4F">
      <w:pPr>
        <w:pStyle w:val="a4"/>
      </w:pPr>
      <w:r>
        <w:rPr>
          <w:rFonts w:hint="eastAsia"/>
        </w:rPr>
        <w:t>（二）人员编制情况</w:t>
      </w:r>
    </w:p>
    <w:p w:rsidR="00BA618F" w:rsidRDefault="00BA618F" w:rsidP="00F83B4F">
      <w:pPr>
        <w:pStyle w:val="a4"/>
        <w:ind w:firstLine="320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 xml:space="preserve">     </w:t>
      </w:r>
      <w:r w:rsidRPr="00001A90">
        <w:rPr>
          <w:rFonts w:hint="eastAsia"/>
        </w:rPr>
        <w:t xml:space="preserve"> 2024年教育局编制数72人,实有人员67人。</w:t>
      </w:r>
    </w:p>
    <w:p w:rsidR="00BA618F" w:rsidRDefault="00BA618F" w:rsidP="00F83B4F">
      <w:pPr>
        <w:pStyle w:val="a4"/>
      </w:pPr>
      <w:r>
        <w:rPr>
          <w:rFonts w:hint="eastAsia"/>
        </w:rPr>
        <w:t>（三）主要职能职责</w:t>
      </w:r>
    </w:p>
    <w:p w:rsidR="00BA618F" w:rsidRPr="00001A90" w:rsidRDefault="00BA618F" w:rsidP="00F83B4F">
      <w:pPr>
        <w:pStyle w:val="a4"/>
        <w:ind w:firstLine="320"/>
      </w:pPr>
      <w:r>
        <w:rPr>
          <w:rFonts w:ascii="楷体_GB2312" w:eastAsia="楷体_GB2312" w:cs="楷体_GB2312" w:hint="eastAsia"/>
          <w:sz w:val="32"/>
          <w:szCs w:val="32"/>
        </w:rPr>
        <w:t xml:space="preserve">      </w:t>
      </w:r>
      <w:r>
        <w:t>主要职责是贯彻落实党和国家的教育方针、政策、法律、法规，拟定全县教育改革与发展战略和规划。统筹指导全县学前教育、基础教育、高中教育、职业技术教育、成人高考、高等教育自学考试及民办教育工作。统筹管理教育部门经费。在职责范围内主管全县教师工作。组织、指导全县教育督导工作。承办县人民政府交办的其他事项</w:t>
      </w:r>
    </w:p>
    <w:p w:rsidR="00BA618F" w:rsidRDefault="00BA618F" w:rsidP="00F83B4F">
      <w:pPr>
        <w:pStyle w:val="a4"/>
      </w:pPr>
      <w:r>
        <w:rPr>
          <w:rFonts w:hint="eastAsia"/>
        </w:rPr>
        <w:t>（四）绩效目标设定情况</w:t>
      </w:r>
    </w:p>
    <w:p w:rsidR="00BA618F" w:rsidRPr="00001A90" w:rsidRDefault="00BA618F" w:rsidP="00F83B4F">
      <w:pPr>
        <w:pStyle w:val="a4"/>
      </w:pPr>
      <w:bookmarkStart w:id="3" w:name="OLE_LINK6"/>
      <w:r w:rsidRPr="00001A90">
        <w:rPr>
          <w:rFonts w:hint="eastAsia"/>
        </w:rPr>
        <w:t>在制定部门预算时，从成本指标、产出指标、效益指标、满意度指标三个内容和一级指标、二级指标、三级指标三个维度对部门预算进行了绩效目标设定。</w:t>
      </w:r>
    </w:p>
    <w:bookmarkEnd w:id="3"/>
    <w:p w:rsidR="00BA618F" w:rsidRDefault="00BA618F" w:rsidP="00F83B4F">
      <w:pPr>
        <w:pStyle w:val="a4"/>
      </w:pPr>
      <w:r>
        <w:rPr>
          <w:rFonts w:hint="eastAsia"/>
        </w:rPr>
        <w:t>二、部门整体支出管理及使用情况</w:t>
      </w:r>
    </w:p>
    <w:p w:rsidR="00BA618F" w:rsidRDefault="00BA618F" w:rsidP="00F83B4F">
      <w:pPr>
        <w:pStyle w:val="a4"/>
      </w:pPr>
      <w:r>
        <w:rPr>
          <w:rFonts w:hint="eastAsia"/>
        </w:rPr>
        <w:t>（一）预算执行、使用、管理总体情况。</w:t>
      </w:r>
    </w:p>
    <w:p w:rsidR="00BA618F" w:rsidRPr="00001A90" w:rsidRDefault="00BA618F" w:rsidP="00F83B4F">
      <w:pPr>
        <w:pStyle w:val="a4"/>
      </w:pPr>
      <w:r w:rsidRPr="00001A90">
        <w:rPr>
          <w:rFonts w:hint="eastAsia"/>
        </w:rPr>
        <w:t>根据批复的预算安排各项收支，确保预算严格有效执行。</w:t>
      </w:r>
    </w:p>
    <w:p w:rsidR="00BA618F" w:rsidRPr="00001A90" w:rsidRDefault="00BA618F" w:rsidP="00F83B4F">
      <w:pPr>
        <w:pStyle w:val="a4"/>
      </w:pPr>
      <w:r w:rsidRPr="00001A90">
        <w:rPr>
          <w:rFonts w:hint="eastAsia"/>
        </w:rPr>
        <w:t>预算执行申请提出后，应当由分管业务工作的局领导和计财股进行审核，并按规定的权限进行审批。建立预算执行分析机制，定期通报各部门预算执行情况。</w:t>
      </w:r>
    </w:p>
    <w:p w:rsidR="00BA618F" w:rsidRDefault="00BA618F" w:rsidP="00F83B4F">
      <w:pPr>
        <w:pStyle w:val="a4"/>
      </w:pPr>
      <w:r>
        <w:rPr>
          <w:rFonts w:hint="eastAsia"/>
        </w:rPr>
        <w:t>（二）部门预算执行情况</w:t>
      </w:r>
    </w:p>
    <w:p w:rsidR="00BA618F" w:rsidRDefault="00BA618F" w:rsidP="00F83B4F">
      <w:pPr>
        <w:pStyle w:val="a4"/>
      </w:pPr>
      <w:r>
        <w:t>1.</w:t>
      </w:r>
      <w:r>
        <w:rPr>
          <w:rFonts w:hint="eastAsia"/>
        </w:rPr>
        <w:t>基本支出情况</w:t>
      </w:r>
    </w:p>
    <w:p w:rsidR="00BA618F" w:rsidRPr="00001A90" w:rsidRDefault="00542E8E" w:rsidP="00F83B4F">
      <w:pPr>
        <w:pStyle w:val="a4"/>
      </w:pPr>
      <w:bookmarkStart w:id="4" w:name="OLE_LINK10"/>
      <w:r>
        <w:rPr>
          <w:rFonts w:ascii="宋体" w:eastAsia="宋体" w:hAnsi="宋体" w:hint="eastAsia"/>
        </w:rPr>
        <w:t>①</w:t>
      </w:r>
      <w:r w:rsidR="00BA618F" w:rsidRPr="00001A90">
        <w:rPr>
          <w:rFonts w:hint="eastAsia"/>
        </w:rPr>
        <w:t>、</w:t>
      </w:r>
      <w:r w:rsidR="00BA618F" w:rsidRPr="00001A90">
        <w:t>教育支出</w:t>
      </w:r>
      <w:bookmarkStart w:id="5" w:name="OLE_LINK11"/>
      <w:bookmarkStart w:id="6" w:name="OLE_LINK12"/>
      <w:r w:rsidR="00BA618F" w:rsidRPr="00001A90">
        <w:t>（类）</w:t>
      </w:r>
      <w:bookmarkEnd w:id="5"/>
      <w:bookmarkEnd w:id="6"/>
      <w:r w:rsidR="00BA618F" w:rsidRPr="00001A90">
        <w:t>教育管理事务</w:t>
      </w:r>
      <w:bookmarkStart w:id="7" w:name="OLE_LINK13"/>
      <w:r w:rsidR="00BA618F" w:rsidRPr="00001A90">
        <w:t>（款）</w:t>
      </w:r>
      <w:bookmarkEnd w:id="7"/>
      <w:r w:rsidR="00BA618F" w:rsidRPr="00001A90">
        <w:t>行政运行</w:t>
      </w:r>
      <w:bookmarkStart w:id="8" w:name="OLE_LINK14"/>
      <w:r w:rsidR="00BA618F" w:rsidRPr="00001A90">
        <w:t>（项）</w:t>
      </w:r>
      <w:bookmarkEnd w:id="8"/>
      <w:r w:rsidR="00BA618F" w:rsidRPr="00001A90">
        <w:t>决算数</w:t>
      </w:r>
      <w:r w:rsidR="00BA618F" w:rsidRPr="00001A90">
        <w:rPr>
          <w:rFonts w:hint="eastAsia"/>
        </w:rPr>
        <w:t>1595.85</w:t>
      </w:r>
      <w:r w:rsidR="00BA618F" w:rsidRPr="00001A90">
        <w:t>万元。</w:t>
      </w:r>
      <w:r w:rsidR="00BA618F" w:rsidRPr="00001A90">
        <w:rPr>
          <w:rFonts w:hint="eastAsia"/>
        </w:rPr>
        <w:t>其中：办公费41.50万元，水费0.51万元，电费9.29万元，公务接待费13.15万元，会议费9.50万元，培训费9.59万元。</w:t>
      </w:r>
    </w:p>
    <w:p w:rsidR="00BA618F" w:rsidRPr="00001A90" w:rsidRDefault="00542E8E" w:rsidP="00F83B4F">
      <w:pPr>
        <w:pStyle w:val="a4"/>
      </w:pPr>
      <w:r>
        <w:rPr>
          <w:rFonts w:ascii="宋体" w:eastAsia="宋体" w:hAnsi="宋体" w:hint="eastAsia"/>
        </w:rPr>
        <w:t>②</w:t>
      </w:r>
      <w:r w:rsidR="00BA618F" w:rsidRPr="00001A90">
        <w:rPr>
          <w:rFonts w:hint="eastAsia"/>
        </w:rPr>
        <w:t>、</w:t>
      </w:r>
      <w:r w:rsidR="00BA618F" w:rsidRPr="00001A90">
        <w:t>教育支出（类）教育管理事务（款）</w:t>
      </w:r>
      <w:r w:rsidR="00BA618F" w:rsidRPr="00001A90">
        <w:rPr>
          <w:rFonts w:hint="eastAsia"/>
        </w:rPr>
        <w:t>其他教育管理事务支出</w:t>
      </w:r>
      <w:r w:rsidR="00BA618F" w:rsidRPr="00001A90">
        <w:t>（项）决算数</w:t>
      </w:r>
      <w:r w:rsidR="00BA618F" w:rsidRPr="00001A90">
        <w:rPr>
          <w:rFonts w:hint="eastAsia"/>
        </w:rPr>
        <w:t>2618.21</w:t>
      </w:r>
      <w:r w:rsidR="00BA618F" w:rsidRPr="00001A90">
        <w:t>万元。</w:t>
      </w:r>
      <w:r w:rsidR="00BA618F" w:rsidRPr="00001A90">
        <w:rPr>
          <w:rFonts w:hint="eastAsia"/>
        </w:rPr>
        <w:t>其中：办公费226.25万元（民办中小学、幼儿园公用经费），培</w:t>
      </w:r>
      <w:r w:rsidR="00BA618F" w:rsidRPr="00001A90">
        <w:rPr>
          <w:rFonts w:hint="eastAsia"/>
        </w:rPr>
        <w:lastRenderedPageBreak/>
        <w:t>训费274.92万元，其他交通费653.64万元（校车公司经费），助学金1235.77万元。</w:t>
      </w:r>
    </w:p>
    <w:bookmarkEnd w:id="4"/>
    <w:p w:rsidR="00BA618F" w:rsidRPr="00001A90" w:rsidRDefault="00542E8E" w:rsidP="00F83B4F">
      <w:pPr>
        <w:pStyle w:val="a4"/>
      </w:pPr>
      <w:r>
        <w:rPr>
          <w:rFonts w:ascii="宋体" w:eastAsia="宋体" w:hAnsi="宋体" w:hint="eastAsia"/>
        </w:rPr>
        <w:t>③</w:t>
      </w:r>
      <w:r w:rsidR="00BA618F" w:rsidRPr="00001A90">
        <w:rPr>
          <w:rFonts w:hint="eastAsia"/>
        </w:rPr>
        <w:t>、</w:t>
      </w:r>
      <w:r w:rsidR="00BA618F" w:rsidRPr="00DD13F8">
        <w:rPr>
          <w:rFonts w:hint="eastAsia"/>
        </w:rPr>
        <w:t>社会保障和就业支出</w:t>
      </w:r>
      <w:r w:rsidR="00BA618F" w:rsidRPr="00001A90">
        <w:t>（类）</w:t>
      </w:r>
      <w:r w:rsidR="00BA618F" w:rsidRPr="00DD13F8">
        <w:rPr>
          <w:rFonts w:hint="eastAsia"/>
        </w:rPr>
        <w:t>行政事业单位离退休</w:t>
      </w:r>
      <w:r w:rsidR="00BA618F" w:rsidRPr="00001A90">
        <w:t>（款）</w:t>
      </w:r>
      <w:r w:rsidR="00BA618F" w:rsidRPr="00001A90">
        <w:rPr>
          <w:rFonts w:hint="eastAsia"/>
        </w:rPr>
        <w:t>机关事业单位基本养老保险缴费支出</w:t>
      </w:r>
      <w:r w:rsidR="00BA618F" w:rsidRPr="00001A90">
        <w:t>（项）</w:t>
      </w:r>
      <w:r w:rsidR="00BA618F" w:rsidRPr="00001A90">
        <w:rPr>
          <w:rFonts w:hint="eastAsia"/>
        </w:rPr>
        <w:t>决算数109.38万元</w:t>
      </w:r>
    </w:p>
    <w:p w:rsidR="00BA618F" w:rsidRDefault="00BA618F" w:rsidP="00F83B4F">
      <w:pPr>
        <w:pStyle w:val="a4"/>
      </w:pPr>
      <w:r>
        <w:t>2.</w:t>
      </w:r>
      <w:r>
        <w:rPr>
          <w:rFonts w:hint="eastAsia"/>
        </w:rPr>
        <w:t>项目支出情况</w:t>
      </w:r>
    </w:p>
    <w:p w:rsidR="00BA618F" w:rsidRPr="00001A90" w:rsidRDefault="00BA618F" w:rsidP="00F83B4F">
      <w:pPr>
        <w:pStyle w:val="a4"/>
      </w:pPr>
      <w:r w:rsidRPr="00001A90">
        <w:t>教育支出（类）教育管理事务（款）</w:t>
      </w:r>
      <w:r w:rsidRPr="00001A90">
        <w:rPr>
          <w:rFonts w:hint="eastAsia"/>
        </w:rPr>
        <w:t>其他教育管理事务支出</w:t>
      </w:r>
      <w:r w:rsidRPr="00001A90">
        <w:t>（项）决算数</w:t>
      </w:r>
      <w:r w:rsidRPr="00001A90">
        <w:rPr>
          <w:rFonts w:hint="eastAsia"/>
        </w:rPr>
        <w:t>763.99</w:t>
      </w:r>
      <w:r w:rsidRPr="00001A90">
        <w:t>万元，完成年初预算的</w:t>
      </w:r>
      <w:r w:rsidRPr="00001A90">
        <w:rPr>
          <w:rFonts w:hint="eastAsia"/>
        </w:rPr>
        <w:t>100</w:t>
      </w:r>
      <w:r w:rsidRPr="00001A90">
        <w:t>%。</w:t>
      </w:r>
    </w:p>
    <w:p w:rsidR="00BA618F" w:rsidRPr="00001A90" w:rsidRDefault="00BA618F" w:rsidP="00F83B4F">
      <w:pPr>
        <w:pStyle w:val="a4"/>
      </w:pPr>
      <w:r w:rsidRPr="00001A90">
        <w:rPr>
          <w:rFonts w:hint="eastAsia"/>
        </w:rPr>
        <w:t>其中：三校合一基建749.19万元，第二幼儿园基建14.80万元。</w:t>
      </w:r>
    </w:p>
    <w:p w:rsidR="00BA618F" w:rsidRDefault="00BA618F" w:rsidP="00F83B4F">
      <w:pPr>
        <w:pStyle w:val="a4"/>
      </w:pPr>
      <w:r>
        <w:rPr>
          <w:rFonts w:hint="eastAsia"/>
        </w:rPr>
        <w:t>（三）</w:t>
      </w:r>
      <w:r>
        <w:t>"</w:t>
      </w:r>
      <w:r>
        <w:rPr>
          <w:rFonts w:hint="eastAsia"/>
        </w:rPr>
        <w:t>三公</w:t>
      </w:r>
      <w:r>
        <w:t>"</w:t>
      </w:r>
      <w:r>
        <w:rPr>
          <w:rFonts w:hint="eastAsia"/>
        </w:rPr>
        <w:t>经费使用和管理情况</w:t>
      </w:r>
    </w:p>
    <w:p w:rsidR="00BA618F" w:rsidRPr="00001A90" w:rsidRDefault="00BA618F" w:rsidP="00F83B4F">
      <w:pPr>
        <w:pStyle w:val="a4"/>
      </w:pPr>
      <w:r w:rsidRPr="00001A90">
        <w:rPr>
          <w:rFonts w:hint="eastAsia"/>
        </w:rPr>
        <w:t xml:space="preserve"> </w:t>
      </w:r>
      <w:r w:rsidR="00542E8E">
        <w:rPr>
          <w:rFonts w:hint="eastAsia"/>
        </w:rPr>
        <w:t xml:space="preserve">  </w:t>
      </w:r>
      <w:r w:rsidRPr="00001A90">
        <w:rPr>
          <w:rFonts w:hint="eastAsia"/>
        </w:rPr>
        <w:t>2024年三公经费13.15万元,其中公务接待费13.15万元。比上年下降42.07%。主要是单位在2024年紧缩开支，厉行节约。</w:t>
      </w:r>
    </w:p>
    <w:p w:rsidR="00BA618F" w:rsidRDefault="00BA618F" w:rsidP="00F83B4F">
      <w:pPr>
        <w:pStyle w:val="a4"/>
      </w:pPr>
      <w:r>
        <w:rPr>
          <w:rFonts w:hint="eastAsia"/>
        </w:rPr>
        <w:t>三、政府性基金预算支出情况</w:t>
      </w:r>
    </w:p>
    <w:p w:rsidR="00BA618F" w:rsidRPr="00963158" w:rsidRDefault="00BA618F" w:rsidP="00BA618F">
      <w:pPr>
        <w:pStyle w:val="a5"/>
        <w:ind w:firstLine="400"/>
      </w:pPr>
      <w:r w:rsidRPr="00963158">
        <w:rPr>
          <w:rFonts w:hint="eastAsia"/>
        </w:rPr>
        <w:t>本单位无政府性基金预算支出情况。</w:t>
      </w:r>
    </w:p>
    <w:p w:rsidR="00BA618F" w:rsidRDefault="00BA618F" w:rsidP="00F83B4F">
      <w:pPr>
        <w:pStyle w:val="a4"/>
      </w:pPr>
      <w:r>
        <w:rPr>
          <w:rFonts w:hint="eastAsia"/>
        </w:rPr>
        <w:t>四、国有资本经营预算支出情况</w:t>
      </w:r>
    </w:p>
    <w:p w:rsidR="00BA618F" w:rsidRPr="00001A90" w:rsidRDefault="00BA618F" w:rsidP="00F83B4F">
      <w:pPr>
        <w:pStyle w:val="a4"/>
      </w:pPr>
      <w:r w:rsidRPr="00001A90">
        <w:rPr>
          <w:rFonts w:hint="eastAsia"/>
        </w:rPr>
        <w:t>本单位无国有资本经营预算支出情况。</w:t>
      </w:r>
    </w:p>
    <w:p w:rsidR="00BA618F" w:rsidRDefault="00BA618F" w:rsidP="00F83B4F">
      <w:pPr>
        <w:pStyle w:val="a4"/>
      </w:pPr>
      <w:r>
        <w:rPr>
          <w:rFonts w:hint="eastAsia"/>
        </w:rPr>
        <w:t>五、社会保险基金预算支出情况</w:t>
      </w:r>
    </w:p>
    <w:p w:rsidR="00BA618F" w:rsidRPr="00963158" w:rsidRDefault="00BA618F" w:rsidP="00BA618F">
      <w:pPr>
        <w:pStyle w:val="a5"/>
        <w:ind w:firstLine="400"/>
      </w:pPr>
      <w:r w:rsidRPr="00963158">
        <w:rPr>
          <w:rFonts w:hint="eastAsia"/>
        </w:rPr>
        <w:t>本单位无社会保险基金预算支出情况。</w:t>
      </w:r>
    </w:p>
    <w:p w:rsidR="00BA618F" w:rsidRDefault="00BA618F" w:rsidP="00F83B4F">
      <w:pPr>
        <w:pStyle w:val="a4"/>
      </w:pPr>
      <w:r>
        <w:rPr>
          <w:rFonts w:hint="eastAsia"/>
        </w:rPr>
        <w:t>六、部门整体支出绩效情况</w:t>
      </w:r>
    </w:p>
    <w:p w:rsidR="00BA618F" w:rsidRDefault="00BA618F" w:rsidP="00F83B4F">
      <w:pPr>
        <w:pStyle w:val="a4"/>
      </w:pPr>
      <w:r>
        <w:rPr>
          <w:rFonts w:hint="eastAsia"/>
        </w:rPr>
        <w:t>（一）综合评价结论。</w:t>
      </w:r>
    </w:p>
    <w:p w:rsidR="00BA618F" w:rsidRPr="00001A90" w:rsidRDefault="00BA618F" w:rsidP="00F83B4F">
      <w:pPr>
        <w:pStyle w:val="a4"/>
      </w:pPr>
      <w:r w:rsidRPr="00001A90">
        <w:rPr>
          <w:rFonts w:hint="eastAsia"/>
        </w:rPr>
        <w:t>自评得分</w:t>
      </w:r>
      <w:r>
        <w:rPr>
          <w:rFonts w:hint="eastAsia"/>
        </w:rPr>
        <w:t>98</w:t>
      </w:r>
      <w:r w:rsidRPr="00001A90">
        <w:rPr>
          <w:rFonts w:hint="eastAsia"/>
        </w:rPr>
        <w:t>,评价等级为优秀。</w:t>
      </w:r>
    </w:p>
    <w:p w:rsidR="00BA618F" w:rsidRDefault="00BA618F" w:rsidP="00F83B4F">
      <w:pPr>
        <w:pStyle w:val="a4"/>
      </w:pPr>
      <w:r>
        <w:rPr>
          <w:rFonts w:hint="eastAsia"/>
        </w:rPr>
        <w:t>（二）评价指标分析</w:t>
      </w:r>
    </w:p>
    <w:p w:rsidR="00BA618F" w:rsidRPr="00001A90" w:rsidRDefault="00BA618F" w:rsidP="00F83B4F">
      <w:pPr>
        <w:pStyle w:val="a4"/>
        <w:ind w:firstLine="320"/>
      </w:pPr>
      <w:r>
        <w:rPr>
          <w:rFonts w:ascii="楷体_GB2312" w:eastAsia="楷体_GB2312" w:cs="楷体_GB2312" w:hint="eastAsia"/>
          <w:sz w:val="32"/>
          <w:szCs w:val="32"/>
        </w:rPr>
        <w:t xml:space="preserve">   </w:t>
      </w:r>
      <w:bookmarkStart w:id="9" w:name="OLE_LINK47"/>
      <w:r w:rsidRPr="00001A90">
        <w:rPr>
          <w:rFonts w:hint="eastAsia"/>
        </w:rPr>
        <w:t>2024年，在县委、县政府的正确领导下，我县教育事业取得了长足发展，全县学前幼儿毛入园率达91.3%，小学入学率达100%，义务教育巩固率达到99.86%；高考录取率逐年稳步上升，连续三年来实现了本科上线人数每年增长近10%；初中学业水平考试综合排名全市第五，基础教育质量稳步提升；深入开展“校园餐”专项整治，49所中小学校大宗食材集中采购实现了“全覆盖”</w:t>
      </w:r>
      <w:r w:rsidRPr="00001A90">
        <w:t>。此外，经教育部批准，辰阳明德小学被评为“全国国防教育示范学校”、育才学校被评为“全国青少年校园足球特色学校”</w:t>
      </w:r>
      <w:r w:rsidRPr="00001A90">
        <w:rPr>
          <w:rFonts w:hint="eastAsia"/>
        </w:rPr>
        <w:t>，大水田乡学校成功创建省级劳动示范校。</w:t>
      </w:r>
    </w:p>
    <w:p w:rsidR="00BA618F" w:rsidRPr="00001A90" w:rsidRDefault="00BA618F" w:rsidP="00F83B4F">
      <w:pPr>
        <w:pStyle w:val="a4"/>
      </w:pPr>
      <w:r w:rsidRPr="00001A90">
        <w:rPr>
          <w:rFonts w:hint="eastAsia"/>
        </w:rPr>
        <w:t>加大资金投入，办学条件得到新改善。县委县政府持续加大教育经费投入，在县本级财力十分紧张的情况下，始终优先保障教育投入，</w:t>
      </w:r>
      <w:r w:rsidRPr="00001A90">
        <w:t>积极筹措资金，确保</w:t>
      </w:r>
      <w:r w:rsidRPr="00001A90">
        <w:rPr>
          <w:rFonts w:hint="eastAsia"/>
        </w:rPr>
        <w:t>各项</w:t>
      </w:r>
      <w:r w:rsidRPr="00001A90">
        <w:t>教育</w:t>
      </w:r>
      <w:r w:rsidRPr="00001A90">
        <w:rPr>
          <w:rFonts w:hint="eastAsia"/>
        </w:rPr>
        <w:t>事业</w:t>
      </w:r>
      <w:r w:rsidRPr="00001A90">
        <w:t>经费</w:t>
      </w:r>
      <w:r w:rsidRPr="00001A90">
        <w:rPr>
          <w:rFonts w:hint="eastAsia"/>
        </w:rPr>
        <w:t>拨付到位</w:t>
      </w:r>
      <w:r w:rsidRPr="00001A90">
        <w:t>。实施</w:t>
      </w:r>
      <w:r w:rsidRPr="00001A90">
        <w:rPr>
          <w:rFonts w:hint="eastAsia"/>
        </w:rPr>
        <w:t>了</w:t>
      </w:r>
      <w:r w:rsidRPr="00001A90">
        <w:t>辰溪一中“徐特立项目”</w:t>
      </w:r>
      <w:r w:rsidRPr="00001A90">
        <w:rPr>
          <w:rFonts w:hint="eastAsia"/>
        </w:rPr>
        <w:t>、</w:t>
      </w:r>
      <w:r w:rsidRPr="00001A90">
        <w:t>校舍维修改造</w:t>
      </w:r>
      <w:r w:rsidRPr="00001A90">
        <w:rPr>
          <w:rFonts w:hint="eastAsia"/>
        </w:rPr>
        <w:t>、</w:t>
      </w:r>
      <w:r w:rsidRPr="00001A90">
        <w:t>灾</w:t>
      </w:r>
      <w:r w:rsidRPr="00001A90">
        <w:lastRenderedPageBreak/>
        <w:t>后重建</w:t>
      </w:r>
      <w:r w:rsidRPr="00001A90">
        <w:rPr>
          <w:rFonts w:hint="eastAsia"/>
        </w:rPr>
        <w:t>等</w:t>
      </w:r>
      <w:r w:rsidRPr="00001A90">
        <w:t>42个</w:t>
      </w:r>
      <w:r w:rsidRPr="00001A90">
        <w:rPr>
          <w:rFonts w:hint="eastAsia"/>
        </w:rPr>
        <w:t>校园建设</w:t>
      </w:r>
      <w:r w:rsidRPr="00001A90">
        <w:t>项目，</w:t>
      </w:r>
      <w:r w:rsidRPr="00001A90">
        <w:rPr>
          <w:rFonts w:hint="eastAsia"/>
        </w:rPr>
        <w:t>其中一中“</w:t>
      </w:r>
      <w:r w:rsidRPr="00001A90">
        <w:t>特立教学楼</w:t>
      </w:r>
      <w:r w:rsidRPr="00001A90">
        <w:rPr>
          <w:rFonts w:hint="eastAsia"/>
        </w:rPr>
        <w:t>”</w:t>
      </w:r>
      <w:r w:rsidRPr="00001A90">
        <w:t>建设获省政府专项奖励329万元</w:t>
      </w:r>
      <w:r w:rsidRPr="00001A90">
        <w:rPr>
          <w:rFonts w:hint="eastAsia"/>
        </w:rPr>
        <w:t>；此外，投入资金近900万元，完成了</w:t>
      </w:r>
      <w:r w:rsidRPr="00001A90">
        <w:t>全县中心集镇学校1050余间教室</w:t>
      </w:r>
      <w:r w:rsidRPr="00001A90">
        <w:rPr>
          <w:rFonts w:hint="eastAsia"/>
        </w:rPr>
        <w:t>学生健康护眼</w:t>
      </w:r>
      <w:r w:rsidRPr="00001A90">
        <w:t>照明</w:t>
      </w:r>
      <w:r w:rsidRPr="00001A90">
        <w:rPr>
          <w:rFonts w:hint="eastAsia"/>
        </w:rPr>
        <w:t>环境改善；投资60万元实施了县中等职业学校的“爱晚”老年学校项目提质改造，全年完成了3000人次的培训任务。</w:t>
      </w:r>
    </w:p>
    <w:bookmarkEnd w:id="9"/>
    <w:p w:rsidR="00BA618F" w:rsidRDefault="00BA618F" w:rsidP="00F83B4F">
      <w:pPr>
        <w:pStyle w:val="a4"/>
      </w:pPr>
      <w:r>
        <w:rPr>
          <w:rFonts w:hint="eastAsia"/>
        </w:rPr>
        <w:t>七、存在的问题及原因分析</w:t>
      </w:r>
    </w:p>
    <w:p w:rsidR="00BA618F" w:rsidRPr="00001A90" w:rsidRDefault="00BA618F" w:rsidP="00F83B4F">
      <w:pPr>
        <w:pStyle w:val="a4"/>
      </w:pPr>
      <w:bookmarkStart w:id="10" w:name="OLE_LINK22"/>
      <w:r w:rsidRPr="00001A90">
        <w:t>202</w:t>
      </w:r>
      <w:r w:rsidRPr="00001A90">
        <w:rPr>
          <w:rFonts w:hint="eastAsia"/>
        </w:rPr>
        <w:t>4年，认真编制并执行了预算。严格执行了政府采购政策。严格制定并执行了经费支出内控制度，科学合理安排资金。确保了各项工作顺利开展，达到了预期绩效目标。但还存在绩效制度不健全，绩效管理质量不高的问题。</w:t>
      </w:r>
      <w:bookmarkEnd w:id="10"/>
    </w:p>
    <w:p w:rsidR="00BA618F" w:rsidRDefault="00BA618F" w:rsidP="00F83B4F">
      <w:pPr>
        <w:pStyle w:val="a4"/>
      </w:pPr>
      <w:r>
        <w:rPr>
          <w:rFonts w:hint="eastAsia"/>
        </w:rPr>
        <w:t>八、下一步改进措施</w:t>
      </w:r>
    </w:p>
    <w:p w:rsidR="00BA618F" w:rsidRPr="00001A90" w:rsidRDefault="00BA618F" w:rsidP="00F83B4F">
      <w:pPr>
        <w:pStyle w:val="a4"/>
      </w:pPr>
      <w:r w:rsidRPr="00001A90">
        <w:rPr>
          <w:rFonts w:hint="eastAsia"/>
        </w:rPr>
        <w:t>后期将在以下几个方面加强绩效管理：</w:t>
      </w:r>
    </w:p>
    <w:p w:rsidR="00BA618F" w:rsidRPr="00FB0FB4" w:rsidRDefault="00BA618F" w:rsidP="00F83B4F">
      <w:pPr>
        <w:pStyle w:val="a5"/>
        <w:spacing w:line="240" w:lineRule="auto"/>
        <w:ind w:firstLine="480"/>
        <w:rPr>
          <w:sz w:val="24"/>
          <w:szCs w:val="13"/>
        </w:rPr>
      </w:pPr>
      <w:r w:rsidRPr="00FB0FB4">
        <w:rPr>
          <w:rFonts w:hint="eastAsia"/>
          <w:sz w:val="24"/>
          <w:szCs w:val="13"/>
        </w:rPr>
        <w:t>1、加强绩效制度建设。完善绩效管理和评价制度，为资金的合理配置提供有效依据。</w:t>
      </w:r>
    </w:p>
    <w:p w:rsidR="00BA618F" w:rsidRPr="00001A90" w:rsidRDefault="00BA618F" w:rsidP="00F83B4F">
      <w:pPr>
        <w:pStyle w:val="a4"/>
        <w:spacing w:beforeAutospacing="0" w:afterAutospacing="0" w:line="240" w:lineRule="auto"/>
      </w:pPr>
      <w:r w:rsidRPr="00001A90">
        <w:rPr>
          <w:rFonts w:hint="eastAsia"/>
        </w:rPr>
        <w:t>2、强化绩效目标管理，把绩效目标作为项目实施的前置条件，提高资金使用的合理性和科学性，严格《会计法》，《政府会计制度》等规定执行财务核算，并结合实际情况，准确地披露相关信息，尽可能地做到决算和预算相衔接</w:t>
      </w:r>
    </w:p>
    <w:p w:rsidR="00BA618F" w:rsidRDefault="00BA618F" w:rsidP="00F83B4F">
      <w:pPr>
        <w:pStyle w:val="a4"/>
        <w:spacing w:beforeAutospacing="0" w:afterAutospacing="0" w:line="240" w:lineRule="auto"/>
      </w:pPr>
      <w:r>
        <w:rPr>
          <w:rFonts w:hint="eastAsia"/>
        </w:rPr>
        <w:t>九、其他需要说明的情况</w:t>
      </w:r>
    </w:p>
    <w:p w:rsidR="00BA618F" w:rsidRDefault="00BA618F" w:rsidP="00F83B4F">
      <w:pPr>
        <w:pStyle w:val="a4"/>
        <w:spacing w:beforeAutospacing="0" w:afterAutospacing="0" w:line="240" w:lineRule="auto"/>
      </w:pPr>
      <w:r>
        <w:rPr>
          <w:rFonts w:hint="eastAsia"/>
        </w:rPr>
        <w:t xml:space="preserve">  无</w:t>
      </w:r>
    </w:p>
    <w:p w:rsidR="00BA618F" w:rsidRDefault="00D64AA3" w:rsidP="00F83B4F">
      <w:pPr>
        <w:pStyle w:val="a4"/>
        <w:rPr>
          <w:rFonts w:hint="eastAsia"/>
        </w:rPr>
      </w:pPr>
      <w:r>
        <w:rPr>
          <w:rFonts w:hint="eastAsia"/>
        </w:rPr>
        <w:t xml:space="preserve"> </w:t>
      </w:r>
    </w:p>
    <w:p w:rsidR="00D64AA3" w:rsidRDefault="00D64AA3" w:rsidP="00F83B4F">
      <w:pPr>
        <w:pStyle w:val="a4"/>
        <w:rPr>
          <w:rFonts w:hint="eastAsia"/>
        </w:rPr>
      </w:pPr>
    </w:p>
    <w:p w:rsidR="00D64AA3" w:rsidRDefault="00D64AA3" w:rsidP="00F83B4F">
      <w:pPr>
        <w:pStyle w:val="a4"/>
        <w:rPr>
          <w:rFonts w:hint="eastAsia"/>
        </w:rPr>
      </w:pPr>
    </w:p>
    <w:p w:rsidR="00D64AA3" w:rsidRDefault="00D64AA3" w:rsidP="00F83B4F">
      <w:pPr>
        <w:pStyle w:val="a4"/>
      </w:pPr>
    </w:p>
    <w:p w:rsidR="00F83B4F" w:rsidRDefault="00F83B4F" w:rsidP="00F83B4F">
      <w:pPr>
        <w:pStyle w:val="a4"/>
      </w:pPr>
      <w:r>
        <w:rPr>
          <w:rFonts w:hint="eastAsia"/>
        </w:rPr>
        <w:t xml:space="preserve">                                           辰溪县教育局</w:t>
      </w:r>
    </w:p>
    <w:p w:rsidR="00F83B4F" w:rsidRDefault="00F83B4F" w:rsidP="00F83B4F">
      <w:pPr>
        <w:pStyle w:val="a4"/>
      </w:pPr>
      <w:r>
        <w:rPr>
          <w:rFonts w:hint="eastAsia"/>
        </w:rPr>
        <w:t xml:space="preserve">                                          2025年5月12日</w:t>
      </w:r>
    </w:p>
    <w:p w:rsidR="00BA618F" w:rsidRDefault="00BA618F" w:rsidP="00F83B4F">
      <w:pPr>
        <w:pStyle w:val="a4"/>
      </w:pPr>
    </w:p>
    <w:p w:rsidR="00BA618F" w:rsidRDefault="00BA618F" w:rsidP="00F83B4F">
      <w:pPr>
        <w:pStyle w:val="a4"/>
      </w:pPr>
    </w:p>
    <w:p w:rsidR="00BA618F" w:rsidRDefault="00BA618F" w:rsidP="00F83B4F">
      <w:pPr>
        <w:pStyle w:val="a4"/>
      </w:pPr>
    </w:p>
    <w:p w:rsidR="00BA618F" w:rsidRDefault="00BA618F" w:rsidP="00F83B4F">
      <w:pPr>
        <w:pStyle w:val="a4"/>
      </w:pPr>
    </w:p>
    <w:p w:rsidR="00BA618F" w:rsidRDefault="00BA618F" w:rsidP="00F83B4F">
      <w:pPr>
        <w:pStyle w:val="a4"/>
      </w:pPr>
    </w:p>
    <w:p w:rsidR="00BA618F" w:rsidRDefault="00BA618F" w:rsidP="00F83B4F">
      <w:pPr>
        <w:pStyle w:val="a4"/>
      </w:pPr>
    </w:p>
    <w:p w:rsidR="00BA618F" w:rsidRDefault="00BA618F" w:rsidP="00F83B4F">
      <w:pPr>
        <w:pStyle w:val="a4"/>
      </w:pPr>
    </w:p>
    <w:p w:rsidR="00BA618F" w:rsidRDefault="00BA618F" w:rsidP="00F83B4F">
      <w:pPr>
        <w:pStyle w:val="a4"/>
      </w:pPr>
    </w:p>
    <w:p w:rsidR="00BA618F" w:rsidRDefault="00BA618F" w:rsidP="00F83B4F">
      <w:pPr>
        <w:pStyle w:val="a4"/>
      </w:pPr>
    </w:p>
    <w:p w:rsidR="00BA618F" w:rsidRDefault="00BA618F" w:rsidP="00F83B4F">
      <w:pPr>
        <w:pStyle w:val="a4"/>
      </w:pPr>
    </w:p>
    <w:p w:rsidR="00BA618F" w:rsidRDefault="00BA618F" w:rsidP="00F83B4F">
      <w:pPr>
        <w:pStyle w:val="a4"/>
      </w:pPr>
    </w:p>
    <w:p w:rsidR="00BA618F" w:rsidRDefault="00BA618F" w:rsidP="00F83B4F">
      <w:pPr>
        <w:pStyle w:val="a4"/>
        <w:sectPr w:rsidR="00BA618F">
          <w:footerReference w:type="default" r:id="rId6"/>
          <w:pgSz w:w="11906" w:h="16838"/>
          <w:pgMar w:top="2098" w:right="1800" w:bottom="1984" w:left="1587" w:header="851" w:footer="992" w:gutter="0"/>
          <w:cols w:space="425"/>
          <w:docGrid w:type="lines" w:linePitch="312"/>
        </w:sectPr>
      </w:pPr>
    </w:p>
    <w:p w:rsidR="007A2130" w:rsidRPr="00BA618F" w:rsidRDefault="007A2130" w:rsidP="00F83B4F">
      <w:pPr>
        <w:pStyle w:val="a4"/>
      </w:pPr>
    </w:p>
    <w:sectPr w:rsidR="007A2130" w:rsidRPr="00BA618F" w:rsidSect="00242B47">
      <w:pgSz w:w="11906" w:h="16838"/>
      <w:pgMar w:top="2098" w:right="1800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E51" w:rsidRDefault="004A3E51">
      <w:pPr>
        <w:spacing w:line="240" w:lineRule="auto"/>
      </w:pPr>
      <w:r>
        <w:separator/>
      </w:r>
    </w:p>
  </w:endnote>
  <w:endnote w:type="continuationSeparator" w:id="0">
    <w:p w:rsidR="004A3E51" w:rsidRDefault="004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FB4" w:rsidRDefault="00197917" w:rsidP="00193BDD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-82.1pt;margin-top:0;width:4.55pt;height:12pt;z-index:251659264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jlIgIAAB0EAAAOAAAAZHJzL2Uyb0RvYy54bWysU82O0zAQviPxDpbvNGmgu6uo6arsqgip&#10;YlcqiLPrOE2E7bFst0l5AHgDTly481x9DsZO0q6AE+LiTDx//r75Zn7bKUkOwroGdEGnk5QSoTmU&#10;jd4V9MP71YsbSpxnumQStCjoUTh6u3j+bN6aXGRQgyyFJVhEu7w1Ba29N3mSOF4LxdwEjNDorMAq&#10;5vHX7pLSsharK5lkaXqVtGBLY4EL5/D2vnfSRaxfVYL7h6pywhNZUHybj6eN5zacyWLO8p1lpm74&#10;8Az2D69QrNHY9FzqnnlG9rb5o5RquAUHlZ9wUAlUVcNFxIBopulvaDY1MyJiQXKcOdPk/l9Z/u7w&#10;aElTFjSjRDOFIzp9+3r6/vP04wvJAj2tcTlGbQzG+e41dDjmCNWZNfBPDkOSJzF9gsPoQEdXWRW+&#10;CJRgIk7geGZddJ5wvJxdX9/MKOHomc6yV2kcSnLJNdb5NwIUCUZBLc409meHtfOhO8vHkNBKw6qR&#10;Ms5VatIW9OrlLI0JZw9mSD08u39pAOC7bTfg3UJ5RLgWer04w1cNNl8z5x+ZRYEgEBS9f8CjkoBN&#10;YLAoqcF+/tt9iMe5oZeSFgVXUI0bQYl8q3GeQZujYUdjOxp6r+4AFTzFZTI8mphgvRzNyoL6iJuw&#10;DD3QxTTHTgX1o3nne9HjJnGxXMYgVKBhfq03hl9mutx7JDDyGkjpmRi4Qg1Guod9CSJ/+h+jLlu9&#10;+AUAAP//AwBQSwMEFAAGAAgAAAAhADOz+CTbAAAAAgEAAA8AAABkcnMvZG93bnJldi54bWxMj8Fq&#10;wzAQRO+F/IPYQm+NHMeU1LUcTKCHQi+Nc0huirWxTa2VsJTEzdd320t7WRhmmHlbrCc7iAuOoXek&#10;YDFPQCA1zvTUKtjVr48rECFqMnpwhAq+MMC6nN0VOjfuSh942cZWcAmFXCvoYvS5lKHp0Oowdx6J&#10;vZMbrY4sx1aaUV+53A4yTZInaXVPvNBpj5sOm8/t2SqIb36VVu0t8++3w6muq2XI9kulHu6n6gVE&#10;xCn+heEHn9GhZKajO5MJYlDAj8Tfy97zAsRRQZolIMtC/kcvvwEAAP//AwBQSwECLQAUAAYACAAA&#10;ACEAtoM4kv4AAADhAQAAEwAAAAAAAAAAAAAAAAAAAAAAW0NvbnRlbnRfVHlwZXNdLnhtbFBLAQIt&#10;ABQABgAIAAAAIQA4/SH/1gAAAJQBAAALAAAAAAAAAAAAAAAAAC8BAABfcmVscy8ucmVsc1BLAQIt&#10;ABQABgAIAAAAIQCWq7jlIgIAAB0EAAAOAAAAAAAAAAAAAAAAAC4CAABkcnMvZTJvRG9jLnhtbFBL&#10;AQItABQABgAIAAAAIQAzs/gk2wAAAAIBAAAPAAAAAAAAAAAAAAAAAHwEAABkcnMvZG93bnJldi54&#10;bWxQSwUGAAAAAAQABADzAAAAhAUAAAAA&#10;" filled="f" stroked="f" strokeweight=".5pt">
          <v:path arrowok="t"/>
          <v:textbox style="mso-fit-shape-to-text:t" inset="0,0,0,0">
            <w:txbxContent>
              <w:p w:rsidR="00FB0FB4" w:rsidRDefault="00197917" w:rsidP="00193BDD">
                <w:pPr>
                  <w:pStyle w:val="a3"/>
                </w:pPr>
                <w:r>
                  <w:rPr>
                    <w:noProof/>
                  </w:rPr>
                  <w:fldChar w:fldCharType="begin"/>
                </w:r>
                <w:r w:rsidR="00BA618F">
                  <w:rPr>
                    <w:noProof/>
                  </w:rPr>
                  <w:instrText xml:space="preserve"> PAGE  \* MERGEFORMAT </w:instrText>
                </w:r>
                <w:r>
                  <w:rPr>
                    <w:noProof/>
                  </w:rPr>
                  <w:fldChar w:fldCharType="separate"/>
                </w:r>
                <w:r w:rsidR="00D64AA3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E51" w:rsidRDefault="004A3E51">
      <w:pPr>
        <w:spacing w:line="240" w:lineRule="auto"/>
      </w:pPr>
      <w:r>
        <w:separator/>
      </w:r>
    </w:p>
  </w:footnote>
  <w:footnote w:type="continuationSeparator" w:id="0">
    <w:p w:rsidR="004A3E51" w:rsidRDefault="004A3E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18F"/>
    <w:rsid w:val="00197917"/>
    <w:rsid w:val="004A3E51"/>
    <w:rsid w:val="00542E8E"/>
    <w:rsid w:val="007A2130"/>
    <w:rsid w:val="00BA618F"/>
    <w:rsid w:val="00D34575"/>
    <w:rsid w:val="00D64AA3"/>
    <w:rsid w:val="00F83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A618F"/>
    <w:pPr>
      <w:spacing w:line="240" w:lineRule="exact"/>
    </w:pPr>
    <w:rPr>
      <w:rFonts w:ascii="仿宋" w:eastAsia="仿宋" w:hAnsi="仿宋" w:cs="仿宋"/>
      <w:color w:val="000000"/>
      <w:kern w:val="0"/>
      <w:sz w:val="13"/>
      <w:szCs w:val="13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618F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rsid w:val="00BA618F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BA618F"/>
    <w:rPr>
      <w:rFonts w:ascii="仿宋" w:eastAsia="仿宋" w:hAnsi="仿宋" w:cs="仿宋"/>
      <w:color w:val="000000"/>
      <w:kern w:val="0"/>
      <w:sz w:val="18"/>
      <w:szCs w:val="13"/>
    </w:rPr>
  </w:style>
  <w:style w:type="paragraph" w:styleId="a4">
    <w:name w:val="Normal (Web)"/>
    <w:basedOn w:val="a"/>
    <w:autoRedefine/>
    <w:uiPriority w:val="99"/>
    <w:qFormat/>
    <w:rsid w:val="00F83B4F"/>
    <w:pPr>
      <w:spacing w:beforeAutospacing="1" w:afterAutospacing="1"/>
      <w:ind w:firstLineChars="100" w:firstLine="240"/>
    </w:pPr>
    <w:rPr>
      <w:sz w:val="24"/>
      <w:shd w:val="clear" w:color="auto" w:fill="FFFFFF"/>
    </w:rPr>
  </w:style>
  <w:style w:type="paragraph" w:customStyle="1" w:styleId="1">
    <w:name w:val="标题1"/>
    <w:basedOn w:val="2"/>
    <w:autoRedefine/>
    <w:qFormat/>
    <w:rsid w:val="00BA618F"/>
    <w:pPr>
      <w:spacing w:before="0" w:after="0" w:line="560" w:lineRule="exact"/>
      <w:ind w:firstLineChars="200" w:firstLine="200"/>
    </w:pPr>
    <w:rPr>
      <w:rFonts w:ascii="Calibri Light" w:eastAsia="黑体" w:hAnsi="Calibri Light" w:cs="仿宋"/>
      <w:b w:val="0"/>
    </w:rPr>
  </w:style>
  <w:style w:type="paragraph" w:styleId="a5">
    <w:name w:val="List Paragraph"/>
    <w:basedOn w:val="a"/>
    <w:uiPriority w:val="99"/>
    <w:qFormat/>
    <w:rsid w:val="00BA618F"/>
    <w:pPr>
      <w:spacing w:line="365" w:lineRule="atLeast"/>
      <w:ind w:left="1" w:firstLineChars="200" w:firstLine="420"/>
      <w:textAlignment w:val="bottom"/>
    </w:pPr>
    <w:rPr>
      <w:sz w:val="20"/>
      <w:szCs w:val="22"/>
    </w:rPr>
  </w:style>
  <w:style w:type="character" w:customStyle="1" w:styleId="2Char">
    <w:name w:val="标题 2 Char"/>
    <w:basedOn w:val="a0"/>
    <w:link w:val="2"/>
    <w:uiPriority w:val="9"/>
    <w:semiHidden/>
    <w:rsid w:val="00BA618F"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paragraph" w:styleId="a6">
    <w:name w:val="Balloon Text"/>
    <w:basedOn w:val="a"/>
    <w:link w:val="Char0"/>
    <w:uiPriority w:val="99"/>
    <w:semiHidden/>
    <w:unhideWhenUsed/>
    <w:rsid w:val="00F83B4F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F83B4F"/>
    <w:rPr>
      <w:rFonts w:ascii="仿宋" w:eastAsia="仿宋" w:hAnsi="仿宋" w:cs="仿宋"/>
      <w:color w:val="000000"/>
      <w:kern w:val="0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D64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D64AA3"/>
    <w:rPr>
      <w:rFonts w:ascii="仿宋" w:eastAsia="仿宋" w:hAnsi="仿宋" w:cs="仿宋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A618F"/>
    <w:pPr>
      <w:spacing w:line="240" w:lineRule="exact"/>
    </w:pPr>
    <w:rPr>
      <w:rFonts w:ascii="仿宋" w:eastAsia="仿宋" w:hAnsi="仿宋" w:cs="仿宋"/>
      <w:color w:val="000000"/>
      <w:kern w:val="0"/>
      <w:sz w:val="13"/>
      <w:szCs w:val="13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618F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rsid w:val="00BA618F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BA618F"/>
    <w:rPr>
      <w:rFonts w:ascii="仿宋" w:eastAsia="仿宋" w:hAnsi="仿宋" w:cs="仿宋"/>
      <w:color w:val="000000"/>
      <w:kern w:val="0"/>
      <w:sz w:val="18"/>
      <w:szCs w:val="13"/>
    </w:rPr>
  </w:style>
  <w:style w:type="paragraph" w:styleId="a4">
    <w:name w:val="Normal (Web)"/>
    <w:basedOn w:val="a"/>
    <w:autoRedefine/>
    <w:uiPriority w:val="99"/>
    <w:qFormat/>
    <w:rsid w:val="00F83B4F"/>
    <w:pPr>
      <w:spacing w:beforeAutospacing="1" w:afterAutospacing="1"/>
      <w:ind w:firstLineChars="100" w:firstLine="240"/>
    </w:pPr>
    <w:rPr>
      <w:sz w:val="24"/>
      <w:shd w:val="clear" w:color="auto" w:fill="FFFFFF"/>
    </w:rPr>
  </w:style>
  <w:style w:type="paragraph" w:customStyle="1" w:styleId="1">
    <w:name w:val="标题1"/>
    <w:basedOn w:val="2"/>
    <w:autoRedefine/>
    <w:qFormat/>
    <w:rsid w:val="00BA618F"/>
    <w:pPr>
      <w:spacing w:before="0" w:after="0" w:line="560" w:lineRule="exact"/>
      <w:ind w:firstLineChars="200" w:firstLine="200"/>
    </w:pPr>
    <w:rPr>
      <w:rFonts w:ascii="Calibri Light" w:eastAsia="黑体" w:hAnsi="Calibri Light" w:cs="仿宋"/>
      <w:b w:val="0"/>
    </w:rPr>
  </w:style>
  <w:style w:type="paragraph" w:styleId="a5">
    <w:name w:val="List Paragraph"/>
    <w:basedOn w:val="a"/>
    <w:uiPriority w:val="99"/>
    <w:qFormat/>
    <w:rsid w:val="00BA618F"/>
    <w:pPr>
      <w:spacing w:line="365" w:lineRule="atLeast"/>
      <w:ind w:left="1" w:firstLineChars="200" w:firstLine="420"/>
      <w:textAlignment w:val="bottom"/>
    </w:pPr>
    <w:rPr>
      <w:sz w:val="20"/>
      <w:szCs w:val="22"/>
    </w:rPr>
  </w:style>
  <w:style w:type="character" w:customStyle="1" w:styleId="2Char">
    <w:name w:val="标题 2 Char"/>
    <w:basedOn w:val="a0"/>
    <w:link w:val="2"/>
    <w:uiPriority w:val="9"/>
    <w:semiHidden/>
    <w:rsid w:val="00BA618F"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paragraph" w:styleId="a6">
    <w:name w:val="Balloon Text"/>
    <w:basedOn w:val="a"/>
    <w:link w:val="Char0"/>
    <w:uiPriority w:val="99"/>
    <w:semiHidden/>
    <w:unhideWhenUsed/>
    <w:rsid w:val="00F83B4F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F83B4F"/>
    <w:rPr>
      <w:rFonts w:ascii="仿宋" w:eastAsia="仿宋" w:hAnsi="仿宋" w:cs="仿宋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haoji</dc:creator>
  <cp:keywords/>
  <dc:description/>
  <cp:lastModifiedBy>PC</cp:lastModifiedBy>
  <cp:revision>3</cp:revision>
  <cp:lastPrinted>2025-05-13T01:48:00Z</cp:lastPrinted>
  <dcterms:created xsi:type="dcterms:W3CDTF">2025-03-31T22:37:00Z</dcterms:created>
  <dcterms:modified xsi:type="dcterms:W3CDTF">2025-09-09T08:33:00Z</dcterms:modified>
</cp:coreProperties>
</file>