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F4" w:rsidRDefault="00EB7EF4" w:rsidP="00EB7EF4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2024年度</w:t>
      </w:r>
    </w:p>
    <w:p w:rsidR="00EB7EF4" w:rsidRDefault="00EB7EF4" w:rsidP="00EB7EF4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辰溪县工商联部门整体支出</w:t>
      </w:r>
    </w:p>
    <w:p w:rsidR="00EB7EF4" w:rsidRDefault="00EB7EF4" w:rsidP="00EB7EF4">
      <w:pPr>
        <w:widowControl/>
        <w:spacing w:line="640" w:lineRule="exact"/>
        <w:jc w:val="center"/>
        <w:rPr>
          <w:rFonts w:ascii="黑体" w:eastAsia="黑体" w:hAnsi="黑体" w:cs="黑体"/>
          <w:bCs/>
          <w:sz w:val="44"/>
        </w:rPr>
      </w:pPr>
      <w:r>
        <w:rPr>
          <w:rFonts w:ascii="黑体" w:eastAsia="黑体" w:hAnsi="黑体" w:cs="黑体" w:hint="eastAsia"/>
          <w:bCs/>
          <w:sz w:val="44"/>
        </w:rPr>
        <w:t>绩效自评报告</w:t>
      </w: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rFonts w:hint="eastAsia"/>
          <w:sz w:val="24"/>
        </w:rPr>
      </w:pPr>
    </w:p>
    <w:p w:rsidR="00EB7EF4" w:rsidRDefault="00EB7EF4" w:rsidP="00EB7EF4">
      <w:pPr>
        <w:spacing w:line="600" w:lineRule="exact"/>
        <w:jc w:val="center"/>
        <w:rPr>
          <w:rFonts w:hint="eastAsia"/>
          <w:sz w:val="24"/>
        </w:rPr>
      </w:pPr>
    </w:p>
    <w:p w:rsidR="00EB7EF4" w:rsidRDefault="00EB7EF4" w:rsidP="00EB7EF4">
      <w:pPr>
        <w:spacing w:line="600" w:lineRule="exact"/>
        <w:jc w:val="center"/>
        <w:rPr>
          <w:rFonts w:hint="eastAsia"/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24"/>
        </w:rPr>
      </w:pPr>
    </w:p>
    <w:p w:rsidR="00EB7EF4" w:rsidRDefault="00EB7EF4" w:rsidP="00EB7EF4">
      <w:pPr>
        <w:spacing w:line="600" w:lineRule="exact"/>
        <w:rPr>
          <w:sz w:val="24"/>
        </w:rPr>
      </w:pPr>
    </w:p>
    <w:p w:rsidR="00EB7EF4" w:rsidRDefault="00EB7EF4" w:rsidP="00EB7EF4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部门（单位）名称：辰溪县工商联</w:t>
      </w:r>
    </w:p>
    <w:p w:rsidR="00EB7EF4" w:rsidRDefault="00EB7EF4" w:rsidP="00EB7EF4">
      <w:pPr>
        <w:spacing w:line="6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5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10</w:t>
      </w:r>
      <w:r>
        <w:rPr>
          <w:rFonts w:hint="eastAsia"/>
          <w:sz w:val="32"/>
          <w:szCs w:val="32"/>
        </w:rPr>
        <w:t>日</w:t>
      </w:r>
    </w:p>
    <w:p w:rsidR="00EB7EF4" w:rsidRDefault="00EB7EF4" w:rsidP="00EB7EF4"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 w:rsidR="00EB7EF4" w:rsidRDefault="00EB7EF4" w:rsidP="00EB7EF4">
      <w:pPr>
        <w:spacing w:line="600" w:lineRule="exact"/>
        <w:jc w:val="center"/>
        <w:rPr>
          <w:rFonts w:eastAsia="方正小标宋_GBK" w:hint="eastAsia"/>
          <w:sz w:val="36"/>
          <w:szCs w:val="36"/>
        </w:rPr>
      </w:pPr>
    </w:p>
    <w:p w:rsidR="00EB7EF4" w:rsidRDefault="00EB7EF4" w:rsidP="00EB7EF4">
      <w:pPr>
        <w:spacing w:line="600" w:lineRule="exact"/>
        <w:jc w:val="center"/>
        <w:rPr>
          <w:rFonts w:eastAsia="方正小标宋_GBK" w:hint="eastAsia"/>
          <w:sz w:val="36"/>
          <w:szCs w:val="36"/>
        </w:rPr>
      </w:pPr>
    </w:p>
    <w:p w:rsidR="00EB7EF4" w:rsidRDefault="00EB7EF4" w:rsidP="00EB7EF4"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 w:rsidR="00EB7EF4" w:rsidRDefault="00EB7EF4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国标黑体" w:eastAsia="国标黑体" w:hAnsi="国标黑体" w:cs="国标黑体" w:hint="eastAsia"/>
          <w:color w:val="000000"/>
          <w:sz w:val="44"/>
          <w:szCs w:val="44"/>
          <w:shd w:val="clear" w:color="auto" w:fill="FFFFFF"/>
        </w:rPr>
      </w:pP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国标黑体" w:eastAsia="国标黑体" w:hAnsi="国标黑体" w:cs="国标黑体"/>
          <w:color w:val="000000"/>
          <w:sz w:val="44"/>
          <w:szCs w:val="44"/>
          <w:shd w:val="clear" w:color="auto" w:fill="FFFFFF"/>
        </w:rPr>
      </w:pPr>
      <w:r>
        <w:rPr>
          <w:rFonts w:ascii="国标黑体" w:eastAsia="国标黑体" w:hAnsi="国标黑体" w:cs="国标黑体" w:hint="eastAsia"/>
          <w:color w:val="000000"/>
          <w:sz w:val="44"/>
          <w:szCs w:val="44"/>
          <w:shd w:val="clear" w:color="auto" w:fill="FFFFFF"/>
        </w:rPr>
        <w:t>辰溪县工商联部门整体支出绩效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国标黑体" w:eastAsia="国标黑体" w:hAnsi="国标黑体" w:cs="国标黑体"/>
          <w:color w:val="000000"/>
          <w:sz w:val="44"/>
          <w:szCs w:val="44"/>
        </w:rPr>
      </w:pPr>
      <w:r>
        <w:rPr>
          <w:rFonts w:ascii="国标黑体" w:eastAsia="国标黑体" w:hAnsi="国标黑体" w:cs="国标黑体" w:hint="eastAsia"/>
          <w:color w:val="000000"/>
          <w:sz w:val="44"/>
          <w:szCs w:val="44"/>
          <w:shd w:val="clear" w:color="auto" w:fill="FFFFFF"/>
        </w:rPr>
        <w:t>自评报告</w:t>
      </w:r>
    </w:p>
    <w:p w:rsidR="008A4956" w:rsidRDefault="008A495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国标黑体" w:eastAsia="国标黑体" w:hAnsi="国标黑体" w:cs="国标黑体"/>
          <w:color w:val="000000"/>
          <w:sz w:val="44"/>
          <w:szCs w:val="44"/>
        </w:rPr>
      </w:pPr>
    </w:p>
    <w:p w:rsidR="008A4956" w:rsidRDefault="008A4956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jc w:val="center"/>
        <w:rPr>
          <w:rFonts w:ascii="方正仿宋_GBK" w:eastAsia="方正仿宋_GBK" w:hAnsi="方正仿宋_GBK" w:cs="方正仿宋_GBK"/>
          <w:color w:val="000000"/>
        </w:rPr>
      </w:pP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2"/>
        <w:rPr>
          <w:rFonts w:ascii="国标宋体" w:eastAsia="国标宋体" w:hAnsi="国标宋体" w:cs="国标宋体"/>
          <w:b/>
          <w:bCs/>
          <w:color w:val="000000"/>
          <w:sz w:val="28"/>
          <w:szCs w:val="28"/>
        </w:rPr>
      </w:pPr>
      <w:r>
        <w:rPr>
          <w:rFonts w:ascii="国标宋体" w:eastAsia="国标宋体" w:hAnsi="国标宋体" w:cs="国标宋体" w:hint="eastAsia"/>
          <w:b/>
          <w:bCs/>
          <w:color w:val="000000"/>
          <w:sz w:val="28"/>
          <w:szCs w:val="28"/>
          <w:shd w:val="clear" w:color="auto" w:fill="FFFFFF"/>
        </w:rPr>
        <w:t>一、部门、单位基本情况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shd w:val="clear" w:color="auto" w:fill="FFFFFF"/>
        </w:rPr>
        <w:t>（一）机构设置情况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工商联属全额拨款行政机关,是一级部门预算单位，根据编制部门机构改革批复方案下设一个二级机构机构：民营经济服务中心，内设科室为：办公室，会员部</w:t>
      </w:r>
    </w:p>
    <w:p w:rsidR="008A4956" w:rsidRDefault="00FA1EA7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shd w:val="clear" w:color="auto" w:fill="FFFFFF"/>
        </w:rPr>
        <w:t>人员编制情况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color w:val="00000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截止2024年底,工商联2024年末核定人员编制10人，行政编制4人，事业编制6人,属全额拨款9人,退休5人。其中在职9人（副处1人，正科1人，副科2人，事业编5人）</w:t>
      </w:r>
    </w:p>
    <w:p w:rsidR="008A4956" w:rsidRDefault="00FA1EA7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beforeAutospacing="0" w:afterAutospacing="0" w:line="520" w:lineRule="exact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shd w:val="clear" w:color="auto" w:fill="FFFFFF"/>
        </w:rPr>
        <w:t>主要职能职责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单位主要工作职责：信任、团结、服务、引导、教育非公有制经济人士爱国、敬业、诚信、守法、贡献，培养拥护党的领导、走中国特色社会主义道路的非公有制经济人士队伍。开展“湘商回归”及招商引资联络工作。做好非公有制经济代表人士政治安排的推荐工作。参与政治协商，发挥民主监督作用，积极参政议政。建立健全县级领导联系企业制度，落实“四个一”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绩效目标设定情况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1：按照章程召开工商联执委会                                           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2：营商环境主体评价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3：深入开展招商引资及“引老乡、回故乡、建家乡”活动，力争年内引进企业 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4： 按时发放原老工商业者生活补助及春节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5：深入开展“万企兴万村　”帮扶活动</w:t>
      </w:r>
    </w:p>
    <w:p w:rsidR="008A4956" w:rsidRDefault="00FA1EA7">
      <w:pPr>
        <w:snapToGrid w:val="0"/>
        <w:spacing w:line="520" w:lineRule="exact"/>
        <w:ind w:firstLineChars="200" w:firstLine="560"/>
        <w:rPr>
          <w:rFonts w:ascii="方正仿宋_GBK" w:eastAsia="方正仿宋_GBK" w:hAnsi="方正仿宋_GBK" w:cs="方正仿宋_GBK"/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kern w:val="0"/>
          <w:sz w:val="28"/>
          <w:szCs w:val="28"/>
          <w:shd w:val="clear" w:color="auto" w:fill="FFFFFF"/>
        </w:rPr>
        <w:t>二、部门整体支出管理及使用情况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/>
          <w:sz w:val="28"/>
          <w:szCs w:val="28"/>
          <w:shd w:val="clear" w:color="auto" w:fill="FFFFFF"/>
        </w:rPr>
        <w:t>（一）预算执行、使用、管理总体情况。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2024年度共取得收入合计229.51万元，其中：财政拨款收入229.51万元，占100%；事业收入 0 万元，占0%；经营收入 0 万元， 占0%；其他收入0 万元，占0%。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2024年度共发生支出229.51万元 ，其中：基本支出229.51万元，占100% ；项目支出 0万元，占0 %；经营支出0万元，占0%。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2024年度共发生财政拨款支出229.51万元，其中基本支出229.51万元，占支出的 100 %；项目支出 0 万元，占支出的 0 %。 主要用于以下方面： 一般公共服务（类） 支出229.51万元，占100%。其中：工资福利支出165.94万元，商品和服务支出58.48万元，对个人和家庭的补助支出3.44万元，其他资本性支出1.65万元。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（二）部门预算执行情况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1、基本支出情况</w:t>
      </w:r>
    </w:p>
    <w:p w:rsidR="008A4956" w:rsidRDefault="00FA1EA7">
      <w:pPr>
        <w:pStyle w:val="a3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基本支出的范围和主要用途具体包括：基本支出229.51万元（其中人员经费支出169.38万元，公用经费支出60.13万元）。本年基本支出决算收入数229.51万元，决算支出数229.51万元，年底收支保持平衡。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2、项目支出情况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2024年度决算无项目支出资金情况。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（三）"三公"经费使用和管理情况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2024年“三公”经费决算数为3.7万元，其中，公务接待费3.7万元，公务用车购置及运行费0万元（公务用车运行0万元、公务用车购置0万元），因公出国（境）费0万元。2024年“三公”经费决算较上年决算数增加1.2万元，主要原因是本单位招商引资经费增加。</w:t>
      </w:r>
    </w:p>
    <w:p w:rsidR="008A4956" w:rsidRDefault="00FA1EA7">
      <w:pPr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三、政府性基金预算支出情况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2024年度决算无政府性基金预算支出资金情况。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四、国有资本经营预算支出情况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截至2024年12月31日，我部门资产总额8.35万元，其中：流动资产0万元，固定资产净值8.35万元。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2024年度，我部门配置固定资产8.35万元，从资产类别分析，配置设备3.14万元，占0%；配置家具、用具、装具及动植物5.21万元，占100%。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截至2024年12月31日，我部门自用固定资产8.35万元，占账面固定资产总额的100.00%，其中: 在用8.35万元，占账面固定资产总额的100.00%。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2024年度，我部门处置资产 4.22万元。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五、社会保险基金预算支出情况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2024年度决算无社会保险基金预算支出资金情况。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六、部门整体支出绩效情况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（一）综合评价结论。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结合工作实际情况，根据《2024年部门整体支出绩效自评表》考核结果，该整体支出资金使用效率高，质量强，整体自评结果“优”。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《2024年部门整体支出绩效自评表》及《2024年辰溪县工商联部门整体支出绩效自评报告》拟向县人大报送，并在县人民政府门户网站进行公开。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（二）评价指标分析（或综合评价情况）。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2024年部门整体年初预算绩效目标：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1：按照章程召开工商联执委会                                           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2：营商环境主体评价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3：深入开展招商引资及“引老乡、回故乡、建家乡”活动，力争年内引进企业 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4： 按时发放原老工商业者生活补助及春节慰问费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部门整体绩效实际完成情况：实现了本部门正常运转，各职能部门正常履职，县工商联始终以主人翁姿态，积极打造政企沟通的桥梁、联谊交友的平台、对外交流的窗口，做实"引进来"和"走出去"结合文章，扎实推进"湘商回归"工程，深入实施"招商引资年"活动，大力开展"迎老乡、回故乡、建家乡"行动，积极组织民营企业参加第十一届全球湘商大会，多次与商务局等部门到上海、广东、浙江、贵州、重庆等地拜访企业50余家，引进项目13个，签约项目10个，计划总投资48.9亿元。深入开展"万企兴万村"助力乡村振兴行动。县工商联在做好联点帮扶修溪镇椒坪溪村的同时，积极引导民营企业融入乡村振兴，深化产业合作的深度和广度，建立完善企业与农户之间的利益联结机制，不断畅通产业链、利益链、价值链，提高产业的市场竞争力和抗风险能力。精心组织深圳辰溪商会、长沙辰溪商会举办"乡村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振兴、你我同行"黄桃节活动，取得了良好的经济社会效益。优化服务举措赋能民营企业发展。持续提升服务效能，助力优化营商环境，深入开展"春暖湘商"、"怀化企业家日""送政策解难题优服务"等一系列活动，编印发放惠企政策小册子280余份，走访企业会员86家，收集意见建议120余条，帮助企业联系相关部门解决问题47条。积极搭建银企对接交流平台，助力民营企业纾困解难，县委、县政府多次召开银企工作座谈会，着力解决融资难、融资贵的问题，助力民营企业纾困解难，进一步激发民营企业健康发展原动力。按时对原老工商业者发放生活补助及春节慰问费，指导全县个体商户对营商环境主体评价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1、成本指标完成情况分析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（1）经济成本指标。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2024年部门预算基本支出，实际完成值229.51万元，预算成本控制率100%，未超预算支出。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(2)社会成本指标。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社会成本节约率不适用。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（3）生态环境成本指标。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生态环境成本节约率不适用。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2、产出指标完成情况分析。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（1）数量指标。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2024年财政供养人员控制率，实际完成值100%；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发放原老工商业者补助及春节慰问人数为7人，招开工商联执常委会1次，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（2）质量指标。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2024年政府采购执行率、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政府采购执行率、资金使用合规率、完成质量指标率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均已符合部门整体支出标准率达100%。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（3）时效指标。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2024年12月31号前按要求落实，完成及时性达100%。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3、效益指标完成情况分析。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（1）经济效益。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招商引资带动全县经济增长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（2）社会效益。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改善困难群众生活，维护社会稳定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（3）生态效益。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实现民营企业绿色生产环境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（4）可持续影响。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企业经济持续发展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4、满意度指标完成情况分析。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服务对象满意度为97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b/>
          <w:bCs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b/>
          <w:bCs/>
          <w:sz w:val="28"/>
          <w:szCs w:val="28"/>
        </w:rPr>
        <w:t>七、存在的问题及原因分析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1、绩效评价管理制度尚不健全。办公室还尚未制定相关的管理办法和实施细则，无与实际相结合并具有指导意义的绩效管理工作机制和流程，绩效评价开展缺乏强有力的制度保障。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2、绩效评价指标体系还不够完善、合理。财政支出的评价对象涉及行业多，项目之间差异性大，真正能体现项目效果的个性指标，在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标准设计上存在难度，导致评价内容不够全面，评价数据采集缺少充分的调查分析和严密的逻辑关系，难以满足不同层面和不同性质的绩效评价需求。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3、对绩效评价工作的认识不够。单位对财务绩效不重视，认为绩效评价只是财务部门的事情，相关项目职责部门配合不够，往往只能提供有限的财经资料或简单的工作计划、工作总结，绩效评价工作资料非常有限，内容粗浅。大多数时候只能借用工作计划，工作总结等做为绩效自评报告的主要内容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4、人员素质有待进一步提高。由于预算绩效管理工作开展时间短，涉及面广，专业性强，加上缺乏系统的培训，单位对预算绩效管理理解不充分，对预算绩效管理业务不精通，在一定程度上影响了绩效评价工作质量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八、下一步改进措施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加大财务绩效评价工作的宣传和培训力度。</w:t>
      </w:r>
    </w:p>
    <w:p w:rsidR="008A4956" w:rsidRDefault="00FA1EA7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九、其他需要说明的情况</w:t>
      </w:r>
    </w:p>
    <w:p w:rsidR="00290F29" w:rsidRDefault="00290F29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290F29" w:rsidRDefault="00290F29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290F29" w:rsidRDefault="00290F29">
      <w:pPr>
        <w:ind w:firstLineChars="200" w:firstLine="560"/>
        <w:rPr>
          <w:rFonts w:ascii="方正仿宋_GBK" w:eastAsia="方正仿宋_GBK" w:hAnsi="方正仿宋_GBK" w:cs="方正仿宋_GBK"/>
          <w:sz w:val="28"/>
          <w:szCs w:val="28"/>
        </w:rPr>
      </w:pPr>
    </w:p>
    <w:p w:rsidR="00290F29" w:rsidRDefault="00290F29" w:rsidP="00290F29">
      <w:pPr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辰溪县工商业联合会</w:t>
      </w:r>
    </w:p>
    <w:p w:rsidR="00290F29" w:rsidRDefault="00290F29" w:rsidP="00290F29">
      <w:pPr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/>
          <w:sz w:val="28"/>
          <w:szCs w:val="28"/>
        </w:rPr>
        <w:t>2025年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5</w:t>
      </w:r>
      <w:r>
        <w:rPr>
          <w:rFonts w:ascii="方正仿宋_GBK" w:eastAsia="方正仿宋_GBK" w:hAnsi="方正仿宋_GBK" w:cs="方正仿宋_GBK"/>
          <w:sz w:val="28"/>
          <w:szCs w:val="28"/>
        </w:rPr>
        <w:t>月10日</w:t>
      </w:r>
    </w:p>
    <w:p w:rsidR="008A4956" w:rsidRDefault="008A4956"/>
    <w:p w:rsidR="008A4956" w:rsidRDefault="008A4956"/>
    <w:p w:rsidR="008A4956" w:rsidRDefault="008A4956"/>
    <w:p w:rsidR="008A4956" w:rsidRDefault="008A4956"/>
    <w:p w:rsidR="008A4956" w:rsidRDefault="008A4956"/>
    <w:p w:rsidR="008A4956" w:rsidRDefault="008A4956"/>
    <w:sectPr w:rsidR="008A4956" w:rsidSect="008A4956">
      <w:pgSz w:w="11906" w:h="16838"/>
      <w:pgMar w:top="1531" w:right="1800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80F" w:rsidRDefault="001E280F" w:rsidP="00D85905">
      <w:r>
        <w:separator/>
      </w:r>
    </w:p>
  </w:endnote>
  <w:endnote w:type="continuationSeparator" w:id="1">
    <w:p w:rsidR="001E280F" w:rsidRDefault="001E280F" w:rsidP="00D8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00"/>
    <w:family w:val="auto"/>
    <w:pitch w:val="default"/>
    <w:sig w:usb0="00000000" w:usb1="0000000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国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国标宋体">
    <w:altName w:val="宋体"/>
    <w:charset w:val="86"/>
    <w:family w:val="auto"/>
    <w:pitch w:val="default"/>
    <w:sig w:usb0="00000000" w:usb1="00000000" w:usb2="00000000" w:usb3="00000000" w:csb0="000600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80F" w:rsidRDefault="001E280F" w:rsidP="00D85905">
      <w:r>
        <w:separator/>
      </w:r>
    </w:p>
  </w:footnote>
  <w:footnote w:type="continuationSeparator" w:id="1">
    <w:p w:rsidR="001E280F" w:rsidRDefault="001E280F" w:rsidP="00D85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1FA31"/>
    <w:multiLevelType w:val="singleLevel"/>
    <w:tmpl w:val="FF71FA31"/>
    <w:lvl w:ilvl="0">
      <w:start w:val="2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956"/>
    <w:rsid w:val="001E280F"/>
    <w:rsid w:val="00290F29"/>
    <w:rsid w:val="008A4956"/>
    <w:rsid w:val="00AA44B1"/>
    <w:rsid w:val="00D85905"/>
    <w:rsid w:val="00EB7EF4"/>
    <w:rsid w:val="00FA1EA7"/>
    <w:rsid w:val="124A60E3"/>
    <w:rsid w:val="1DFD690C"/>
    <w:rsid w:val="37E0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95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A4956"/>
    <w:pPr>
      <w:keepNext/>
      <w:keepLines/>
      <w:spacing w:line="560" w:lineRule="exact"/>
      <w:ind w:firstLineChars="200" w:firstLine="200"/>
      <w:outlineLvl w:val="1"/>
    </w:pPr>
    <w:rPr>
      <w:rFonts w:ascii="Calibri Light" w:eastAsia="楷体_GB2312" w:hAnsi="Calibri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A4956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标题1"/>
    <w:basedOn w:val="2"/>
    <w:qFormat/>
    <w:rsid w:val="008A4956"/>
    <w:rPr>
      <w:rFonts w:eastAsia="黑体"/>
    </w:rPr>
  </w:style>
  <w:style w:type="paragraph" w:styleId="a4">
    <w:name w:val="header"/>
    <w:basedOn w:val="a"/>
    <w:link w:val="Char"/>
    <w:rsid w:val="00D85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5905"/>
    <w:rPr>
      <w:kern w:val="2"/>
      <w:sz w:val="18"/>
      <w:szCs w:val="18"/>
    </w:rPr>
  </w:style>
  <w:style w:type="paragraph" w:styleId="a5">
    <w:name w:val="footer"/>
    <w:basedOn w:val="a"/>
    <w:link w:val="Char0"/>
    <w:rsid w:val="00D85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859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528</Words>
  <Characters>3014</Characters>
  <Application>Microsoft Office Word</Application>
  <DocSecurity>0</DocSecurity>
  <Lines>25</Lines>
  <Paragraphs>7</Paragraphs>
  <ScaleCrop>false</ScaleCrop>
  <Company>Microsoft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gsl</cp:lastModifiedBy>
  <cp:revision>4</cp:revision>
  <dcterms:created xsi:type="dcterms:W3CDTF">2025-09-09T18:07:00Z</dcterms:created>
  <dcterms:modified xsi:type="dcterms:W3CDTF">2025-09-09T18:16:00Z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eyJoZGlkIjoiYTgxMmNkMmI5ZGRjMjM1NWY0MTJlY2NmYjAwOWUyYjMiLCJ1c2VySWQiOiI1NTM1MjQxNDcifQ==</vt:lpwstr>
  </property>
  <property fmtid="{D5CDD505-2E9C-101B-9397-08002B2CF9AE}" pid="4" name="ICV">
    <vt:lpwstr>53E2FC00B7D846ECAF4CE6864FDCB1FC_12</vt:lpwstr>
  </property>
</Properties>
</file>