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81722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部门整体支出绩效自评报告</w:t>
      </w:r>
    </w:p>
    <w:p w14:paraId="18CF91B3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79D0DE50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一、部门、单位基本情况</w:t>
      </w:r>
    </w:p>
    <w:p w14:paraId="5D038A4D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（一）机构设置情况</w:t>
      </w:r>
    </w:p>
    <w:p w14:paraId="63542211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辰溪县罗子山瑶族乡学校</w:t>
      </w:r>
      <w:r>
        <w:rPr>
          <w:rFonts w:hint="eastAsia" w:ascii="仿宋" w:hAnsi="仿宋" w:eastAsia="仿宋" w:cs="仿宋"/>
          <w:sz w:val="30"/>
          <w:szCs w:val="30"/>
        </w:rPr>
        <w:t>单位内设机构包括：内设机构3个，分别为办公室、总务处、财务室。</w:t>
      </w:r>
    </w:p>
    <w:p w14:paraId="532FE998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 w:firstLine="0" w:firstLineChars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_GB2312" w:eastAsia="楷体_GB2312" w:cs="楷体_GB2312" w:hAnsiTheme="minorHAnsi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</w:t>
      </w: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人员编制情况</w:t>
      </w:r>
    </w:p>
    <w:p w14:paraId="332C83F9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辰溪县罗子山瑶族乡学校</w:t>
      </w:r>
      <w:r>
        <w:rPr>
          <w:rFonts w:hint="eastAsia" w:ascii="仿宋" w:hAnsi="仿宋" w:eastAsia="仿宋" w:cs="仿宋"/>
          <w:sz w:val="30"/>
          <w:szCs w:val="30"/>
        </w:rPr>
        <w:t>单位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实有人数30人，编制数30人。</w:t>
      </w:r>
    </w:p>
    <w:p w14:paraId="3C02645B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 w:firstLine="0" w:firstLineChars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_GB2312" w:eastAsia="楷体_GB2312" w:cs="楷体_GB2312" w:hAnsiTheme="minorHAnsi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</w:t>
      </w: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主要职能职责</w:t>
      </w:r>
    </w:p>
    <w:p w14:paraId="09AB364D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实施农村中小学教育，促进基础教育发展。拟定财务预算目标、政策，制定财务预算管理的具体措施和办法，组织、指导学校各项经费预算编制工作，提出学年度预算进行修正、调整，正式编制学校学年度财务预算草案，提交学校审定，组织下达财务预算，协调解决财务预算编制和执行中的问题，组织审计、考核财务预算的执行情况。</w:t>
      </w:r>
    </w:p>
    <w:p w14:paraId="6C862693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 w:firstLine="0" w:firstLineChars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_GB2312" w:eastAsia="楷体_GB2312" w:cs="楷体_GB2312" w:hAnsiTheme="minorHAnsi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（四）</w:t>
      </w: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绩效目标设定情况</w:t>
      </w:r>
    </w:p>
    <w:p w14:paraId="6D40A00E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1.抓好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学前</w:t>
      </w:r>
      <w:r>
        <w:rPr>
          <w:rFonts w:hint="eastAsia" w:ascii="仿宋" w:hAnsi="仿宋" w:eastAsia="仿宋" w:cs="仿宋"/>
          <w:sz w:val="30"/>
          <w:szCs w:val="30"/>
        </w:rPr>
        <w:t>教育工作，不断提高教育质量；2.抓好教师队伍建设，打造德才兼备的教师队伍；3.开展各项教研活动，持续提高教学质量；4.加强对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幼儿</w:t>
      </w:r>
      <w:r>
        <w:rPr>
          <w:rFonts w:hint="eastAsia" w:ascii="仿宋" w:hAnsi="仿宋" w:eastAsia="仿宋" w:cs="仿宋"/>
          <w:sz w:val="30"/>
          <w:szCs w:val="30"/>
        </w:rPr>
        <w:t>的思想品德教育，使幼儿的德智体全面发展；5.全方位保障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园区</w:t>
      </w:r>
      <w:r>
        <w:rPr>
          <w:rFonts w:hint="eastAsia" w:ascii="仿宋" w:hAnsi="仿宋" w:eastAsia="仿宋" w:cs="仿宋"/>
          <w:sz w:val="30"/>
          <w:szCs w:val="30"/>
        </w:rPr>
        <w:t>安全；6.做好后勤保障工作；7.关爱教职员工，组织开展工会活动；8.从严治党，夯实基层党建工作；9.完成上级部门交给的其他工作。</w:t>
      </w:r>
    </w:p>
    <w:p w14:paraId="59C39BB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二、部门整体支出管理及使用情况</w:t>
      </w:r>
    </w:p>
    <w:p w14:paraId="30D117A2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</w:t>
      </w:r>
      <w:r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预算执行、使用、管理总体情况。</w:t>
      </w:r>
    </w:p>
    <w:p w14:paraId="6C2D762C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我单位年初预算529.19万元，全年预算498.39万元，全年实际执行498.39万元，预算执行率100%。</w:t>
      </w:r>
    </w:p>
    <w:p w14:paraId="269BDCE9">
      <w:pPr>
        <w:widowControl/>
        <w:numPr>
          <w:ilvl w:val="0"/>
          <w:numId w:val="0"/>
        </w:numPr>
        <w:snapToGrid w:val="0"/>
        <w:spacing w:line="540" w:lineRule="exact"/>
        <w:ind w:firstLine="640" w:firstLineChars="200"/>
        <w:jc w:val="both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2024年部门整体支出使用方向包括：小学教育461.83万元、初中教育36.56万元。</w:t>
      </w:r>
    </w:p>
    <w:p w14:paraId="2C8D2711">
      <w:pPr>
        <w:widowControl/>
        <w:numPr>
          <w:ilvl w:val="0"/>
          <w:numId w:val="0"/>
        </w:numPr>
        <w:snapToGrid w:val="0"/>
        <w:spacing w:line="540" w:lineRule="exact"/>
        <w:ind w:firstLine="640" w:firstLineChars="200"/>
        <w:jc w:val="both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2024年部门整体支出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涉及范围包括工资福利支出400.46万元、商品和服务支出53.36万元、对个人和家庭的补助费用36.57万元、资本性支出7.99万元。</w:t>
      </w:r>
    </w:p>
    <w:p w14:paraId="029C5CCB">
      <w:pPr>
        <w:widowControl/>
        <w:snapToGrid w:val="0"/>
        <w:spacing w:line="540" w:lineRule="exact"/>
        <w:ind w:firstLine="640" w:firstLineChars="20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2024年部门整体支出的主要内容：一是保障单位机构正常运转，完成日常工作任务而发生的各项基本支出，包括基本工资、津补贴、社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保、公积金等人员经费，以及办公费、印刷费、培训费等日常公用经费。二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是圆满完成单位的各项主管业务工作。</w:t>
      </w:r>
    </w:p>
    <w:p w14:paraId="48845E16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（二）部门预算执行情况</w:t>
      </w:r>
    </w:p>
    <w:p w14:paraId="467749C9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640" w:right="0" w:firstLine="0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1.基本支出情况</w:t>
      </w:r>
    </w:p>
    <w:p w14:paraId="277B7FCD">
      <w:pPr>
        <w:widowControl/>
        <w:numPr>
          <w:ilvl w:val="0"/>
          <w:numId w:val="0"/>
        </w:numPr>
        <w:snapToGrid w:val="0"/>
        <w:spacing w:line="540" w:lineRule="exact"/>
        <w:ind w:firstLine="640" w:firstLineChars="200"/>
        <w:jc w:val="left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2024年本部门基本支出合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计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498.39万元，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主要是为保障部门正常运转、完成日常工作任务而发生的各项支出，包括工资福利支出，主要用于基本工资、津贴补贴等人员经费；商品和服务支出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，主要用于伙食补助、工会经费等支出；离退休费支出，主要用于退休费、奖励金、医疗费补助等支出；社会福利和救助支出，主要用于抚恤金、奖励金、医疗费补助等支出。</w:t>
      </w:r>
    </w:p>
    <w:p w14:paraId="1A4C8EEE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640" w:leftChars="0" w:right="0" w:rightChars="0" w:firstLine="0" w:firstLineChars="0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仿宋_GB2312" w:eastAsia="仿宋_GB2312" w:cs="仿宋_GB2312" w:hAnsiTheme="minorHAnsi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2.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项目支出情况</w:t>
      </w:r>
    </w:p>
    <w:p w14:paraId="7AE3EF85">
      <w:pPr>
        <w:widowControl/>
        <w:numPr>
          <w:ilvl w:val="0"/>
          <w:numId w:val="0"/>
        </w:numPr>
        <w:snapToGrid w:val="0"/>
        <w:spacing w:line="540" w:lineRule="exact"/>
        <w:ind w:firstLine="640" w:firstLineChars="200"/>
        <w:jc w:val="left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2024年本部门项目支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出0万元，主要是部门为完成特定行政工作任务或事业发展目标而发生的支出。</w:t>
      </w:r>
    </w:p>
    <w:p w14:paraId="047E5E32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 w:firstLine="0" w:firstLineChars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_GB2312" w:eastAsia="楷体_GB2312" w:cs="楷体_GB2312" w:hAnsiTheme="minorHAnsi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</w:t>
      </w: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"三公"经费使用和管理情况</w:t>
      </w:r>
    </w:p>
    <w:p w14:paraId="6598A100">
      <w:pPr>
        <w:widowControl/>
        <w:numPr>
          <w:ilvl w:val="0"/>
          <w:numId w:val="0"/>
        </w:numPr>
        <w:snapToGrid w:val="0"/>
        <w:spacing w:line="540" w:lineRule="exact"/>
        <w:ind w:firstLine="640" w:firstLineChars="200"/>
        <w:jc w:val="left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本单位无“三公”经费预算及相关开支。</w:t>
      </w:r>
    </w:p>
    <w:p w14:paraId="5604B782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 w:firstLine="0" w:firstLine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三、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政府性基金预算支出情况</w:t>
      </w:r>
    </w:p>
    <w:p w14:paraId="6A39530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我单位本年度无政府性基金安排的预算收入与支出，所以无政府性基金预算支出情况表。</w:t>
      </w:r>
    </w:p>
    <w:p w14:paraId="03D289C2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 w:firstLine="0" w:firstLine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四、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国有资本经营预算支出情况</w:t>
      </w:r>
    </w:p>
    <w:p w14:paraId="5B0C1F7C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我单位本年度无国有资本经营安排的预算收入与支出，所以无国有资本经营预算支出情况表。</w:t>
      </w:r>
    </w:p>
    <w:p w14:paraId="76EA3965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 w:firstLine="0" w:firstLine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五、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社会保险基金预算支出情况</w:t>
      </w:r>
    </w:p>
    <w:p w14:paraId="71B4A42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我单位本年度无社会保险基金预算安排的收入与支出，所以无社会保险基金预算支出情况表。</w:t>
      </w:r>
    </w:p>
    <w:p w14:paraId="3C1584B2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六、部门整体支出绩效情况</w:t>
      </w:r>
    </w:p>
    <w:p w14:paraId="2659B5DF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（一）综合评价结论。</w:t>
      </w:r>
    </w:p>
    <w:p w14:paraId="28388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2024年我校整体目标设定：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1.抓好教学教育工作，不断提高教育质量；2.抓好教师队伍建设，打造德才兼备的教师队伍；3.开展各项教研活动，持续提高教学质量；4.加强对学生的思想品德教育，使学生的德智体全面发展；5.全方位保障校园安全；6.做好后勤保障工作；7.关爱教职员工，组织开展工会活动；8.从严治党，夯实基层党建工作；9.完成上级部门交给的其他工作。</w:t>
      </w:r>
    </w:p>
    <w:p w14:paraId="5BBAC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年，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我校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积极履职，强化管理，较好的完成了年度工作目标。通过加强预算收支管理，不断建立健全内部管理制度，梳理内部管理流程，整体支出管理水平得到提升，各项绩效指标均达到了预期效果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自评得分98分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。</w:t>
      </w:r>
    </w:p>
    <w:p w14:paraId="1359B30A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 w:firstLine="0" w:firstLineChars="0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eastAsia="仿宋_GB2312" w:cs="仿宋_GB2312" w:hAnsiTheme="minorHAnsi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</w:t>
      </w: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评价指标分析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 w14:paraId="25903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2024年，我单位积极履职，强化管理，全部按时并高质量完成了目标任务，预算执行率得分10分，产出指标得分40分，效益指标得分20分，成本指标得分20分，满意度指标得分8分，自评分数总分98分，完成绩效目标。</w:t>
      </w:r>
    </w:p>
    <w:p w14:paraId="062A302B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七、存在的问题及原因分析</w:t>
      </w:r>
    </w:p>
    <w:p w14:paraId="54A3AA56">
      <w:pPr>
        <w:widowControl/>
        <w:spacing w:line="540" w:lineRule="exact"/>
        <w:ind w:firstLine="640" w:firstLineChars="200"/>
        <w:jc w:val="left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是预算执行不够均衡。目前，预算支出执行进度不均衡，个别项目支出安排不够准确，部分项目前期准备不够充分；二是部分财政专项资金的使用效益不高。在支出规模扩大、保障范围拓展的情况下，监管力量不足，造成资金使用的效益较低。</w:t>
      </w:r>
    </w:p>
    <w:p w14:paraId="18D1D8FF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 w:firstLine="0" w:firstLine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八、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下一步改进措施</w:t>
      </w:r>
    </w:p>
    <w:p w14:paraId="35024851">
      <w:pPr>
        <w:widowControl/>
        <w:numPr>
          <w:ilvl w:val="0"/>
          <w:numId w:val="0"/>
        </w:numPr>
        <w:spacing w:line="540" w:lineRule="exact"/>
        <w:ind w:firstLine="640" w:firstLineChars="20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落实经费责任，强化资金管理，提高专项资金专款专用意识，规范使用，确保资金安全有效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整合监管力量，创新监管方式，提高财政资金的使用效率</w:t>
      </w:r>
      <w:r>
        <w:rPr>
          <w:rFonts w:hint="eastAsia"/>
          <w:sz w:val="32"/>
          <w:szCs w:val="32"/>
        </w:rPr>
        <w:t>。</w:t>
      </w:r>
    </w:p>
    <w:p w14:paraId="3AECAC3B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九、其他需要说明的情况</w:t>
      </w:r>
    </w:p>
    <w:p w14:paraId="7B76AE6A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无。</w:t>
      </w:r>
    </w:p>
    <w:p w14:paraId="3A48D3BF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7FE440C1">
      <w:pP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  <w:br w:type="page"/>
      </w:r>
    </w:p>
    <w:p w14:paraId="6E331598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drawing>
          <wp:inline distT="0" distB="0" distL="114300" distR="114300">
            <wp:extent cx="5405755" cy="8081010"/>
            <wp:effectExtent l="0" t="0" r="4445" b="1143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5755" cy="808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89D2D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407660" cy="9222105"/>
            <wp:effectExtent l="0" t="0" r="2540" b="1333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7660" cy="922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footerReference r:id="rId3" w:type="default"/>
      <w:pgSz w:w="11906" w:h="16838"/>
      <w:pgMar w:top="2098" w:right="1800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F6C4826-BFA3-4E12-94C1-6B44CE5E108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75F205A-2484-4D1F-8C62-0F8DE9E35A6E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FC707FE-B806-41D9-8DFD-57731047B282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786EAF8-5617-4C5B-8CFD-66B718AED5A8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EE154E43-0A0E-4D2F-94DF-F0DADB736CA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6668D09A-B005-4CD8-AA41-7E788F93C3E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7DF29E19-D33A-4B5C-87B7-EB9813A7E93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B72265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B67EA4">
                          <w:pPr>
                            <w:pStyle w:val="7"/>
                          </w:pP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B67EA4">
                    <w:pPr>
                      <w:pStyle w:val="7"/>
                    </w:pP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  <w:docVar w:name="KSO_WPS_MARK_KEY" w:val="9920a277-c0c3-43b4-93d3-1636fe398e0b"/>
  </w:docVars>
  <w:rsids>
    <w:rsidRoot w:val="753C4E9B"/>
    <w:rsid w:val="046A73C6"/>
    <w:rsid w:val="05E95AA6"/>
    <w:rsid w:val="05EB1B43"/>
    <w:rsid w:val="0C180A78"/>
    <w:rsid w:val="0CAF7D6D"/>
    <w:rsid w:val="0D276746"/>
    <w:rsid w:val="0D464D9C"/>
    <w:rsid w:val="0DD52794"/>
    <w:rsid w:val="0E956870"/>
    <w:rsid w:val="0FDF6E5C"/>
    <w:rsid w:val="10C666A5"/>
    <w:rsid w:val="1223366A"/>
    <w:rsid w:val="143877FD"/>
    <w:rsid w:val="17C820DA"/>
    <w:rsid w:val="192750FD"/>
    <w:rsid w:val="19E805B2"/>
    <w:rsid w:val="1DEC729A"/>
    <w:rsid w:val="22FE234B"/>
    <w:rsid w:val="277E6F02"/>
    <w:rsid w:val="29990575"/>
    <w:rsid w:val="2AF6742D"/>
    <w:rsid w:val="2AFC54DC"/>
    <w:rsid w:val="2E833798"/>
    <w:rsid w:val="312A2265"/>
    <w:rsid w:val="362C0A66"/>
    <w:rsid w:val="36FC0F5D"/>
    <w:rsid w:val="375773F8"/>
    <w:rsid w:val="38CC5315"/>
    <w:rsid w:val="393E32BB"/>
    <w:rsid w:val="3AE84855"/>
    <w:rsid w:val="419B2857"/>
    <w:rsid w:val="41D71DA8"/>
    <w:rsid w:val="45D249F5"/>
    <w:rsid w:val="4C6611ED"/>
    <w:rsid w:val="552A0475"/>
    <w:rsid w:val="578D10CB"/>
    <w:rsid w:val="59015CEE"/>
    <w:rsid w:val="5A5915AC"/>
    <w:rsid w:val="5B6A0418"/>
    <w:rsid w:val="67725701"/>
    <w:rsid w:val="686A3F73"/>
    <w:rsid w:val="6A12486A"/>
    <w:rsid w:val="753C4E9B"/>
    <w:rsid w:val="77CA616D"/>
    <w:rsid w:val="781113A7"/>
    <w:rsid w:val="791E6510"/>
    <w:rsid w:val="7C8D4A41"/>
    <w:rsid w:val="7C90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ind w:firstLine="200" w:firstLineChars="200"/>
      <w:outlineLvl w:val="1"/>
    </w:pPr>
    <w:rPr>
      <w:rFonts w:eastAsia="楷体_GB2312" w:asciiTheme="majorAscii" w:hAnsiTheme="majorAscii" w:cstheme="majorBidi"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basedOn w:val="3"/>
    <w:next w:val="1"/>
    <w:qFormat/>
    <w:uiPriority w:val="99"/>
    <w:rPr>
      <w:rFonts w:ascii="Calibri" w:hAnsi="Calibri"/>
      <w:sz w:val="21"/>
      <w:szCs w:val="21"/>
    </w:rPr>
  </w:style>
  <w:style w:type="paragraph" w:styleId="3">
    <w:name w:val="Body Text First Indent"/>
    <w:basedOn w:val="4"/>
    <w:unhideWhenUsed/>
    <w:qFormat/>
    <w:uiPriority w:val="99"/>
    <w:pPr>
      <w:ind w:firstLine="420" w:firstLineChars="100"/>
    </w:p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paragraph" w:styleId="6">
    <w:name w:val="Body Text Indent"/>
    <w:basedOn w:val="1"/>
    <w:unhideWhenUsed/>
    <w:qFormat/>
    <w:uiPriority w:val="0"/>
    <w:pPr>
      <w:spacing w:beforeLines="0" w:afterLines="0"/>
      <w:ind w:firstLine="640" w:firstLineChars="200"/>
    </w:pPr>
    <w:rPr>
      <w:rFonts w:hint="default"/>
      <w:sz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6"/>
    <w:unhideWhenUsed/>
    <w:qFormat/>
    <w:uiPriority w:val="99"/>
    <w:pPr>
      <w:spacing w:beforeLines="0" w:afterLines="0"/>
      <w:ind w:firstLine="420"/>
    </w:pPr>
    <w:rPr>
      <w:rFonts w:hint="default"/>
      <w:sz w:val="32"/>
    </w:rPr>
  </w:style>
  <w:style w:type="paragraph" w:customStyle="1" w:styleId="13">
    <w:name w:val="标题1"/>
    <w:basedOn w:val="5"/>
    <w:qFormat/>
    <w:uiPriority w:val="0"/>
    <w:rPr>
      <w:rFonts w:eastAsia="黑体"/>
    </w:rPr>
  </w:style>
  <w:style w:type="paragraph" w:customStyle="1" w:styleId="14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1742</Words>
  <Characters>1850</Characters>
  <Lines>0</Lines>
  <Paragraphs>0</Paragraphs>
  <TotalTime>39</TotalTime>
  <ScaleCrop>false</ScaleCrop>
  <LinksUpToDate>false</LinksUpToDate>
  <CharactersWithSpaces>1850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2024-02-22T02:03:00Z</dcterms:created>
  <dc:creator>1402836399</dc:creator>
  <cp:lastModifiedBy>赵奕雯</cp:lastModifiedBy>
  <cp:lastPrinted>2024-02-26T03:24:00Z</cp:lastPrinted>
  <dcterms:modified xsi:type="dcterms:W3CDTF">2025-05-15T06:52:32Z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4B545E2748234224AA7888E0D1AE4147_13</vt:lpwstr>
  </property>
  <property fmtid="{D5CDD505-2E9C-101B-9397-08002B2CF9AE}" pid="4" name="KSOTemplateDocerSaveRecord">
    <vt:lpwstr>eyJoZGlkIjoiOTFmMWZlMjJjOTJkODkwMWFlMzA4ZTA0ZmVhN2VlMGYiLCJ1c2VySWQiOiIxNDM5MTY0OTE3In0=</vt:lpwstr>
  </property>
</Properties>
</file>