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EFE8B">
      <w:pPr>
        <w:rPr>
          <w:rFonts w:ascii="Times New Roman" w:hAnsi="Times New Roman" w:eastAsia="仿宋_GB2312" w:cs="Times New Roman"/>
          <w:sz w:val="36"/>
          <w:szCs w:val="36"/>
        </w:rPr>
      </w:pPr>
      <w:r>
        <w:rPr>
          <w:rFonts w:ascii="Times New Roman" w:hAnsi="Times New Roman" w:eastAsia="仿宋_GB2312" w:cs="Times New Roman"/>
          <w:sz w:val="36"/>
          <w:szCs w:val="36"/>
        </w:rPr>
        <w:t>附件</w:t>
      </w:r>
    </w:p>
    <w:p w14:paraId="748AB205">
      <w:pPr>
        <w:jc w:val="center"/>
        <w:rPr>
          <w:rFonts w:ascii="Times New Roman" w:hAnsi="Times New Roman" w:cs="Times New Roman"/>
          <w:b/>
          <w:sz w:val="36"/>
          <w:szCs w:val="36"/>
        </w:rPr>
      </w:pPr>
    </w:p>
    <w:p w14:paraId="60869147">
      <w:pPr>
        <w:jc w:val="center"/>
        <w:rPr>
          <w:rFonts w:ascii="Times New Roman" w:hAnsi="Times New Roman" w:cs="Times New Roman"/>
          <w:b/>
          <w:sz w:val="36"/>
          <w:szCs w:val="36"/>
        </w:rPr>
      </w:pPr>
    </w:p>
    <w:p w14:paraId="3A8C020C">
      <w:pPr>
        <w:jc w:val="center"/>
        <w:rPr>
          <w:rFonts w:ascii="Times New Roman" w:hAnsi="Times New Roman" w:cs="Times New Roman"/>
          <w:b/>
          <w:sz w:val="36"/>
          <w:szCs w:val="36"/>
        </w:rPr>
      </w:pPr>
    </w:p>
    <w:p w14:paraId="30B645F5">
      <w:pPr>
        <w:jc w:val="center"/>
        <w:rPr>
          <w:rFonts w:ascii="Times New Roman" w:hAnsi="Times New Roman" w:cs="Times New Roman"/>
          <w:b/>
          <w:bCs w:val="0"/>
          <w:sz w:val="36"/>
          <w:szCs w:val="36"/>
        </w:rPr>
      </w:pPr>
    </w:p>
    <w:p w14:paraId="0A2E53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val="0"/>
          <w:sz w:val="48"/>
          <w:szCs w:val="48"/>
        </w:rPr>
      </w:pPr>
      <w:r>
        <w:rPr>
          <w:rFonts w:hint="eastAsia" w:ascii="方正小标宋简体" w:hAnsi="方正小标宋简体" w:eastAsia="方正小标宋简体" w:cs="方正小标宋简体"/>
          <w:b/>
          <w:bCs w:val="0"/>
          <w:sz w:val="48"/>
          <w:szCs w:val="48"/>
        </w:rPr>
        <w:t>2024年度</w:t>
      </w:r>
      <w:r>
        <w:rPr>
          <w:rFonts w:hint="eastAsia" w:ascii="方正小标宋简体" w:hAnsi="方正小标宋简体" w:eastAsia="方正小标宋简体" w:cs="方正小标宋简体"/>
          <w:b/>
          <w:bCs w:val="0"/>
          <w:sz w:val="48"/>
          <w:szCs w:val="48"/>
          <w:lang w:eastAsia="zh-CN"/>
        </w:rPr>
        <w:t>辰溪县财政局</w:t>
      </w:r>
      <w:r>
        <w:rPr>
          <w:rFonts w:hint="eastAsia" w:ascii="方正小标宋简体" w:hAnsi="方正小标宋简体" w:eastAsia="方正小标宋简体" w:cs="方正小标宋简体"/>
          <w:b/>
          <w:bCs w:val="0"/>
          <w:sz w:val="48"/>
          <w:szCs w:val="48"/>
        </w:rPr>
        <w:t>整体支出绩效自评报告</w:t>
      </w:r>
    </w:p>
    <w:p w14:paraId="4F413C2F">
      <w:pPr>
        <w:jc w:val="center"/>
        <w:rPr>
          <w:rFonts w:ascii="Times New Roman" w:hAnsi="Times New Roman" w:eastAsia="仿宋_GB2312" w:cs="Times New Roman"/>
          <w:b/>
          <w:sz w:val="32"/>
          <w:szCs w:val="32"/>
        </w:rPr>
      </w:pPr>
    </w:p>
    <w:p w14:paraId="1F795CF9">
      <w:pPr>
        <w:jc w:val="center"/>
        <w:rPr>
          <w:rFonts w:ascii="Times New Roman" w:hAnsi="Times New Roman" w:eastAsia="仿宋_GB2312" w:cs="Times New Roman"/>
          <w:b/>
          <w:sz w:val="32"/>
          <w:szCs w:val="32"/>
        </w:rPr>
      </w:pPr>
    </w:p>
    <w:p w14:paraId="7A58B824">
      <w:pPr>
        <w:jc w:val="center"/>
        <w:rPr>
          <w:rFonts w:ascii="Times New Roman" w:hAnsi="Times New Roman" w:eastAsia="仿宋_GB2312" w:cs="Times New Roman"/>
          <w:b/>
          <w:sz w:val="32"/>
          <w:szCs w:val="32"/>
        </w:rPr>
      </w:pPr>
    </w:p>
    <w:p w14:paraId="11E120C6">
      <w:pPr>
        <w:rPr>
          <w:rFonts w:ascii="Times New Roman" w:hAnsi="Times New Roman" w:eastAsia="仿宋_GB2312" w:cs="Times New Roman"/>
          <w:sz w:val="32"/>
          <w:szCs w:val="32"/>
        </w:rPr>
      </w:pPr>
    </w:p>
    <w:p w14:paraId="208FD0BD">
      <w:pPr>
        <w:rPr>
          <w:rFonts w:ascii="Times New Roman" w:hAnsi="Times New Roman" w:eastAsia="仿宋_GB2312" w:cs="Times New Roman"/>
          <w:sz w:val="32"/>
          <w:szCs w:val="32"/>
        </w:rPr>
      </w:pPr>
    </w:p>
    <w:p w14:paraId="5F902D98">
      <w:pPr>
        <w:rPr>
          <w:rFonts w:ascii="Times New Roman" w:hAnsi="Times New Roman" w:eastAsia="仿宋_GB2312" w:cs="Times New Roman"/>
          <w:sz w:val="32"/>
          <w:szCs w:val="32"/>
        </w:rPr>
      </w:pPr>
    </w:p>
    <w:p w14:paraId="199464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单位名称：</w:t>
      </w:r>
      <w:r>
        <w:rPr>
          <w:rFonts w:hint="eastAsia" w:ascii="Times New Roman" w:hAnsi="Times New Roman" w:cs="Times New Roman"/>
          <w:sz w:val="32"/>
          <w:szCs w:val="32"/>
          <w:lang w:eastAsia="zh-CN"/>
        </w:rPr>
        <w:t>辰溪县财政局</w:t>
      </w:r>
    </w:p>
    <w:p w14:paraId="175A7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2151FA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600FA7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 xml:space="preserve"> 日</w:t>
      </w:r>
    </w:p>
    <w:p w14:paraId="4BA2D777">
      <w:pPr>
        <w:jc w:val="center"/>
        <w:rPr>
          <w:rFonts w:ascii="Times New Roman" w:hAnsi="Times New Roman" w:eastAsia="仿宋_GB2312" w:cs="Times New Roman"/>
          <w:sz w:val="32"/>
          <w:szCs w:val="32"/>
        </w:rPr>
      </w:pPr>
    </w:p>
    <w:p w14:paraId="2ED88918">
      <w:pPr>
        <w:spacing w:line="580" w:lineRule="exact"/>
        <w:jc w:val="center"/>
        <w:rPr>
          <w:rFonts w:ascii="Times New Roman" w:hAnsi="Times New Roman" w:eastAsia="仿宋_GB2312" w:cs="Times New Roman"/>
          <w:sz w:val="32"/>
          <w:szCs w:val="32"/>
        </w:rPr>
      </w:pPr>
    </w:p>
    <w:p w14:paraId="662EAE41">
      <w:pPr>
        <w:spacing w:line="580" w:lineRule="exact"/>
        <w:jc w:val="center"/>
        <w:rPr>
          <w:rFonts w:hint="eastAsia" w:ascii="Times New Roman" w:hAnsi="Times New Roman" w:cs="Times New Roman" w:eastAsiaTheme="majorEastAsia"/>
          <w:b/>
          <w:sz w:val="44"/>
          <w:szCs w:val="44"/>
        </w:rPr>
      </w:pPr>
    </w:p>
    <w:p w14:paraId="2C30AA6D">
      <w:pPr>
        <w:spacing w:line="580" w:lineRule="exact"/>
        <w:jc w:val="center"/>
        <w:rPr>
          <w:rFonts w:ascii="Times New Roman" w:hAnsi="Times New Roman" w:cs="Times New Roman" w:eastAsiaTheme="majorEastAsia"/>
          <w:b/>
          <w:sz w:val="44"/>
          <w:szCs w:val="44"/>
        </w:rPr>
        <w:sectPr>
          <w:footerReference r:id="rId5" w:type="default"/>
          <w:pgSz w:w="11906" w:h="16838"/>
          <w:pgMar w:top="2098" w:right="1800" w:bottom="1984" w:left="1587" w:header="851" w:footer="992" w:gutter="0"/>
          <w:cols w:space="425" w:num="1"/>
          <w:docGrid w:type="lines" w:linePitch="312" w:charSpace="0"/>
        </w:sectPr>
      </w:pPr>
    </w:p>
    <w:p w14:paraId="468323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val="0"/>
          <w:sz w:val="48"/>
          <w:szCs w:val="48"/>
        </w:rPr>
      </w:pPr>
      <w:r>
        <w:rPr>
          <w:rFonts w:hint="eastAsia" w:ascii="方正小标宋简体" w:hAnsi="方正小标宋简体" w:eastAsia="方正小标宋简体" w:cs="方正小标宋简体"/>
          <w:b/>
          <w:bCs w:val="0"/>
          <w:sz w:val="48"/>
          <w:szCs w:val="48"/>
        </w:rPr>
        <w:t>2024年度</w:t>
      </w:r>
      <w:r>
        <w:rPr>
          <w:rFonts w:hint="eastAsia" w:ascii="方正小标宋简体" w:hAnsi="方正小标宋简体" w:eastAsia="方正小标宋简体" w:cs="方正小标宋简体"/>
          <w:b/>
          <w:bCs w:val="0"/>
          <w:sz w:val="48"/>
          <w:szCs w:val="48"/>
          <w:lang w:eastAsia="zh-CN"/>
        </w:rPr>
        <w:t>辰溪县财政局</w:t>
      </w:r>
      <w:r>
        <w:rPr>
          <w:rFonts w:hint="eastAsia" w:ascii="方正小标宋简体" w:hAnsi="方正小标宋简体" w:eastAsia="方正小标宋简体" w:cs="方正小标宋简体"/>
          <w:b/>
          <w:bCs w:val="0"/>
          <w:sz w:val="48"/>
          <w:szCs w:val="48"/>
        </w:rPr>
        <w:t>整体支出绩效自评报告</w:t>
      </w:r>
    </w:p>
    <w:p w14:paraId="573B8C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3E04E443">
      <w:pPr>
        <w:pStyle w:val="2"/>
        <w:bidi w:val="0"/>
        <w:rPr>
          <w:rFonts w:hint="eastAsia"/>
        </w:rPr>
      </w:pPr>
      <w:r>
        <w:rPr>
          <w:rFonts w:hint="eastAsia"/>
        </w:rPr>
        <w:t>一、部门、单位基本情况</w:t>
      </w:r>
    </w:p>
    <w:p w14:paraId="33A86403">
      <w:pPr>
        <w:pStyle w:val="3"/>
        <w:bidi w:val="0"/>
        <w:rPr>
          <w:rFonts w:hint="default"/>
        </w:rPr>
      </w:pPr>
      <w:r>
        <w:rPr>
          <w:rFonts w:hint="default"/>
        </w:rPr>
        <w:t>（一）机构设置情况</w:t>
      </w:r>
    </w:p>
    <w:p w14:paraId="1E159BA3">
      <w:pPr>
        <w:widowControl/>
        <w:ind w:firstLine="640" w:firstLineChars="200"/>
        <w:rPr>
          <w:rFonts w:hint="eastAsia" w:ascii="仿宋_GB2312" w:hAnsi="仿宋_GB2312" w:cs="仿宋_GB2312"/>
          <w:color w:val="000000"/>
          <w:sz w:val="32"/>
          <w:szCs w:val="32"/>
          <w:lang w:eastAsia="zh-CN"/>
        </w:rPr>
      </w:pPr>
      <w:r>
        <w:rPr>
          <w:rFonts w:hint="eastAsia" w:ascii="仿宋_GB2312" w:hAnsi="仿宋_GB2312" w:cs="仿宋_GB2312"/>
          <w:color w:val="000000"/>
          <w:sz w:val="32"/>
          <w:szCs w:val="32"/>
          <w:lang w:val="en-US" w:eastAsia="zh-CN"/>
        </w:rPr>
        <w:t>辰溪县财政局是</w:t>
      </w:r>
      <w:r>
        <w:rPr>
          <w:rFonts w:hint="eastAsia" w:ascii="仿宋_GB2312" w:hAnsi="仿宋_GB2312" w:eastAsia="仿宋_GB2312" w:cs="仿宋_GB2312"/>
          <w:color w:val="000000"/>
          <w:sz w:val="32"/>
          <w:szCs w:val="32"/>
          <w:lang w:val="en-US" w:eastAsia="zh-CN"/>
        </w:rPr>
        <w:t>县人民政府财政全额拨款的正科级行政单位</w:t>
      </w:r>
      <w:r>
        <w:rPr>
          <w:rFonts w:hint="eastAsia" w:ascii="仿宋_GB2312" w:hAnsi="仿宋_GB2312" w:cs="仿宋_GB2312"/>
          <w:color w:val="000000"/>
          <w:sz w:val="32"/>
          <w:szCs w:val="32"/>
          <w:lang w:val="en-US" w:eastAsia="zh-CN"/>
        </w:rPr>
        <w:t>。</w:t>
      </w:r>
      <w:r>
        <w:rPr>
          <w:rFonts w:hint="eastAsia" w:ascii="仿宋_GB2312" w:hAnsi="仿宋_GB2312" w:eastAsia="仿宋_GB2312" w:cs="仿宋_GB2312"/>
          <w:color w:val="000000"/>
          <w:sz w:val="32"/>
          <w:szCs w:val="32"/>
        </w:rPr>
        <w:t>内设机构</w:t>
      </w:r>
      <w:r>
        <w:rPr>
          <w:rFonts w:hint="eastAsia" w:ascii="Times New Roman" w:hAnsi="Times New Roman" w:cs="仿宋_GB2312"/>
          <w:color w:val="000000"/>
          <w:sz w:val="32"/>
          <w:szCs w:val="32"/>
          <w:lang w:val="en-US" w:eastAsia="zh-CN"/>
        </w:rPr>
        <w:t>21</w:t>
      </w:r>
      <w:r>
        <w:rPr>
          <w:rFonts w:hint="eastAsia" w:ascii="仿宋_GB2312" w:hAnsi="仿宋_GB2312" w:eastAsia="仿宋_GB2312" w:cs="仿宋_GB2312"/>
          <w:color w:val="000000"/>
          <w:sz w:val="32"/>
          <w:szCs w:val="32"/>
        </w:rPr>
        <w:t>个，分别为：办公室(人事股)、教科文股、监督检查股、农业农村股、企业股、社会保障股、预算股、行政政法股、金融与债务股、经济建设股、综合规划股、会计股、绩效管理股、税政法规股、政府采购服务中心、农村综合改革事务中心、国有资产事务中心、票据管理中心、信息网络中心、投资评审中心、财源建设服务中心</w:t>
      </w:r>
      <w:r>
        <w:rPr>
          <w:rFonts w:hint="eastAsia" w:ascii="仿宋_GB2312" w:hAnsi="仿宋_GB2312" w:cs="仿宋_GB2312"/>
          <w:color w:val="000000"/>
          <w:sz w:val="32"/>
          <w:szCs w:val="32"/>
          <w:lang w:eastAsia="zh-CN"/>
        </w:rPr>
        <w:t>。</w:t>
      </w:r>
    </w:p>
    <w:p w14:paraId="3E5874AF">
      <w:pPr>
        <w:widowControl/>
        <w:ind w:firstLine="640" w:firstLineChars="200"/>
        <w:rPr>
          <w:rFonts w:hint="default"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下属二级机构2个，分别为:财政事务中心、国库集中支付核算中心。</w:t>
      </w:r>
    </w:p>
    <w:p w14:paraId="24B00029">
      <w:pPr>
        <w:pStyle w:val="3"/>
        <w:bidi w:val="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5FE5854A">
      <w:pPr>
        <w:bidi w:val="0"/>
        <w:ind w:firstLine="560"/>
        <w:rPr>
          <w:rFonts w:hint="default" w:eastAsia="仿宋_GB2312"/>
          <w:lang w:val="en-US" w:eastAsia="zh-CN"/>
        </w:rPr>
      </w:pPr>
      <w:bookmarkStart w:id="0" w:name="OLE_LINK1"/>
      <w:r>
        <w:rPr>
          <w:rFonts w:hint="eastAsia" w:ascii="仿宋_GB2312" w:hAnsi="仿宋_GB2312" w:eastAsia="仿宋_GB2312" w:cs="仿宋_GB2312"/>
          <w:color w:val="000000"/>
          <w:sz w:val="32"/>
          <w:szCs w:val="32"/>
        </w:rPr>
        <w:t>我单位核定编制数</w:t>
      </w:r>
      <w:bookmarkEnd w:id="0"/>
      <w:r>
        <w:rPr>
          <w:rFonts w:hint="eastAsia" w:ascii="Times New Roman" w:hAnsi="Times New Roman" w:eastAsia="仿宋_GB2312" w:cs="仿宋_GB2312"/>
          <w:color w:val="000000"/>
          <w:sz w:val="32"/>
          <w:szCs w:val="32"/>
          <w:lang w:val="en-US" w:eastAsia="zh-CN"/>
        </w:rPr>
        <w:t>224</w:t>
      </w:r>
      <w:r>
        <w:rPr>
          <w:rFonts w:hint="eastAsia" w:ascii="仿宋_GB2312" w:hAnsi="仿宋_GB2312" w:eastAsia="仿宋_GB2312" w:cs="仿宋_GB2312"/>
          <w:color w:val="000000"/>
          <w:sz w:val="32"/>
          <w:szCs w:val="32"/>
        </w:rPr>
        <w:t>名，截至</w:t>
      </w:r>
      <w:r>
        <w:rPr>
          <w:rFonts w:hint="eastAsia" w:ascii="Times New Roman" w:hAnsi="Times New Roman" w:eastAsia="仿宋_GB2312" w:cs="仿宋_GB2312"/>
          <w:color w:val="000000"/>
          <w:sz w:val="32"/>
          <w:szCs w:val="32"/>
          <w:lang w:val="en-US" w:eastAsia="zh-CN"/>
        </w:rPr>
        <w:t>2024</w:t>
      </w:r>
      <w:r>
        <w:rPr>
          <w:rFonts w:hint="eastAsia" w:ascii="仿宋_GB2312" w:hAnsi="仿宋_GB2312" w:eastAsia="仿宋_GB2312" w:cs="仿宋_GB2312"/>
          <w:color w:val="000000"/>
          <w:sz w:val="32"/>
          <w:szCs w:val="32"/>
        </w:rPr>
        <w:t>年</w:t>
      </w:r>
      <w:r>
        <w:rPr>
          <w:rFonts w:hint="eastAsia" w:ascii="Times New Roman" w:hAnsi="Times New Roman" w:eastAsia="仿宋_GB2312" w:cs="仿宋_GB2312"/>
          <w:color w:val="000000"/>
          <w:sz w:val="32"/>
          <w:szCs w:val="32"/>
        </w:rPr>
        <w:t>12</w:t>
      </w:r>
      <w:r>
        <w:rPr>
          <w:rFonts w:hint="eastAsia" w:ascii="仿宋_GB2312" w:hAnsi="仿宋_GB2312" w:eastAsia="仿宋_GB2312" w:cs="仿宋_GB2312"/>
          <w:color w:val="000000"/>
          <w:sz w:val="32"/>
          <w:szCs w:val="32"/>
        </w:rPr>
        <w:t>月</w:t>
      </w:r>
      <w:r>
        <w:rPr>
          <w:rFonts w:hint="eastAsia" w:ascii="仿宋_GB2312" w:hAnsi="仿宋_GB2312" w:cs="仿宋_GB2312"/>
          <w:color w:val="000000"/>
          <w:sz w:val="32"/>
          <w:szCs w:val="32"/>
          <w:lang w:val="en-US" w:eastAsia="zh-CN"/>
        </w:rPr>
        <w:t>31日</w:t>
      </w:r>
      <w:r>
        <w:rPr>
          <w:rFonts w:hint="eastAsia" w:ascii="仿宋_GB2312" w:hAnsi="仿宋_GB2312" w:eastAsia="仿宋_GB2312" w:cs="仿宋_GB2312"/>
          <w:color w:val="000000"/>
          <w:sz w:val="32"/>
          <w:szCs w:val="32"/>
        </w:rPr>
        <w:t>，在职在编人员</w:t>
      </w:r>
      <w:r>
        <w:rPr>
          <w:rFonts w:hint="eastAsia" w:ascii="Times New Roman" w:hAnsi="Times New Roman" w:eastAsia="仿宋_GB2312" w:cs="仿宋_GB2312"/>
          <w:color w:val="000000"/>
          <w:sz w:val="32"/>
          <w:szCs w:val="32"/>
          <w:lang w:val="en-US" w:eastAsia="zh-CN"/>
        </w:rPr>
        <w:t>224</w:t>
      </w:r>
      <w:r>
        <w:rPr>
          <w:rFonts w:hint="eastAsia" w:ascii="仿宋_GB2312" w:hAnsi="仿宋_GB2312" w:eastAsia="仿宋_GB2312" w:cs="仿宋_GB2312"/>
          <w:color w:val="000000"/>
          <w:sz w:val="32"/>
          <w:szCs w:val="32"/>
        </w:rPr>
        <w:t>人</w:t>
      </w:r>
      <w:r>
        <w:rPr>
          <w:rFonts w:hint="eastAsia"/>
          <w:lang w:val="en-US" w:eastAsia="zh-CN"/>
        </w:rPr>
        <w:t>。</w:t>
      </w:r>
    </w:p>
    <w:p w14:paraId="063BBE7B">
      <w:pPr>
        <w:pStyle w:val="3"/>
        <w:bidi w:val="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6238C6B5">
      <w:pPr>
        <w:bidi w:val="0"/>
        <w:rPr>
          <w:rFonts w:hint="default"/>
          <w:lang w:val="en-US" w:eastAsia="zh-CN"/>
        </w:rPr>
      </w:pPr>
      <w:r>
        <w:rPr>
          <w:rFonts w:hint="default"/>
          <w:lang w:val="en-US" w:eastAsia="zh-CN"/>
        </w:rPr>
        <w:t>1、组织贯彻执行国家财税方针政策，拟定和执行全县财政政策、改革方案，指导全县财政工作。</w:t>
      </w:r>
    </w:p>
    <w:p w14:paraId="7BBB8055">
      <w:pPr>
        <w:bidi w:val="0"/>
        <w:rPr>
          <w:rFonts w:hint="default"/>
          <w:lang w:val="en-US" w:eastAsia="zh-CN"/>
        </w:rPr>
      </w:pPr>
      <w:r>
        <w:rPr>
          <w:rFonts w:hint="default"/>
          <w:lang w:val="en-US" w:eastAsia="zh-CN"/>
        </w:rPr>
        <w:t>2、制定和执行财政、财务、会计管理的制度及办法。</w:t>
      </w:r>
    </w:p>
    <w:p w14:paraId="16427422">
      <w:pPr>
        <w:bidi w:val="0"/>
        <w:rPr>
          <w:rFonts w:hint="default"/>
          <w:lang w:val="en-US" w:eastAsia="zh-CN"/>
        </w:rPr>
      </w:pPr>
      <w:r>
        <w:rPr>
          <w:rFonts w:hint="default"/>
          <w:lang w:val="en-US" w:eastAsia="zh-CN"/>
        </w:rPr>
        <w:t>3、承担县本级各项财政收支管理的责任。负责编制年度县本级预决算草案并组织执行。代编全县财政收支预算，汇总全县财政总决算;受县人民政府委托，向县人民代表大会报告县本级、全县预算及其执行情况向县人大常委会报告决算。组织制订县本级经费开支标准、定额，负责审核批复部门(单位)的年度预决算。完善转移支付制度，推进省直管县财政体制改革。</w:t>
      </w:r>
    </w:p>
    <w:p w14:paraId="580AA1B5">
      <w:pPr>
        <w:bidi w:val="0"/>
        <w:rPr>
          <w:rFonts w:hint="default"/>
          <w:lang w:val="en-US" w:eastAsia="zh-CN"/>
        </w:rPr>
      </w:pPr>
      <w:r>
        <w:rPr>
          <w:rFonts w:hint="default"/>
          <w:lang w:val="en-US" w:eastAsia="zh-CN"/>
        </w:rPr>
        <w:t>4、负责政府非税收入管理，负责政府性基金管理，按规定管理行政事业性收费。管理财政票据。</w:t>
      </w:r>
    </w:p>
    <w:p w14:paraId="614A44D1">
      <w:pPr>
        <w:bidi w:val="0"/>
        <w:rPr>
          <w:rFonts w:hint="default"/>
          <w:lang w:val="en-US" w:eastAsia="zh-CN"/>
        </w:rPr>
      </w:pPr>
      <w:r>
        <w:rPr>
          <w:rFonts w:hint="default"/>
          <w:lang w:val="en-US" w:eastAsia="zh-CN"/>
        </w:rPr>
        <w:t>5、组织制定国库管理制度、国库集中收付制度，指导和监督县本级国库业务，按规定开展国库现金管理工作。负责制定政府采购制度并监督管理。</w:t>
      </w:r>
    </w:p>
    <w:p w14:paraId="0E4A72DF">
      <w:pPr>
        <w:bidi w:val="0"/>
        <w:rPr>
          <w:rFonts w:hint="default"/>
          <w:lang w:val="en-US" w:eastAsia="zh-CN"/>
        </w:rPr>
      </w:pPr>
      <w:r>
        <w:rPr>
          <w:rFonts w:hint="default"/>
          <w:lang w:val="en-US" w:eastAsia="zh-CN"/>
        </w:rPr>
        <w:t>6、贯彻执行国家财税法律、法规和税收调整政策，反馈政策执行情况，提出调整建议。参与县管理权限内有关税收政策及税收政策调整方案的调查研究，提出对策建议。</w:t>
      </w:r>
    </w:p>
    <w:p w14:paraId="4AD8481A">
      <w:pPr>
        <w:bidi w:val="0"/>
        <w:rPr>
          <w:rFonts w:hint="default"/>
          <w:lang w:val="en-US" w:eastAsia="zh-CN"/>
        </w:rPr>
      </w:pPr>
      <w:r>
        <w:rPr>
          <w:rFonts w:hint="default"/>
          <w:lang w:val="en-US" w:eastAsia="zh-CN"/>
        </w:rPr>
        <w:t>7、负责制定全县行政事业单位国有资产管理规章制度，会同有关部门管理行政事业单位国有资产，制定需要全县统一规定的开支标准和支出政策，负责财政预算内行政、事业单位和社会团体的非贸易外汇管理。</w:t>
      </w:r>
    </w:p>
    <w:p w14:paraId="07AE634F">
      <w:pPr>
        <w:bidi w:val="0"/>
        <w:rPr>
          <w:rFonts w:hint="default"/>
          <w:lang w:val="en-US" w:eastAsia="zh-CN"/>
        </w:rPr>
      </w:pPr>
      <w:r>
        <w:rPr>
          <w:rFonts w:hint="default"/>
          <w:lang w:val="en-US" w:eastAsia="zh-CN"/>
        </w:rPr>
        <w:t>8、负责办理和监督县财政的经济发展支出、县级政府性投资项目的财政拨款，参与拟定县建设投资的有关政策，组织实施基本建设财务制度，负责有关政策性补贴和专项储备资金财政管理工作。负责农业综合开发管理工作。</w:t>
      </w:r>
    </w:p>
    <w:p w14:paraId="3A694E8A">
      <w:pPr>
        <w:bidi w:val="0"/>
        <w:rPr>
          <w:rFonts w:hint="default"/>
          <w:lang w:val="en-US" w:eastAsia="zh-CN"/>
        </w:rPr>
      </w:pPr>
      <w:r>
        <w:rPr>
          <w:rFonts w:hint="default"/>
          <w:lang w:val="en-US" w:eastAsia="zh-CN"/>
        </w:rPr>
        <w:t>9、会同有关部门管理县财政社会保障和就业及医疗卫生支出，组织实施社会保障资金(基金)的财务管理制度，编制市社会保障预决算草案。</w:t>
      </w:r>
    </w:p>
    <w:p w14:paraId="78A8657F">
      <w:pPr>
        <w:bidi w:val="0"/>
        <w:rPr>
          <w:rFonts w:hint="default"/>
          <w:lang w:val="en-US" w:eastAsia="zh-CN"/>
        </w:rPr>
      </w:pPr>
      <w:r>
        <w:rPr>
          <w:rFonts w:hint="default"/>
          <w:lang w:val="en-US" w:eastAsia="zh-CN"/>
        </w:rPr>
        <w:t>10、会同有关部门管理县财政社会保障和就业及医疗卫生支出，组织实施社会保障资金(基金)的财务管理制度，编制市社会保障预决算草案。</w:t>
      </w:r>
    </w:p>
    <w:p w14:paraId="2A655884">
      <w:pPr>
        <w:bidi w:val="0"/>
        <w:rPr>
          <w:rFonts w:hint="default"/>
          <w:lang w:val="en-US" w:eastAsia="zh-CN"/>
        </w:rPr>
      </w:pPr>
      <w:r>
        <w:rPr>
          <w:rFonts w:hint="default"/>
          <w:lang w:val="en-US" w:eastAsia="zh-CN"/>
        </w:rPr>
        <w:t>11、负责管理全县的会计工作，监督和规范会计行为，组织实施国家统一的会计制度，组织实施会计行政法规规章，指导和监督注册会计师和会计师事务所的业务，指导和管理社会审计。</w:t>
      </w:r>
    </w:p>
    <w:p w14:paraId="23CD8B9C">
      <w:pPr>
        <w:bidi w:val="0"/>
        <w:rPr>
          <w:rFonts w:hint="default"/>
          <w:lang w:val="en-US" w:eastAsia="zh-CN"/>
        </w:rPr>
      </w:pPr>
      <w:r>
        <w:rPr>
          <w:rFonts w:hint="default"/>
          <w:lang w:val="en-US" w:eastAsia="zh-CN"/>
        </w:rPr>
        <w:t>12、监督检查财税法规、政策的执行情况，反映财政收支管理中的重大问题，提出加强财政管理的政策和建议。</w:t>
      </w:r>
    </w:p>
    <w:p w14:paraId="340EC3A9">
      <w:pPr>
        <w:bidi w:val="0"/>
        <w:rPr>
          <w:rFonts w:hint="default"/>
          <w:lang w:val="en-US" w:eastAsia="zh-CN"/>
        </w:rPr>
      </w:pPr>
      <w:r>
        <w:rPr>
          <w:rFonts w:hint="default"/>
          <w:lang w:val="en-US" w:eastAsia="zh-CN"/>
        </w:rPr>
        <w:t>13、承办县人民政府交办的其他事项。</w:t>
      </w:r>
    </w:p>
    <w:p w14:paraId="479EA75D">
      <w:pPr>
        <w:pStyle w:val="3"/>
        <w:bidi w:val="0"/>
        <w:rPr>
          <w:rFonts w:hint="default"/>
        </w:rPr>
      </w:pPr>
      <w:r>
        <w:rPr>
          <w:rFonts w:hint="eastAsia"/>
          <w:lang w:eastAsia="zh-CN"/>
        </w:rPr>
        <w:t>（</w:t>
      </w:r>
      <w:r>
        <w:rPr>
          <w:rFonts w:hint="eastAsia"/>
          <w:lang w:val="en-US" w:eastAsia="zh-CN"/>
        </w:rPr>
        <w:t>四</w:t>
      </w:r>
      <w:r>
        <w:rPr>
          <w:rFonts w:hint="eastAsia"/>
          <w:lang w:eastAsia="zh-CN"/>
        </w:rPr>
        <w:t>）</w:t>
      </w:r>
      <w:r>
        <w:rPr>
          <w:rFonts w:hint="default"/>
        </w:rPr>
        <w:t>绩效目标设定情况</w:t>
      </w:r>
    </w:p>
    <w:p w14:paraId="21E7B0C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Times New Roman" w:hAnsi="Times New Roman" w:eastAsia="仿宋_GB2312" w:cs="仿宋_GB2312"/>
          <w:i w:val="0"/>
          <w:iCs w:val="0"/>
          <w:caps w:val="0"/>
          <w:color w:val="000000"/>
          <w:spacing w:val="0"/>
          <w:sz w:val="32"/>
          <w:szCs w:val="32"/>
          <w:shd w:val="clear" w:fill="FFFFFF"/>
          <w:lang w:val="en-US" w:eastAsia="zh-CN"/>
        </w:rPr>
        <w:t>2024</w:t>
      </w:r>
      <w:r>
        <w:rPr>
          <w:rFonts w:hint="eastAsia" w:ascii="仿宋_GB2312" w:hAnsi="仿宋_GB2312" w:eastAsia="仿宋_GB2312" w:cs="仿宋_GB2312"/>
          <w:i w:val="0"/>
          <w:iCs w:val="0"/>
          <w:caps w:val="0"/>
          <w:color w:val="000000"/>
          <w:spacing w:val="0"/>
          <w:sz w:val="32"/>
          <w:szCs w:val="32"/>
          <w:shd w:val="clear" w:fill="FFFFFF"/>
          <w:lang w:val="en-US" w:eastAsia="zh-CN"/>
        </w:rPr>
        <w:t>年，结合业务工作，我单位设定了以下绩效目标：</w:t>
      </w:r>
    </w:p>
    <w:p w14:paraId="4367389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1.大力培植支柱财源，加强征管措施，做到应收尽收。</w:t>
      </w:r>
    </w:p>
    <w:p w14:paraId="275F12B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2.加强支出管理，充分发挥资金效益，坚持绩效管理，严格预算约束。</w:t>
      </w:r>
    </w:p>
    <w:p w14:paraId="382BAF1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3.落实重点工作，有力保障民生支出。</w:t>
      </w:r>
    </w:p>
    <w:p w14:paraId="5DE4106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4.深化财政改革，提高管理水平，全面完善预算绩效管理一体化。</w:t>
      </w:r>
    </w:p>
    <w:p w14:paraId="2B53E6E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5.稳健化解债务，确保政府风险可控。</w:t>
      </w:r>
    </w:p>
    <w:p w14:paraId="28896E5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6.积极开展党建，充分发挥引领作用。</w:t>
      </w:r>
    </w:p>
    <w:p w14:paraId="41F956A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7.转变工作作风，切实提高服务质量。</w:t>
      </w:r>
    </w:p>
    <w:p w14:paraId="28136554">
      <w:pPr>
        <w:pStyle w:val="2"/>
        <w:bidi w:val="0"/>
        <w:rPr>
          <w:rFonts w:hint="eastAsia"/>
          <w:lang w:val="en-US" w:eastAsia="zh-CN"/>
        </w:rPr>
      </w:pPr>
      <w:r>
        <w:rPr>
          <w:rFonts w:hint="eastAsia"/>
          <w:lang w:val="en-US" w:eastAsia="zh-CN"/>
        </w:rPr>
        <w:t>二、部门整体支出管理及使用情况</w:t>
      </w:r>
    </w:p>
    <w:p w14:paraId="1BF148B7">
      <w:pPr>
        <w:pStyle w:val="3"/>
        <w:bidi w:val="0"/>
        <w:rPr>
          <w:rFonts w:hint="eastAsia"/>
        </w:rPr>
      </w:pPr>
      <w:r>
        <w:rPr>
          <w:rFonts w:hint="default"/>
        </w:rPr>
        <w:t>（一）</w:t>
      </w:r>
      <w:r>
        <w:rPr>
          <w:rFonts w:hint="eastAsia"/>
        </w:rPr>
        <w:t>预算执行、使用、管理总体情况</w:t>
      </w:r>
    </w:p>
    <w:p w14:paraId="3EDC297F">
      <w:pPr>
        <w:bidi w:val="0"/>
        <w:rPr>
          <w:rFonts w:hint="eastAsia"/>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我单位预算收入来源为一般公共预算财政拨款收入，年初预算收入</w:t>
      </w:r>
      <w:r>
        <w:rPr>
          <w:rFonts w:hint="eastAsia" w:ascii="Times New Roman" w:hAnsi="Times New Roman" w:cs="仿宋_GB2312"/>
          <w:i w:val="0"/>
          <w:iCs w:val="0"/>
          <w:caps w:val="0"/>
          <w:color w:val="000000"/>
          <w:spacing w:val="0"/>
          <w:sz w:val="32"/>
          <w:szCs w:val="32"/>
          <w:shd w:val="clear" w:fill="FFFFFF"/>
          <w:lang w:val="en-US" w:eastAsia="zh-CN"/>
        </w:rPr>
        <w:t>3094.69</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万元，全年预算收入</w:t>
      </w:r>
      <w:r>
        <w:rPr>
          <w:rFonts w:hint="eastAsia" w:ascii="Times New Roman" w:hAnsi="Times New Roman" w:cs="仿宋_GB2312"/>
          <w:i w:val="0"/>
          <w:iCs w:val="0"/>
          <w:caps w:val="0"/>
          <w:color w:val="000000"/>
          <w:spacing w:val="0"/>
          <w:sz w:val="32"/>
          <w:szCs w:val="32"/>
          <w:shd w:val="clear" w:fill="FFFFFF"/>
          <w:lang w:val="en-US" w:eastAsia="zh-CN"/>
        </w:rPr>
        <w:t>3290</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万元，决算收入为</w:t>
      </w:r>
      <w:r>
        <w:rPr>
          <w:rFonts w:hint="eastAsia" w:ascii="Times New Roman" w:hAnsi="Times New Roman" w:cs="仿宋_GB2312"/>
          <w:i w:val="0"/>
          <w:iCs w:val="0"/>
          <w:caps w:val="0"/>
          <w:color w:val="000000"/>
          <w:spacing w:val="0"/>
          <w:sz w:val="32"/>
          <w:szCs w:val="32"/>
          <w:shd w:val="clear" w:fill="FFFFFF"/>
          <w:lang w:val="en-US" w:eastAsia="zh-CN"/>
        </w:rPr>
        <w:t>3284.45</w:t>
      </w:r>
      <w:r>
        <w:rPr>
          <w:rFonts w:hint="eastAsia" w:ascii="仿宋_GB2312" w:hAnsi="仿宋_GB2312" w:eastAsia="仿宋_GB2312" w:cs="仿宋_GB2312"/>
          <w:i w:val="0"/>
          <w:iCs w:val="0"/>
          <w:caps w:val="0"/>
          <w:color w:val="000000"/>
          <w:spacing w:val="0"/>
          <w:sz w:val="32"/>
          <w:szCs w:val="32"/>
          <w:shd w:val="clear" w:fill="FFFFFF"/>
          <w:lang w:val="en-US" w:eastAsia="zh-CN"/>
        </w:rPr>
        <w:t>万元</w:t>
      </w:r>
      <w:r>
        <w:rPr>
          <w:rFonts w:hint="eastAsia"/>
          <w:lang w:val="en-US" w:eastAsia="zh-CN"/>
        </w:rPr>
        <w:t>。</w:t>
      </w:r>
    </w:p>
    <w:p w14:paraId="244B829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按功能分类</w:t>
      </w:r>
      <w:r>
        <w:rPr>
          <w:rFonts w:hint="eastAsia" w:ascii="仿宋_GB2312" w:hAnsi="仿宋_GB2312" w:eastAsia="仿宋_GB2312" w:cs="仿宋_GB2312"/>
          <w:i w:val="0"/>
          <w:iCs w:val="0"/>
          <w:caps w:val="0"/>
          <w:color w:val="000000"/>
          <w:spacing w:val="0"/>
          <w:sz w:val="32"/>
          <w:szCs w:val="32"/>
          <w:shd w:val="clear" w:fill="FFFFFF"/>
          <w:lang w:val="en-US" w:eastAsia="zh-CN"/>
        </w:rPr>
        <w:t>分，一般公共服务支出年初预算数</w:t>
      </w:r>
      <w:r>
        <w:rPr>
          <w:rFonts w:hint="eastAsia" w:ascii="Times New Roman" w:hAnsi="Times New Roman" w:cs="仿宋_GB2312"/>
          <w:i w:val="0"/>
          <w:iCs w:val="0"/>
          <w:caps w:val="0"/>
          <w:color w:val="000000"/>
          <w:spacing w:val="0"/>
          <w:sz w:val="32"/>
          <w:szCs w:val="32"/>
          <w:shd w:val="clear" w:fill="FFFFFF"/>
          <w:lang w:val="en-US" w:eastAsia="zh-CN"/>
        </w:rPr>
        <w:t>3094.69</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万元，全年预算数</w:t>
      </w:r>
      <w:r>
        <w:rPr>
          <w:rFonts w:hint="eastAsia" w:ascii="Times New Roman" w:hAnsi="Times New Roman" w:cs="仿宋_GB2312"/>
          <w:i w:val="0"/>
          <w:iCs w:val="0"/>
          <w:caps w:val="0"/>
          <w:color w:val="000000"/>
          <w:spacing w:val="0"/>
          <w:sz w:val="32"/>
          <w:szCs w:val="32"/>
          <w:shd w:val="clear" w:fill="FFFFFF"/>
          <w:lang w:val="en-US" w:eastAsia="zh-CN"/>
        </w:rPr>
        <w:t>3102</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万元，决算数</w:t>
      </w:r>
      <w:r>
        <w:rPr>
          <w:rFonts w:hint="eastAsia" w:ascii="Times New Roman" w:hAnsi="Times New Roman" w:cs="仿宋_GB2312"/>
          <w:i w:val="0"/>
          <w:iCs w:val="0"/>
          <w:caps w:val="0"/>
          <w:color w:val="000000"/>
          <w:spacing w:val="0"/>
          <w:sz w:val="32"/>
          <w:szCs w:val="32"/>
          <w:shd w:val="clear" w:fill="FFFFFF"/>
          <w:lang w:val="en-US" w:eastAsia="zh-CN"/>
        </w:rPr>
        <w:t>3096.73</w:t>
      </w:r>
      <w:r>
        <w:rPr>
          <w:rFonts w:hint="eastAsia" w:ascii="仿宋_GB2312" w:hAnsi="仿宋_GB2312" w:eastAsia="仿宋_GB2312" w:cs="仿宋_GB2312"/>
          <w:i w:val="0"/>
          <w:iCs w:val="0"/>
          <w:caps w:val="0"/>
          <w:color w:val="000000"/>
          <w:spacing w:val="0"/>
          <w:sz w:val="32"/>
          <w:szCs w:val="32"/>
          <w:shd w:val="clear" w:fill="FFFFFF"/>
          <w:lang w:val="en-US" w:eastAsia="zh-CN"/>
        </w:rPr>
        <w:t>万元。社会保障和就业支出年初预算数</w:t>
      </w:r>
      <w:r>
        <w:rPr>
          <w:rFonts w:hint="eastAsia" w:ascii="Times New Roman" w:hAnsi="Times New Roman"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万元，全年预算数</w:t>
      </w:r>
      <w:r>
        <w:rPr>
          <w:rFonts w:hint="eastAsia" w:ascii="Times New Roman" w:hAnsi="Times New Roman" w:cs="仿宋_GB2312"/>
          <w:i w:val="0"/>
          <w:iCs w:val="0"/>
          <w:caps w:val="0"/>
          <w:color w:val="000000"/>
          <w:spacing w:val="0"/>
          <w:sz w:val="32"/>
          <w:szCs w:val="32"/>
          <w:shd w:val="clear" w:fill="FFFFFF"/>
          <w:lang w:val="en-US" w:eastAsia="zh-CN"/>
        </w:rPr>
        <w:t>188</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万元，决算数</w:t>
      </w:r>
      <w:r>
        <w:rPr>
          <w:rFonts w:hint="eastAsia" w:ascii="Times New Roman" w:hAnsi="Times New Roman" w:cs="仿宋_GB2312"/>
          <w:i w:val="0"/>
          <w:iCs w:val="0"/>
          <w:caps w:val="0"/>
          <w:color w:val="000000"/>
          <w:spacing w:val="0"/>
          <w:sz w:val="32"/>
          <w:szCs w:val="32"/>
          <w:shd w:val="clear" w:fill="FFFFFF"/>
          <w:lang w:val="en-US" w:eastAsia="zh-CN"/>
        </w:rPr>
        <w:t>187.72</w:t>
      </w:r>
      <w:r>
        <w:rPr>
          <w:rFonts w:hint="eastAsia" w:ascii="仿宋_GB2312" w:hAnsi="仿宋_GB2312" w:eastAsia="仿宋_GB2312" w:cs="仿宋_GB2312"/>
          <w:i w:val="0"/>
          <w:iCs w:val="0"/>
          <w:caps w:val="0"/>
          <w:color w:val="000000"/>
          <w:spacing w:val="0"/>
          <w:sz w:val="32"/>
          <w:szCs w:val="32"/>
          <w:shd w:val="clear" w:fill="FFFFFF"/>
          <w:lang w:val="en-US" w:eastAsia="zh-CN"/>
        </w:rPr>
        <w:t>万元。</w:t>
      </w:r>
    </w:p>
    <w:p w14:paraId="1327F40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按支出性质和经济分类分，基本支出年初预算数</w:t>
      </w:r>
      <w:r>
        <w:rPr>
          <w:rFonts w:hint="eastAsia" w:ascii="Times New Roman" w:hAnsi="Times New Roman" w:cs="仿宋_GB2312"/>
          <w:i w:val="0"/>
          <w:iCs w:val="0"/>
          <w:caps w:val="0"/>
          <w:color w:val="000000"/>
          <w:spacing w:val="0"/>
          <w:sz w:val="32"/>
          <w:szCs w:val="32"/>
          <w:shd w:val="clear" w:fill="FFFFFF"/>
          <w:lang w:val="en-US" w:eastAsia="zh-CN"/>
        </w:rPr>
        <w:t>2595.69</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万元，全年预算数</w:t>
      </w:r>
      <w:r>
        <w:rPr>
          <w:rFonts w:hint="eastAsia" w:ascii="Times New Roman" w:hAnsi="Times New Roman" w:cs="仿宋_GB2312"/>
          <w:i w:val="0"/>
          <w:iCs w:val="0"/>
          <w:caps w:val="0"/>
          <w:color w:val="000000"/>
          <w:spacing w:val="0"/>
          <w:sz w:val="32"/>
          <w:szCs w:val="32"/>
          <w:shd w:val="clear" w:fill="FFFFFF"/>
          <w:lang w:val="en-US" w:eastAsia="zh-CN"/>
        </w:rPr>
        <w:t>3290</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万元，决算数</w:t>
      </w:r>
      <w:r>
        <w:rPr>
          <w:rFonts w:hint="eastAsia" w:ascii="仿宋_GB2312" w:hAnsi="仿宋_GB2312" w:cs="仿宋_GB2312"/>
          <w:i w:val="0"/>
          <w:iCs w:val="0"/>
          <w:caps w:val="0"/>
          <w:color w:val="000000"/>
          <w:spacing w:val="0"/>
          <w:sz w:val="32"/>
          <w:szCs w:val="32"/>
          <w:shd w:val="clear" w:fill="FFFFFF"/>
          <w:lang w:val="en-US" w:eastAsia="zh-CN"/>
        </w:rPr>
        <w:t>3284.45</w:t>
      </w:r>
      <w:r>
        <w:rPr>
          <w:rFonts w:hint="eastAsia" w:ascii="仿宋_GB2312" w:hAnsi="仿宋_GB2312" w:eastAsia="仿宋_GB2312" w:cs="仿宋_GB2312"/>
          <w:i w:val="0"/>
          <w:iCs w:val="0"/>
          <w:caps w:val="0"/>
          <w:color w:val="000000"/>
          <w:spacing w:val="0"/>
          <w:sz w:val="32"/>
          <w:szCs w:val="32"/>
          <w:shd w:val="clear" w:fill="FFFFFF"/>
          <w:lang w:val="en-US" w:eastAsia="zh-CN"/>
        </w:rPr>
        <w:t>万元；项目支出年初预算数</w:t>
      </w:r>
      <w:r>
        <w:rPr>
          <w:rFonts w:hint="eastAsia" w:ascii="Times New Roman" w:hAnsi="Times New Roman" w:cs="仿宋_GB2312"/>
          <w:i w:val="0"/>
          <w:iCs w:val="0"/>
          <w:caps w:val="0"/>
          <w:color w:val="000000"/>
          <w:spacing w:val="0"/>
          <w:sz w:val="32"/>
          <w:szCs w:val="32"/>
          <w:shd w:val="clear" w:fill="FFFFFF"/>
          <w:lang w:val="en-US" w:eastAsia="zh-CN"/>
        </w:rPr>
        <w:t>499</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万元，全年预算数</w:t>
      </w:r>
      <w:r>
        <w:rPr>
          <w:rFonts w:hint="eastAsia" w:ascii="Times New Roman" w:hAnsi="Times New Roman"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万元，决算数</w:t>
      </w:r>
      <w:r>
        <w:rPr>
          <w:rFonts w:hint="eastAsia" w:ascii="Times New Roman" w:hAnsi="Times New Roman"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万元。</w:t>
      </w:r>
    </w:p>
    <w:p w14:paraId="31A1B670">
      <w:pPr>
        <w:bidi w:val="0"/>
        <w:rPr>
          <w:rFonts w:hint="default"/>
          <w:lang w:val="en-US" w:eastAsia="zh-CN"/>
        </w:rPr>
      </w:pPr>
      <w:r>
        <w:rPr>
          <w:rFonts w:ascii="仿宋_GB2312" w:hAnsi="仿宋_GB2312" w:eastAsia="仿宋_GB2312" w:cs="仿宋_GB2312"/>
          <w:i w:val="0"/>
          <w:iCs w:val="0"/>
          <w:caps w:val="0"/>
          <w:color w:val="000000"/>
          <w:spacing w:val="0"/>
          <w:kern w:val="0"/>
          <w:sz w:val="32"/>
          <w:szCs w:val="32"/>
          <w:shd w:val="clear" w:fill="FFFFFF"/>
          <w:lang w:bidi="ar"/>
        </w:rPr>
        <w:t>我单位严格遵循《中华人民共和国预算法》及专项资金管理规定</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和既定预算用途，</w:t>
      </w:r>
      <w:r>
        <w:rPr>
          <w:rFonts w:ascii="仿宋_GB2312" w:hAnsi="仿宋_GB2312" w:eastAsia="仿宋_GB2312" w:cs="仿宋_GB2312"/>
          <w:i w:val="0"/>
          <w:iCs w:val="0"/>
          <w:caps w:val="0"/>
          <w:color w:val="000000"/>
          <w:spacing w:val="0"/>
          <w:kern w:val="0"/>
          <w:sz w:val="32"/>
          <w:szCs w:val="32"/>
          <w:shd w:val="clear" w:fill="FFFFFF"/>
          <w:lang w:bidi="ar"/>
        </w:rPr>
        <w:t>执行指标资金的支出，</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切实做到了“无预算不执行”。并按照财务制度，</w:t>
      </w:r>
      <w:r>
        <w:rPr>
          <w:rFonts w:ascii="仿宋_GB2312" w:hAnsi="仿宋_GB2312" w:eastAsia="仿宋_GB2312" w:cs="仿宋_GB2312"/>
          <w:i w:val="0"/>
          <w:iCs w:val="0"/>
          <w:caps w:val="0"/>
          <w:color w:val="000000"/>
          <w:spacing w:val="0"/>
          <w:kern w:val="0"/>
          <w:sz w:val="32"/>
          <w:szCs w:val="32"/>
          <w:shd w:val="clear" w:fill="FFFFFF"/>
          <w:lang w:bidi="ar"/>
        </w:rPr>
        <w:t>明确支出标准和范围，</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相关审批程序完整，</w:t>
      </w:r>
      <w:r>
        <w:rPr>
          <w:rFonts w:ascii="仿宋_GB2312" w:hAnsi="仿宋_GB2312" w:eastAsia="仿宋_GB2312" w:cs="仿宋_GB2312"/>
          <w:i w:val="0"/>
          <w:iCs w:val="0"/>
          <w:caps w:val="0"/>
          <w:color w:val="000000"/>
          <w:spacing w:val="0"/>
          <w:kern w:val="0"/>
          <w:sz w:val="32"/>
          <w:szCs w:val="32"/>
          <w:shd w:val="clear" w:fill="FFFFFF"/>
          <w:lang w:bidi="ar"/>
        </w:rPr>
        <w:t>确保</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财政</w:t>
      </w:r>
      <w:r>
        <w:rPr>
          <w:rFonts w:ascii="仿宋_GB2312" w:hAnsi="仿宋_GB2312" w:eastAsia="仿宋_GB2312" w:cs="仿宋_GB2312"/>
          <w:i w:val="0"/>
          <w:iCs w:val="0"/>
          <w:caps w:val="0"/>
          <w:color w:val="000000"/>
          <w:spacing w:val="0"/>
          <w:kern w:val="0"/>
          <w:sz w:val="32"/>
          <w:szCs w:val="32"/>
          <w:shd w:val="clear" w:fill="FFFFFF"/>
          <w:lang w:bidi="ar"/>
        </w:rPr>
        <w:t>资金使用效益最大化。</w:t>
      </w:r>
    </w:p>
    <w:p w14:paraId="160BF71B">
      <w:pPr>
        <w:pStyle w:val="3"/>
        <w:bidi w:val="0"/>
        <w:rPr>
          <w:rFonts w:hint="default"/>
        </w:rPr>
      </w:pPr>
      <w:r>
        <w:rPr>
          <w:rFonts w:hint="default"/>
        </w:rPr>
        <w:t>（二）部门预算执行情况</w:t>
      </w:r>
    </w:p>
    <w:p w14:paraId="5D99BDE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14:paraId="5D8885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outlineLvl w:val="9"/>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基本支出年初预算数</w:t>
      </w:r>
      <w:r>
        <w:rPr>
          <w:rFonts w:hint="eastAsia" w:ascii="Times New Roman" w:hAnsi="Times New Roman" w:cs="仿宋_GB2312"/>
          <w:i w:val="0"/>
          <w:iCs w:val="0"/>
          <w:caps w:val="0"/>
          <w:color w:val="000000"/>
          <w:spacing w:val="0"/>
          <w:sz w:val="32"/>
          <w:szCs w:val="32"/>
          <w:shd w:val="clear" w:fill="FFFFFF"/>
          <w:lang w:val="en-US" w:eastAsia="zh-CN"/>
        </w:rPr>
        <w:t>2595.69</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万元，全年预算数</w:t>
      </w:r>
      <w:r>
        <w:rPr>
          <w:rFonts w:hint="eastAsia" w:ascii="Times New Roman" w:hAnsi="Times New Roman" w:cs="仿宋_GB2312"/>
          <w:i w:val="0"/>
          <w:iCs w:val="0"/>
          <w:caps w:val="0"/>
          <w:color w:val="000000"/>
          <w:spacing w:val="0"/>
          <w:sz w:val="32"/>
          <w:szCs w:val="32"/>
          <w:shd w:val="clear" w:fill="FFFFFF"/>
          <w:lang w:val="en-US" w:eastAsia="zh-CN"/>
        </w:rPr>
        <w:t>3290</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万元，决算数</w:t>
      </w:r>
      <w:r>
        <w:rPr>
          <w:rFonts w:hint="eastAsia" w:ascii="仿宋_GB2312" w:hAnsi="仿宋_GB2312" w:cs="仿宋_GB2312"/>
          <w:i w:val="0"/>
          <w:iCs w:val="0"/>
          <w:caps w:val="0"/>
          <w:color w:val="000000"/>
          <w:spacing w:val="0"/>
          <w:sz w:val="32"/>
          <w:szCs w:val="32"/>
          <w:shd w:val="clear" w:fill="FFFFFF"/>
          <w:lang w:val="en-US" w:eastAsia="zh-CN"/>
        </w:rPr>
        <w:t>3284.45</w:t>
      </w:r>
      <w:r>
        <w:rPr>
          <w:rFonts w:hint="eastAsia" w:ascii="仿宋_GB2312" w:hAnsi="仿宋_GB2312" w:eastAsia="仿宋_GB2312" w:cs="仿宋_GB2312"/>
          <w:i w:val="0"/>
          <w:iCs w:val="0"/>
          <w:caps w:val="0"/>
          <w:color w:val="000000"/>
          <w:spacing w:val="0"/>
          <w:sz w:val="32"/>
          <w:szCs w:val="32"/>
          <w:shd w:val="clear" w:fill="FFFFFF"/>
          <w:lang w:val="en-US" w:eastAsia="zh-CN"/>
        </w:rPr>
        <w:t>万元。其中，人员经费年初预算数</w:t>
      </w:r>
      <w:r>
        <w:rPr>
          <w:rFonts w:hint="eastAsia" w:ascii="Times New Roman" w:hAnsi="Times New Roman" w:cs="仿宋_GB2312"/>
          <w:i w:val="0"/>
          <w:iCs w:val="0"/>
          <w:caps w:val="0"/>
          <w:color w:val="000000"/>
          <w:spacing w:val="0"/>
          <w:sz w:val="32"/>
          <w:szCs w:val="32"/>
          <w:shd w:val="clear" w:fill="FFFFFF"/>
          <w:lang w:val="en-US" w:eastAsia="zh-CN"/>
        </w:rPr>
        <w:t>2339.69</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万元，全年预算数</w:t>
      </w:r>
      <w:r>
        <w:rPr>
          <w:rFonts w:hint="eastAsia" w:ascii="Times New Roman" w:hAnsi="Times New Roman" w:cs="仿宋_GB2312"/>
          <w:i w:val="0"/>
          <w:iCs w:val="0"/>
          <w:caps w:val="0"/>
          <w:color w:val="000000"/>
          <w:spacing w:val="0"/>
          <w:sz w:val="32"/>
          <w:szCs w:val="32"/>
          <w:shd w:val="clear" w:fill="FFFFFF"/>
          <w:lang w:val="en-US" w:eastAsia="zh-CN"/>
        </w:rPr>
        <w:t>2405</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万元，决算数</w:t>
      </w:r>
      <w:r>
        <w:rPr>
          <w:rFonts w:hint="eastAsia" w:ascii="Times New Roman" w:hAnsi="Times New Roman" w:cs="仿宋_GB2312"/>
          <w:i w:val="0"/>
          <w:iCs w:val="0"/>
          <w:caps w:val="0"/>
          <w:color w:val="000000"/>
          <w:spacing w:val="0"/>
          <w:sz w:val="32"/>
          <w:szCs w:val="32"/>
          <w:shd w:val="clear" w:fill="FFFFFF"/>
          <w:lang w:val="en-US" w:eastAsia="zh-CN"/>
        </w:rPr>
        <w:t>2399.59</w:t>
      </w:r>
      <w:r>
        <w:rPr>
          <w:rFonts w:hint="eastAsia" w:ascii="仿宋_GB2312" w:hAnsi="仿宋_GB2312" w:eastAsia="仿宋_GB2312" w:cs="仿宋_GB2312"/>
          <w:i w:val="0"/>
          <w:iCs w:val="0"/>
          <w:caps w:val="0"/>
          <w:color w:val="000000"/>
          <w:spacing w:val="0"/>
          <w:sz w:val="32"/>
          <w:szCs w:val="32"/>
          <w:shd w:val="clear" w:fill="FFFFFF"/>
          <w:lang w:val="en-US" w:eastAsia="zh-CN"/>
        </w:rPr>
        <w:t>万元；公用经费年初预算数</w:t>
      </w:r>
      <w:r>
        <w:rPr>
          <w:rFonts w:hint="eastAsia" w:ascii="Times New Roman" w:hAnsi="Times New Roman" w:cs="仿宋_GB2312"/>
          <w:i w:val="0"/>
          <w:iCs w:val="0"/>
          <w:caps w:val="0"/>
          <w:color w:val="000000"/>
          <w:spacing w:val="0"/>
          <w:sz w:val="32"/>
          <w:szCs w:val="32"/>
          <w:shd w:val="clear" w:fill="FFFFFF"/>
          <w:lang w:val="en-US" w:eastAsia="zh-CN"/>
        </w:rPr>
        <w:t>256</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万元，全年预算数</w:t>
      </w:r>
      <w:r>
        <w:rPr>
          <w:rFonts w:hint="eastAsia" w:ascii="Times New Roman" w:hAnsi="Times New Roman" w:cs="仿宋_GB2312"/>
          <w:i w:val="0"/>
          <w:iCs w:val="0"/>
          <w:caps w:val="0"/>
          <w:color w:val="000000"/>
          <w:spacing w:val="0"/>
          <w:sz w:val="32"/>
          <w:szCs w:val="32"/>
          <w:shd w:val="clear" w:fill="FFFFFF"/>
          <w:lang w:val="en-US" w:eastAsia="zh-CN"/>
        </w:rPr>
        <w:t>885</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万元，决算数</w:t>
      </w:r>
      <w:r>
        <w:rPr>
          <w:rFonts w:hint="eastAsia" w:ascii="Times New Roman" w:hAnsi="Times New Roman" w:cs="仿宋_GB2312"/>
          <w:i w:val="0"/>
          <w:iCs w:val="0"/>
          <w:caps w:val="0"/>
          <w:color w:val="000000"/>
          <w:spacing w:val="0"/>
          <w:sz w:val="32"/>
          <w:szCs w:val="32"/>
          <w:shd w:val="clear" w:fill="FFFFFF"/>
          <w:lang w:val="en-US" w:eastAsia="zh-CN"/>
        </w:rPr>
        <w:t>884.86</w:t>
      </w:r>
      <w:r>
        <w:rPr>
          <w:rFonts w:hint="eastAsia" w:ascii="仿宋_GB2312" w:hAnsi="仿宋_GB2312" w:eastAsia="仿宋_GB2312" w:cs="仿宋_GB2312"/>
          <w:i w:val="0"/>
          <w:iCs w:val="0"/>
          <w:caps w:val="0"/>
          <w:color w:val="000000"/>
          <w:spacing w:val="0"/>
          <w:sz w:val="32"/>
          <w:szCs w:val="32"/>
          <w:shd w:val="clear" w:fill="FFFFFF"/>
          <w:lang w:val="en-US" w:eastAsia="zh-CN"/>
        </w:rPr>
        <w:t>万元</w:t>
      </w:r>
      <w:r>
        <w:rPr>
          <w:rFonts w:hint="eastAsia" w:ascii="仿宋_GB2312" w:cs="仿宋_GB2312"/>
          <w:i w:val="0"/>
          <w:iCs w:val="0"/>
          <w:caps w:val="0"/>
          <w:color w:val="000000"/>
          <w:spacing w:val="0"/>
          <w:sz w:val="32"/>
          <w:szCs w:val="32"/>
          <w:shd w:val="clear" w:fill="FFFFFF"/>
          <w:lang w:val="en-US" w:eastAsia="zh-CN"/>
        </w:rPr>
        <w:t>。</w:t>
      </w:r>
    </w:p>
    <w:p w14:paraId="4709D2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2.项目支出情况</w:t>
      </w:r>
    </w:p>
    <w:p w14:paraId="771F2C4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default" w:ascii="仿宋_GB2312" w:cs="仿宋_GB2312"/>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项目支出年初预算数</w:t>
      </w:r>
      <w:r>
        <w:rPr>
          <w:rFonts w:hint="eastAsia" w:ascii="Times New Roman" w:hAnsi="Times New Roman" w:cs="仿宋_GB2312"/>
          <w:i w:val="0"/>
          <w:iCs w:val="0"/>
          <w:caps w:val="0"/>
          <w:color w:val="000000"/>
          <w:spacing w:val="0"/>
          <w:sz w:val="32"/>
          <w:szCs w:val="32"/>
          <w:shd w:val="clear" w:fill="FFFFFF"/>
          <w:lang w:val="en-US" w:eastAsia="zh-CN"/>
        </w:rPr>
        <w:t>499</w:t>
      </w:r>
      <w:r>
        <w:rPr>
          <w:rFonts w:hint="default" w:ascii="Times New Roman" w:hAnsi="Times New Roman" w:eastAsia="仿宋_GB2312" w:cs="Times New Roman"/>
          <w:i w:val="0"/>
          <w:iCs w:val="0"/>
          <w:caps w:val="0"/>
          <w:color w:val="000000"/>
          <w:spacing w:val="0"/>
          <w:sz w:val="32"/>
          <w:szCs w:val="32"/>
          <w:shd w:val="clear" w:fill="FFFFFF"/>
          <w:lang w:val="en-US" w:eastAsia="zh-CN"/>
        </w:rPr>
        <w:t>万元，全年预算数</w:t>
      </w:r>
      <w:r>
        <w:rPr>
          <w:rFonts w:hint="eastAsia" w:ascii="Times New Roman" w:hAnsi="Times New Roman"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lang w:val="en-US" w:eastAsia="zh-CN"/>
        </w:rPr>
        <w:t>万元，决算数</w:t>
      </w:r>
      <w:r>
        <w:rPr>
          <w:rFonts w:hint="eastAsia" w:ascii="Times New Roman" w:hAnsi="Times New Roman"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lang w:val="en-US" w:eastAsia="zh-CN"/>
        </w:rPr>
        <w:t>万元</w:t>
      </w:r>
      <w:r>
        <w:rPr>
          <w:rFonts w:hint="eastAsia" w:ascii="仿宋_GB2312" w:cs="仿宋_GB2312"/>
          <w:i w:val="0"/>
          <w:iCs w:val="0"/>
          <w:caps w:val="0"/>
          <w:color w:val="000000"/>
          <w:spacing w:val="0"/>
          <w:sz w:val="32"/>
          <w:szCs w:val="32"/>
          <w:shd w:val="clear" w:fill="FFFFFF"/>
          <w:lang w:val="en-US" w:eastAsia="zh-CN"/>
        </w:rPr>
        <w:t>。</w:t>
      </w:r>
    </w:p>
    <w:p w14:paraId="6413ECB9">
      <w:pPr>
        <w:pStyle w:val="3"/>
        <w:bidi w:val="0"/>
        <w:rPr>
          <w:rFonts w:hint="default"/>
        </w:rPr>
      </w:pPr>
      <w:r>
        <w:rPr>
          <w:rFonts w:hint="default"/>
        </w:rPr>
        <w:t>（三）"三公"经费使用和管理情况</w:t>
      </w:r>
    </w:p>
    <w:p w14:paraId="532049B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Times New Roman" w:hAnsi="Times New Roman" w:eastAsia="仿宋_GB2312" w:cs="仿宋_GB2312"/>
          <w:i w:val="0"/>
          <w:iCs w:val="0"/>
          <w:caps w:val="0"/>
          <w:color w:val="000000"/>
          <w:spacing w:val="0"/>
          <w:sz w:val="32"/>
          <w:szCs w:val="32"/>
          <w:shd w:val="clear" w:fill="FFFFFF"/>
          <w:lang w:val="en-US" w:eastAsia="zh-CN"/>
        </w:rPr>
        <w:t>2024</w:t>
      </w:r>
      <w:r>
        <w:rPr>
          <w:rFonts w:hint="eastAsia" w:ascii="仿宋_GB2312" w:hAnsi="仿宋_GB2312" w:eastAsia="仿宋_GB2312" w:cs="仿宋_GB2312"/>
          <w:i w:val="0"/>
          <w:iCs w:val="0"/>
          <w:caps w:val="0"/>
          <w:color w:val="000000"/>
          <w:spacing w:val="0"/>
          <w:sz w:val="32"/>
          <w:szCs w:val="32"/>
          <w:shd w:val="clear" w:fill="FFFFFF"/>
          <w:lang w:val="en-US" w:eastAsia="zh-CN"/>
        </w:rPr>
        <w:t>年“三公”经费年初预算数</w:t>
      </w:r>
      <w:r>
        <w:rPr>
          <w:rFonts w:hint="eastAsia" w:ascii="Times New Roman" w:hAnsi="Times New Roman" w:cs="仿宋_GB2312"/>
          <w:i w:val="0"/>
          <w:iCs w:val="0"/>
          <w:caps w:val="0"/>
          <w:color w:val="000000"/>
          <w:spacing w:val="0"/>
          <w:sz w:val="32"/>
          <w:szCs w:val="32"/>
          <w:shd w:val="clear" w:fill="FFFFFF"/>
          <w:lang w:val="en-US" w:eastAsia="zh-CN"/>
        </w:rPr>
        <w:t>15</w:t>
      </w:r>
      <w:r>
        <w:rPr>
          <w:rFonts w:hint="eastAsia" w:ascii="仿宋_GB2312" w:hAnsi="仿宋_GB2312" w:eastAsia="仿宋_GB2312" w:cs="仿宋_GB2312"/>
          <w:i w:val="0"/>
          <w:iCs w:val="0"/>
          <w:caps w:val="0"/>
          <w:color w:val="000000"/>
          <w:spacing w:val="0"/>
          <w:sz w:val="32"/>
          <w:szCs w:val="32"/>
          <w:shd w:val="clear" w:fill="FFFFFF"/>
          <w:lang w:val="en-US" w:eastAsia="zh-CN"/>
        </w:rPr>
        <w:t>万元，其中，因公出国（境）费</w:t>
      </w:r>
      <w:r>
        <w:rPr>
          <w:rFonts w:hint="eastAsia" w:ascii="Times New Roman" w:hAnsi="Times New Roman" w:eastAsia="仿宋_GB2312"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00</w:t>
      </w:r>
      <w:r>
        <w:rPr>
          <w:rFonts w:hint="eastAsia" w:ascii="仿宋_GB2312" w:hAnsi="仿宋_GB2312" w:eastAsia="仿宋_GB2312" w:cs="仿宋_GB2312"/>
          <w:i w:val="0"/>
          <w:iCs w:val="0"/>
          <w:caps w:val="0"/>
          <w:color w:val="000000"/>
          <w:spacing w:val="0"/>
          <w:sz w:val="32"/>
          <w:szCs w:val="32"/>
          <w:shd w:val="clear" w:fill="FFFFFF"/>
          <w:lang w:val="en-US" w:eastAsia="zh-CN"/>
        </w:rPr>
        <w:t>万元，公务用车购置及运行维护费</w:t>
      </w:r>
      <w:r>
        <w:rPr>
          <w:rFonts w:hint="eastAsia" w:ascii="Times New Roman" w:hAnsi="Times New Roman" w:eastAsia="仿宋_GB2312"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00</w:t>
      </w:r>
      <w:r>
        <w:rPr>
          <w:rFonts w:hint="eastAsia" w:ascii="仿宋_GB2312" w:hAnsi="仿宋_GB2312" w:eastAsia="仿宋_GB2312" w:cs="仿宋_GB2312"/>
          <w:i w:val="0"/>
          <w:iCs w:val="0"/>
          <w:caps w:val="0"/>
          <w:color w:val="000000"/>
          <w:spacing w:val="0"/>
          <w:sz w:val="32"/>
          <w:szCs w:val="32"/>
          <w:shd w:val="clear" w:fill="FFFFFF"/>
          <w:lang w:val="en-US" w:eastAsia="zh-CN"/>
        </w:rPr>
        <w:t>万元，公务接待费</w:t>
      </w:r>
      <w:r>
        <w:rPr>
          <w:rFonts w:hint="eastAsia" w:ascii="Times New Roman" w:hAnsi="Times New Roman" w:cs="仿宋_GB2312"/>
          <w:i w:val="0"/>
          <w:iCs w:val="0"/>
          <w:caps w:val="0"/>
          <w:color w:val="000000"/>
          <w:spacing w:val="0"/>
          <w:sz w:val="32"/>
          <w:szCs w:val="32"/>
          <w:shd w:val="clear" w:fill="FFFFFF"/>
          <w:lang w:val="en-US" w:eastAsia="zh-CN"/>
        </w:rPr>
        <w:t>15</w:t>
      </w:r>
      <w:r>
        <w:rPr>
          <w:rFonts w:hint="eastAsia" w:ascii="仿宋_GB2312" w:hAnsi="仿宋_GB2312" w:eastAsia="仿宋_GB2312" w:cs="仿宋_GB2312"/>
          <w:i w:val="0"/>
          <w:iCs w:val="0"/>
          <w:caps w:val="0"/>
          <w:color w:val="000000"/>
          <w:spacing w:val="0"/>
          <w:sz w:val="32"/>
          <w:szCs w:val="32"/>
          <w:shd w:val="clear" w:fill="FFFFFF"/>
          <w:lang w:val="en-US" w:eastAsia="zh-CN"/>
        </w:rPr>
        <w:t>万元。全年预算数</w:t>
      </w:r>
      <w:r>
        <w:rPr>
          <w:rFonts w:hint="eastAsia" w:ascii="Times New Roman" w:hAnsi="Times New Roman" w:cs="仿宋_GB2312"/>
          <w:i w:val="0"/>
          <w:iCs w:val="0"/>
          <w:caps w:val="0"/>
          <w:color w:val="000000"/>
          <w:spacing w:val="0"/>
          <w:sz w:val="32"/>
          <w:szCs w:val="32"/>
          <w:shd w:val="clear" w:fill="FFFFFF"/>
          <w:lang w:val="en-US" w:eastAsia="zh-CN"/>
        </w:rPr>
        <w:t>1.76</w:t>
      </w:r>
      <w:r>
        <w:rPr>
          <w:rFonts w:hint="eastAsia" w:ascii="仿宋_GB2312" w:hAnsi="仿宋_GB2312" w:eastAsia="仿宋_GB2312" w:cs="仿宋_GB2312"/>
          <w:i w:val="0"/>
          <w:iCs w:val="0"/>
          <w:caps w:val="0"/>
          <w:color w:val="000000"/>
          <w:spacing w:val="0"/>
          <w:sz w:val="32"/>
          <w:szCs w:val="32"/>
          <w:shd w:val="clear" w:fill="FFFFFF"/>
          <w:lang w:val="en-US" w:eastAsia="zh-CN"/>
        </w:rPr>
        <w:t>万元，其中，因公出国（境）费</w:t>
      </w:r>
      <w:r>
        <w:rPr>
          <w:rFonts w:hint="eastAsia" w:ascii="Times New Roman" w:hAnsi="Times New Roman" w:eastAsia="仿宋_GB2312"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00</w:t>
      </w:r>
      <w:r>
        <w:rPr>
          <w:rFonts w:hint="eastAsia" w:ascii="仿宋_GB2312" w:hAnsi="仿宋_GB2312" w:eastAsia="仿宋_GB2312" w:cs="仿宋_GB2312"/>
          <w:i w:val="0"/>
          <w:iCs w:val="0"/>
          <w:caps w:val="0"/>
          <w:color w:val="000000"/>
          <w:spacing w:val="0"/>
          <w:sz w:val="32"/>
          <w:szCs w:val="32"/>
          <w:shd w:val="clear" w:fill="FFFFFF"/>
          <w:lang w:val="en-US" w:eastAsia="zh-CN"/>
        </w:rPr>
        <w:t>万元，公务用车购置及运行维护费</w:t>
      </w:r>
      <w:r>
        <w:rPr>
          <w:rFonts w:hint="eastAsia" w:ascii="Times New Roman" w:hAnsi="Times New Roman" w:eastAsia="仿宋_GB2312"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00</w:t>
      </w:r>
      <w:r>
        <w:rPr>
          <w:rFonts w:hint="eastAsia" w:ascii="仿宋_GB2312" w:hAnsi="仿宋_GB2312" w:eastAsia="仿宋_GB2312" w:cs="仿宋_GB2312"/>
          <w:i w:val="0"/>
          <w:iCs w:val="0"/>
          <w:caps w:val="0"/>
          <w:color w:val="000000"/>
          <w:spacing w:val="0"/>
          <w:sz w:val="32"/>
          <w:szCs w:val="32"/>
          <w:shd w:val="clear" w:fill="FFFFFF"/>
          <w:lang w:val="en-US" w:eastAsia="zh-CN"/>
        </w:rPr>
        <w:t>万元，公务接待费</w:t>
      </w:r>
      <w:r>
        <w:rPr>
          <w:rFonts w:hint="eastAsia" w:ascii="Times New Roman" w:hAnsi="Times New Roman" w:cs="仿宋_GB2312"/>
          <w:i w:val="0"/>
          <w:iCs w:val="0"/>
          <w:caps w:val="0"/>
          <w:color w:val="000000"/>
          <w:spacing w:val="0"/>
          <w:sz w:val="32"/>
          <w:szCs w:val="32"/>
          <w:shd w:val="clear" w:fill="FFFFFF"/>
          <w:lang w:val="en-US" w:eastAsia="zh-CN"/>
        </w:rPr>
        <w:t>1.76</w:t>
      </w:r>
      <w:r>
        <w:rPr>
          <w:rFonts w:hint="eastAsia" w:ascii="仿宋_GB2312" w:hAnsi="仿宋_GB2312" w:eastAsia="仿宋_GB2312" w:cs="仿宋_GB2312"/>
          <w:i w:val="0"/>
          <w:iCs w:val="0"/>
          <w:caps w:val="0"/>
          <w:color w:val="000000"/>
          <w:spacing w:val="0"/>
          <w:sz w:val="32"/>
          <w:szCs w:val="32"/>
          <w:shd w:val="clear" w:fill="FFFFFF"/>
          <w:lang w:val="en-US" w:eastAsia="zh-CN"/>
        </w:rPr>
        <w:t>万元。决算数</w:t>
      </w:r>
      <w:r>
        <w:rPr>
          <w:rFonts w:hint="eastAsia" w:ascii="Times New Roman" w:hAnsi="Times New Roman" w:cs="仿宋_GB2312"/>
          <w:i w:val="0"/>
          <w:iCs w:val="0"/>
          <w:caps w:val="0"/>
          <w:color w:val="000000"/>
          <w:spacing w:val="0"/>
          <w:sz w:val="32"/>
          <w:szCs w:val="32"/>
          <w:shd w:val="clear" w:fill="FFFFFF"/>
          <w:lang w:val="en-US" w:eastAsia="zh-CN"/>
        </w:rPr>
        <w:t>1.76</w:t>
      </w:r>
      <w:r>
        <w:rPr>
          <w:rFonts w:hint="eastAsia" w:ascii="仿宋_GB2312" w:hAnsi="仿宋_GB2312" w:eastAsia="仿宋_GB2312" w:cs="仿宋_GB2312"/>
          <w:i w:val="0"/>
          <w:iCs w:val="0"/>
          <w:caps w:val="0"/>
          <w:color w:val="000000"/>
          <w:spacing w:val="0"/>
          <w:sz w:val="32"/>
          <w:szCs w:val="32"/>
          <w:shd w:val="clear" w:fill="FFFFFF"/>
          <w:lang w:val="en-US" w:eastAsia="zh-CN"/>
        </w:rPr>
        <w:t>万元，其中，因公出国（境）费</w:t>
      </w:r>
      <w:r>
        <w:rPr>
          <w:rFonts w:hint="eastAsia" w:ascii="Times New Roman" w:hAnsi="Times New Roman" w:eastAsia="仿宋_GB2312"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00</w:t>
      </w:r>
      <w:r>
        <w:rPr>
          <w:rFonts w:hint="eastAsia" w:ascii="仿宋_GB2312" w:hAnsi="仿宋_GB2312" w:eastAsia="仿宋_GB2312" w:cs="仿宋_GB2312"/>
          <w:i w:val="0"/>
          <w:iCs w:val="0"/>
          <w:caps w:val="0"/>
          <w:color w:val="000000"/>
          <w:spacing w:val="0"/>
          <w:sz w:val="32"/>
          <w:szCs w:val="32"/>
          <w:shd w:val="clear" w:fill="FFFFFF"/>
          <w:lang w:val="en-US" w:eastAsia="zh-CN"/>
        </w:rPr>
        <w:t>万元，公务用车购置及运行维护费</w:t>
      </w:r>
      <w:r>
        <w:rPr>
          <w:rFonts w:hint="eastAsia" w:ascii="Times New Roman" w:hAnsi="Times New Roman" w:eastAsia="仿宋_GB2312" w:cs="仿宋_GB2312"/>
          <w:i w:val="0"/>
          <w:iCs w:val="0"/>
          <w:caps w:val="0"/>
          <w:color w:val="000000"/>
          <w:spacing w:val="0"/>
          <w:sz w:val="32"/>
          <w:szCs w:val="32"/>
          <w:shd w:val="clear" w:fill="FFFFFF"/>
          <w:lang w:val="en-US" w:eastAsia="zh-CN"/>
        </w:rPr>
        <w:t>0</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00</w:t>
      </w:r>
      <w:r>
        <w:rPr>
          <w:rFonts w:hint="eastAsia" w:ascii="仿宋_GB2312" w:hAnsi="仿宋_GB2312" w:eastAsia="仿宋_GB2312" w:cs="仿宋_GB2312"/>
          <w:i w:val="0"/>
          <w:iCs w:val="0"/>
          <w:caps w:val="0"/>
          <w:color w:val="000000"/>
          <w:spacing w:val="0"/>
          <w:sz w:val="32"/>
          <w:szCs w:val="32"/>
          <w:shd w:val="clear" w:fill="FFFFFF"/>
          <w:lang w:val="en-US" w:eastAsia="zh-CN"/>
        </w:rPr>
        <w:t>万元，公务接待费</w:t>
      </w:r>
      <w:r>
        <w:rPr>
          <w:rFonts w:hint="eastAsia" w:ascii="Times New Roman" w:hAnsi="Times New Roman" w:cs="仿宋_GB2312"/>
          <w:i w:val="0"/>
          <w:iCs w:val="0"/>
          <w:caps w:val="0"/>
          <w:color w:val="000000"/>
          <w:spacing w:val="0"/>
          <w:sz w:val="32"/>
          <w:szCs w:val="32"/>
          <w:shd w:val="clear" w:fill="FFFFFF"/>
          <w:lang w:val="en-US" w:eastAsia="zh-CN"/>
        </w:rPr>
        <w:t>1.76</w:t>
      </w:r>
      <w:r>
        <w:rPr>
          <w:rFonts w:hint="eastAsia" w:ascii="仿宋_GB2312" w:hAnsi="仿宋_GB2312" w:eastAsia="仿宋_GB2312" w:cs="仿宋_GB2312"/>
          <w:i w:val="0"/>
          <w:iCs w:val="0"/>
          <w:caps w:val="0"/>
          <w:color w:val="000000"/>
          <w:spacing w:val="0"/>
          <w:sz w:val="32"/>
          <w:szCs w:val="32"/>
          <w:shd w:val="clear" w:fill="FFFFFF"/>
          <w:lang w:val="en-US" w:eastAsia="zh-CN"/>
        </w:rPr>
        <w:t>万元。</w:t>
      </w:r>
    </w:p>
    <w:p w14:paraId="0F0FDD5E">
      <w:pPr>
        <w:pStyle w:val="2"/>
        <w:bidi w:val="0"/>
        <w:rPr>
          <w:rFonts w:hint="eastAsia"/>
        </w:rPr>
      </w:pPr>
      <w:r>
        <w:rPr>
          <w:rFonts w:hint="eastAsia"/>
        </w:rPr>
        <w:t>三、政府性基金预算支出情况</w:t>
      </w:r>
    </w:p>
    <w:p w14:paraId="39A9A2F6">
      <w:pPr>
        <w:bidi w:val="0"/>
        <w:rPr>
          <w:rFonts w:hint="eastAsia"/>
          <w:lang w:val="en-US" w:eastAsia="zh-CN"/>
        </w:rPr>
      </w:pPr>
      <w:r>
        <w:rPr>
          <w:rFonts w:hint="eastAsia"/>
          <w:lang w:val="en-US" w:eastAsia="zh-CN"/>
        </w:rPr>
        <w:t>无。</w:t>
      </w:r>
    </w:p>
    <w:p w14:paraId="069C89A3">
      <w:pPr>
        <w:pStyle w:val="2"/>
        <w:bidi w:val="0"/>
        <w:rPr>
          <w:rFonts w:hint="eastAsia"/>
        </w:rPr>
      </w:pPr>
      <w:r>
        <w:rPr>
          <w:rFonts w:hint="eastAsia"/>
        </w:rPr>
        <w:t>四、国有资本经营预算支出情况</w:t>
      </w:r>
    </w:p>
    <w:p w14:paraId="5D2EF939">
      <w:pPr>
        <w:bidi w:val="0"/>
        <w:rPr>
          <w:rFonts w:hint="eastAsia"/>
          <w:lang w:val="en-US" w:eastAsia="zh-CN"/>
        </w:rPr>
      </w:pPr>
      <w:r>
        <w:rPr>
          <w:rFonts w:hint="eastAsia"/>
          <w:lang w:val="en-US" w:eastAsia="zh-CN"/>
        </w:rPr>
        <w:t>无。</w:t>
      </w:r>
    </w:p>
    <w:p w14:paraId="48ED9844">
      <w:pPr>
        <w:pStyle w:val="2"/>
        <w:bidi w:val="0"/>
        <w:rPr>
          <w:rFonts w:hint="eastAsia"/>
        </w:rPr>
      </w:pPr>
      <w:r>
        <w:rPr>
          <w:rFonts w:hint="eastAsia"/>
        </w:rPr>
        <w:t>五、社会保险基金预算支出情况</w:t>
      </w:r>
    </w:p>
    <w:p w14:paraId="46C5004F">
      <w:pPr>
        <w:bidi w:val="0"/>
        <w:rPr>
          <w:rFonts w:hint="eastAsia"/>
          <w:lang w:val="en-US" w:eastAsia="zh-CN"/>
        </w:rPr>
      </w:pPr>
      <w:r>
        <w:rPr>
          <w:rFonts w:hint="eastAsia"/>
          <w:lang w:val="en-US" w:eastAsia="zh-CN"/>
        </w:rPr>
        <w:t>无。</w:t>
      </w:r>
    </w:p>
    <w:p w14:paraId="28A4E1DF">
      <w:pPr>
        <w:pStyle w:val="2"/>
        <w:bidi w:val="0"/>
        <w:rPr>
          <w:rFonts w:hint="eastAsia"/>
        </w:rPr>
      </w:pPr>
      <w:r>
        <w:rPr>
          <w:rFonts w:hint="eastAsia"/>
        </w:rPr>
        <w:t>六、部门整体支出绩效情况</w:t>
      </w:r>
    </w:p>
    <w:p w14:paraId="0A8B6F1C">
      <w:pPr>
        <w:pStyle w:val="3"/>
        <w:bidi w:val="0"/>
        <w:rPr>
          <w:rFonts w:hint="default"/>
        </w:rPr>
      </w:pPr>
      <w:r>
        <w:rPr>
          <w:rFonts w:hint="default"/>
        </w:rPr>
        <w:t>（一）综合评价结论</w:t>
      </w:r>
    </w:p>
    <w:p w14:paraId="740AD4C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根据资金绩效评价指标体系和绩效检查情况，财政资金整体绩效分值</w:t>
      </w:r>
      <w:r>
        <w:rPr>
          <w:rFonts w:hint="eastAsia" w:ascii="Times New Roman" w:hAnsi="Times New Roman" w:eastAsia="仿宋_GB2312" w:cs="仿宋_GB2312"/>
          <w:i w:val="0"/>
          <w:iCs w:val="0"/>
          <w:caps w:val="0"/>
          <w:color w:val="000000"/>
          <w:spacing w:val="0"/>
          <w:sz w:val="32"/>
          <w:szCs w:val="32"/>
          <w:shd w:val="clear" w:fill="FFFFFF"/>
        </w:rPr>
        <w:t>100</w:t>
      </w:r>
      <w:r>
        <w:rPr>
          <w:rFonts w:hint="eastAsia" w:ascii="仿宋_GB2312" w:hAnsi="仿宋_GB2312" w:eastAsia="仿宋_GB2312" w:cs="仿宋_GB2312"/>
          <w:i w:val="0"/>
          <w:iCs w:val="0"/>
          <w:caps w:val="0"/>
          <w:color w:val="000000"/>
          <w:spacing w:val="0"/>
          <w:sz w:val="32"/>
          <w:szCs w:val="32"/>
          <w:shd w:val="clear" w:fill="FFFFFF"/>
        </w:rPr>
        <w:t>分，从预算编制和执行情况、节能降耗情况、</w:t>
      </w:r>
      <w:r>
        <w:rPr>
          <w:rFonts w:hint="eastAsia" w:ascii="仿宋_GB2312" w:hAnsi="仿宋_GB2312" w:eastAsia="仿宋_GB2312" w:cs="仿宋_GB2312"/>
          <w:i w:val="0"/>
          <w:iCs w:val="0"/>
          <w:caps w:val="0"/>
          <w:color w:val="000000"/>
          <w:spacing w:val="0"/>
          <w:sz w:val="32"/>
          <w:szCs w:val="32"/>
          <w:shd w:val="clear" w:fill="FFFFFF"/>
          <w:lang w:eastAsia="zh-CN"/>
        </w:rPr>
        <w:t>“三公”经费</w:t>
      </w:r>
      <w:r>
        <w:rPr>
          <w:rFonts w:hint="eastAsia" w:ascii="仿宋_GB2312" w:hAnsi="仿宋_GB2312" w:eastAsia="仿宋_GB2312" w:cs="仿宋_GB2312"/>
          <w:i w:val="0"/>
          <w:iCs w:val="0"/>
          <w:caps w:val="0"/>
          <w:color w:val="000000"/>
          <w:spacing w:val="0"/>
          <w:sz w:val="32"/>
          <w:szCs w:val="32"/>
          <w:shd w:val="clear" w:fill="FFFFFF"/>
        </w:rPr>
        <w:t>控制情况，项目支出管理规范和绩效情况等方面总体评价，</w:t>
      </w:r>
      <w:r>
        <w:rPr>
          <w:rFonts w:hint="eastAsia" w:ascii="仿宋_GB2312" w:hAnsi="仿宋_GB2312" w:eastAsia="仿宋_GB2312" w:cs="仿宋_GB2312"/>
          <w:i w:val="0"/>
          <w:iCs w:val="0"/>
          <w:caps w:val="0"/>
          <w:color w:val="000000"/>
          <w:spacing w:val="0"/>
          <w:sz w:val="32"/>
          <w:szCs w:val="32"/>
          <w:shd w:val="clear" w:fill="FFFFFF"/>
          <w:lang w:val="en-US" w:eastAsia="zh-CN"/>
        </w:rPr>
        <w:t>部门整体支出</w:t>
      </w:r>
      <w:r>
        <w:rPr>
          <w:rFonts w:hint="eastAsia" w:ascii="仿宋_GB2312" w:hAnsi="仿宋_GB2312" w:eastAsia="仿宋_GB2312" w:cs="仿宋_GB2312"/>
          <w:i w:val="0"/>
          <w:iCs w:val="0"/>
          <w:caps w:val="0"/>
          <w:color w:val="000000"/>
          <w:spacing w:val="0"/>
          <w:sz w:val="32"/>
          <w:szCs w:val="32"/>
          <w:shd w:val="clear" w:fill="FFFFFF"/>
        </w:rPr>
        <w:t>实得</w:t>
      </w:r>
      <w:r>
        <w:rPr>
          <w:rFonts w:hint="eastAsia" w:ascii="Times New Roman" w:hAnsi="Times New Roman" w:cs="仿宋_GB2312"/>
          <w:i w:val="0"/>
          <w:iCs w:val="0"/>
          <w:caps w:val="0"/>
          <w:color w:val="000000"/>
          <w:spacing w:val="0"/>
          <w:sz w:val="32"/>
          <w:szCs w:val="32"/>
          <w:shd w:val="clear" w:fill="FFFFFF"/>
          <w:lang w:val="en-US" w:eastAsia="zh-CN"/>
        </w:rPr>
        <w:t>100</w:t>
      </w:r>
      <w:r>
        <w:rPr>
          <w:rFonts w:hint="eastAsia" w:ascii="仿宋_GB2312" w:hAnsi="仿宋_GB2312" w:eastAsia="仿宋_GB2312" w:cs="仿宋_GB2312"/>
          <w:i w:val="0"/>
          <w:iCs w:val="0"/>
          <w:caps w:val="0"/>
          <w:color w:val="000000"/>
          <w:spacing w:val="0"/>
          <w:sz w:val="32"/>
          <w:szCs w:val="32"/>
          <w:shd w:val="clear" w:fill="FFFFFF"/>
        </w:rPr>
        <w:t>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000000"/>
          <w:spacing w:val="0"/>
          <w:sz w:val="32"/>
          <w:szCs w:val="32"/>
          <w:shd w:val="clear" w:fill="FFFFFF"/>
        </w:rPr>
        <w:t>“优”。</w:t>
      </w:r>
    </w:p>
    <w:p w14:paraId="559B03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FF0000"/>
          <w:spacing w:val="0"/>
          <w:sz w:val="32"/>
          <w:szCs w:val="32"/>
          <w:shd w:val="clear" w:fill="FFFFFF"/>
          <w:lang w:val="en-US" w:eastAsia="zh-CN"/>
        </w:rPr>
      </w:pPr>
      <w:r>
        <w:rPr>
          <w:rFonts w:hint="default" w:ascii="Times New Roman" w:hAnsi="Times New Roman" w:eastAsia="仿宋_GB2312" w:cs="Times New Roman"/>
          <w:i w:val="0"/>
          <w:iCs w:val="0"/>
          <w:caps w:val="0"/>
          <w:color w:val="FF0000"/>
          <w:spacing w:val="0"/>
          <w:sz w:val="32"/>
          <w:szCs w:val="32"/>
          <w:shd w:val="clear" w:fill="FFFFFF"/>
          <w:lang w:val="en-US" w:eastAsia="zh-CN"/>
        </w:rPr>
        <w:t>本次共自评</w:t>
      </w:r>
      <w:r>
        <w:rPr>
          <w:rFonts w:hint="eastAsia" w:ascii="Times New Roman" w:hAnsi="Times New Roman" w:cs="Times New Roman"/>
          <w:i w:val="0"/>
          <w:iCs w:val="0"/>
          <w:caps w:val="0"/>
          <w:color w:val="FF0000"/>
          <w:spacing w:val="0"/>
          <w:sz w:val="32"/>
          <w:szCs w:val="32"/>
          <w:shd w:val="clear" w:fill="FFFFFF"/>
          <w:lang w:val="en-US" w:eastAsia="zh-CN"/>
        </w:rPr>
        <w:t>5</w:t>
      </w:r>
      <w:r>
        <w:rPr>
          <w:rFonts w:hint="default" w:ascii="Times New Roman" w:hAnsi="Times New Roman" w:eastAsia="仿宋_GB2312" w:cs="Times New Roman"/>
          <w:i w:val="0"/>
          <w:iCs w:val="0"/>
          <w:caps w:val="0"/>
          <w:color w:val="FF0000"/>
          <w:spacing w:val="0"/>
          <w:sz w:val="32"/>
          <w:szCs w:val="32"/>
          <w:shd w:val="clear" w:fill="FFFFFF"/>
          <w:lang w:val="en-US" w:eastAsia="zh-CN"/>
        </w:rPr>
        <w:t>个项目，得分均为100分，</w:t>
      </w:r>
      <w:r>
        <w:rPr>
          <w:rFonts w:hint="eastAsia" w:ascii="仿宋_GB2312" w:hAnsi="仿宋_GB2312" w:eastAsia="仿宋_GB2312" w:cs="仿宋_GB2312"/>
          <w:i w:val="0"/>
          <w:iCs w:val="0"/>
          <w:caps w:val="0"/>
          <w:color w:val="FF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FF0000"/>
          <w:spacing w:val="0"/>
          <w:sz w:val="32"/>
          <w:szCs w:val="32"/>
          <w:shd w:val="clear" w:fill="FFFFFF"/>
        </w:rPr>
        <w:t>“优”</w:t>
      </w:r>
      <w:r>
        <w:rPr>
          <w:rFonts w:hint="eastAsia" w:ascii="仿宋_GB2312" w:cs="仿宋_GB2312"/>
          <w:i w:val="0"/>
          <w:iCs w:val="0"/>
          <w:caps w:val="0"/>
          <w:color w:val="FF0000"/>
          <w:spacing w:val="0"/>
          <w:sz w:val="32"/>
          <w:szCs w:val="32"/>
          <w:shd w:val="clear" w:fill="FFFFFF"/>
          <w:lang w:val="en-US" w:eastAsia="zh-CN"/>
        </w:rPr>
        <w:t>部门整体支出自评100分，评价等级为优。</w:t>
      </w:r>
    </w:p>
    <w:p w14:paraId="13F3EA37">
      <w:pPr>
        <w:pStyle w:val="3"/>
        <w:bidi w:val="0"/>
        <w:rPr>
          <w:rFonts w:hint="default"/>
        </w:rPr>
      </w:pPr>
      <w:r>
        <w:rPr>
          <w:rFonts w:hint="default"/>
        </w:rPr>
        <w:t>（二）评价指标分析</w:t>
      </w:r>
    </w:p>
    <w:p w14:paraId="54731873">
      <w:pPr>
        <w:bidi w:val="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全力组织收入，确保全年任务完成。一是制定全年目标任务。根据调整预算的要求，2024年全县地方财政收入目标任务为73383万元，其中地方税收总任务数为52837万元；非税收入总任务数20546万元。县综合治税办及财源建设服务中心紧盯目标任务，按季按月按旬将税收任务分解落实到部门、到企业，层层夯实责任。二是大力培植支柱财源。持续抓好水利发电、电力销售、金融保险等传统税源，重点扶持新老企业落户开工、复工复产，充分利用怀化国际陆港辰溪核心港区以及抽水蓄能电站落地辰溪的历史机遇，寻找新的“纳税点”，实现传统财源新突破。三是加强征管措施，做到应收尽收。充分发挥财税部门牵头抓总作用，强化部门协税护税的调度协调，充分利用综合治税信息平台，加强对重点税源监控，积极挖潜堵漏，强化征管，确保税收颗粒归仓。四是加强日常调度，确保目标任务。每月对财政收入至少进行2次调度（月初一次，月末一次），重要月份重点调度，做到“以旬保月、以月保季、以季保年”。截止12月31日，全县累计完成地方财政总收入81873万元，较上年同期减少6253万元，下降7.10 %，完成调整预算的111.57%。其中：税收收入完成53032万元，较上年同期减少11984万元，下降18.43%，完成全年任务进度的100.37%；非税收入累计完成28841万元，较上年同期增加5731万元，增长24.80%，完成全年任务进度的140.37%，税收占比为64.77%。</w:t>
      </w:r>
    </w:p>
    <w:p w14:paraId="64F11602">
      <w:pPr>
        <w:bidi w:val="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加强支出管理，充分发挥资金效益。一是坚决兜牢“三保”。按照先人员工资、后部门运转、再基本民生的保障秩序，把紧预算执行关口，确保每日、每月库款保障系数，兜牢“三保”底线。实现全县人员工资按时发放，乡补与公用经费按季度同步到位，年终绩效奖的70%核定于工资中并每月按时发放到位。坚决做到人员、社保等资金按月按时足额发放，确保库款和“三保支出”的安全。二是继续坚持过“紧日子”的要求。将过“紧日子”要求贯穿财政管理全过程，认真落实中央关于厉行节约、改进工作作风的精神。大力压减“三公经费”等一般性支出，打破支出基数概念和固化格局，对单位及乡镇基本运转日常报账实行额度管理制度，超出额度无特殊情况不予报账或因特殊情况超出额度报账部分下月扣回，确保每一分财政资金都用在刀刃上。三是加大资金清理，盘活存量资金。部门基本支出结余、“三公”经费结余、结转一年以上的项目支出等财政拨款，以及沉淀闲置、低效无效的单位资金全部收回或上缴财政。截止12月底，共收回各类财政存量资金66704万元，剔除专项债及经投公司缴入，实收存量资金6028万元，统筹用于“六保、六稳”人员工资、社会保障等民生支出。四是坚持绩效管理，严格预算约束。遵循“先有预算、后有支出”原则，除应急救灾防疫等突发性支出外，一般不增加预算和出台增加当年支出的政策。充分利用绩效管理巩固年行动，发挥预算绩效职能，科学合理的运行“3+N”的绩效评估模式，确保有限的财力都用到刀刃上，做到财政资金拔到哪里，财政跟踪到哪里，问效到哪里。截止12月底，对全县136个项目进行了绩效评价，核减了651.51万元，为财政节约了资金。</w:t>
      </w:r>
    </w:p>
    <w:p w14:paraId="4555ECA2">
      <w:pPr>
        <w:bidi w:val="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落实重点工作，有力保障民生支出。在优先保障工资正常发放和机关正常运转的同时，加大对农业、社保、科教和基础设施等民生领域的资金投入，各类重点、民生支出得到有力保障。一是全力保障“三农”发展。2024年预算安排农林水支出65900万元，1-12月份完成70946万元，比上年同期增加13552万元。二是保基本民生，维护社会稳定。全年共安排社会保障和就业支出67230万元，截止12月底，共完成88182万元，比上年同期增加 20837万元。三是加大教育事业投入。为促进教育事业发展，2024年教育总投入74895万元，较上年预算略有减少，1-12月份共完成76680万元，基本保障了教育事业的发展。四是“一卡通”发放范围进一步扩大，广大农户权益得到保障。2022年纳入“一卡通”发放项目77项，2023年88项，2024年112项，目前已发放“一卡通”项目112项，发放惠民惠农补贴资金达38629万元。五是各类民生支出及时保障。“保基本民生”及专项配套支出逐年增加，截止12月底，全县一般公共预算支出完成462905万元，较上年同期增加51534万元，增长12.53 %，其中民生支出总额达到370926万元，占财政总支出的80.13%。</w:t>
      </w:r>
    </w:p>
    <w:p w14:paraId="64BE1AE0">
      <w:pPr>
        <w:bidi w:val="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深化财政改革，提高管理水平。一是稳步推进预算绩效管理、提质增效。继续完善大“3+Ｎ”和小“3+Ｎ”绩效评估制度，实施全面预算绩效管理，落实财审联动，将评价结果、审计整改情况作为改进管理、完善政策和编制年度预算的依据，对实施效果不明显、发现问题较为突出的项目和单位，不安排或少安排预算资金，使财政资金分配更加突出重点、提质增效。2024年全面开展“绩效管理巩固年”行动，巩固提升绩效管理。二是全面完善预算绩效管理一体化。为全面加强预算管理、规范预算执行、强化财政资金监管，严格控制各种一般性支出，提高预算资金使用效益，2021年全面实行预算管理一体化改革以来，现已建立了人大、财政、单位三家联网、平台共享、相互监督的工作机制，预算绩效管理一体化系统已逐步规范和完善。三是进一步加强国有资产管理改革。加强对国有“三资”清查，1-12月，盘活国有“三资”总计27.87亿元，27项，其中上缴入库30208.12万元：盘活储备土地入库6752.36万元，盘活闲置行政事业资产入库22011.16万元，盘活其他资产入库1444.60万元，进一步加强闲置国有资产的管理，盘活并统筹处置利用；进一步深化平台公司市场化转型，坚持以市场为导向，建立和完善职责明确、流程清晰、规范有序的经营机制，逐步建立国有资本经营预算体系，提高国有资产管理水平。</w:t>
      </w:r>
    </w:p>
    <w:p w14:paraId="47D5ACBC">
      <w:pPr>
        <w:bidi w:val="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稳健化解债务，确保政府风险可控。根据我县上报国办《辰溪县防范化解地方债务风险方案》及一揽子化债计划目标，2024年计划偿还化解政府法定债务本息1.9亿元（其中：偿还本金0.4亿元，支付利息1.5亿元），化解政府隐性债务1.97亿元。截止12月底，已偿还政府法定债务本息1.92亿元（本金0.41万元，利息1.51亿元），已完成年度计划任务；已化解政府隐性债务4.22亿元，完成年度政府隐性债务化债计划214.21%。2018年9月以来，我县已累计化解隐性债务19.69亿元，占存量隐性债务总额64.12%，达到上级化解进度要求。2023年省核定我县综合债务率为145%，属于“风险提示地区”，但整体债务风险可控，没有发生债务风险及舆情事件。</w:t>
      </w:r>
    </w:p>
    <w:p w14:paraId="1AC90D4C">
      <w:pPr>
        <w:bidi w:val="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积极开展党建，充分发挥引领作用。今年来，局党组高度重视党建工作，坚持党建工作引领中心工作、促进业务工作。一是健全制度促党建。定期召开局党组会、理论中心组学习，严格执行民主集中制，认真落实党日制度，每年专题研究党建工作4次以上。今年4月至7月在全党开展党纪专题学习教育，认真学习《中国共产党纪律处分条例》，通过自学、集中学习、研讨班等形式，真正做到学纪、知纪、明纪、守纪，进一步强化了纪律意识，增强了政治定力、纪律定力、道德定力、抵腐定力。目前已集中研讨学习了4次，党纪专题学习教育已结束。局党组理论学习中心组全年开展集中学习14次，各支部组织开展集中学习30次以上。二是党建活动有特色。通过举办讲座、观看励志革命片、我为群众办实事、迎“七.一”庆祝活动、干部职工廉政教育、关爱留守儿童、微心愿进社区联系村敬老院、走访慰问困难党员优秀学子等多种活动，激发党员干部工作积极性。组织开展了新时代第三届职工运动会“工间操”、“财税杯”男女篮球、足球、羽毛球比赛，“一创二巩固”活动争当志愿者，“6.30”抗洪抢险、灾后卫生清扫等活动，有声有色，增强了凝聚力，充分体现了党员干部模范先锋作用。三是加强意识形态管理。组织全体党员干部认真学习意识形态内容，党组严格执行“第一议题”制度，成立了意识形态工作领导小组，落实领导班子意识形态工作的主体责任、党组书记意识形态工作的第一责任、分管领导的直接责任、党组其他成员的领导责任等“四个责任”。</w:t>
      </w:r>
    </w:p>
    <w:p w14:paraId="3061A381">
      <w:pPr>
        <w:bidi w:val="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转变工作作风，切实提高服务质量。过来，我们高度重视作风建设工作，将党风廉政建设和作风建设纳入机关干部职工平时考核中，并作为全年综合考核指标，将考核结果作为选拔任用、奖励惩处的重要依据。推行了机关工作首问责任制、服务承诺制、ＡＢ岗位责任制和限时办结制以及“六不准六不让”制度。执行“一门式”服务制度，坚决“一件事一次办”，自觉做到主动服务、急事急办、特事特办。为更方便单位和外来办事人员签发报告，减少来回跑的次数，所有的工作、拨款报告由对应的业务股室收集后，由预算股分轻重缓急定期集中向局长汇总签发，切实转变工作作风，提高服务质量。</w:t>
      </w:r>
    </w:p>
    <w:p w14:paraId="21E21576">
      <w:pPr>
        <w:bidi w:val="0"/>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注重廉政建设，严格“一岗双责”。一是注重制度建设。年初以来，按照“一把手”负总责、其他班子成员“一岗双责”的工作要求，落实党风廉政建设责任制，专题研究党风廉政建设和机关作风建设工作6次，落实“三个报告”制度。认真执行“党组议事规则”、“三重一大”事项向纪委报备及集体决策制度、末位表态制度和党政一把手“三不直接分管”制度。二是加强警示教育。对干部职工开展廉政教育，传达贯彻县纪委下发的若干违反八项规定精神、“一卡通”、涉农领域腐败典型案例，深刻吸取教训并引以为戒。三是进行重点整治。按照中纪委、省、市、县纪委监委的要求，从4月份起，对惠民惠农补贴资金和农村集体“三资”管理等“群腐”问题进行了为期7个月的专项整治，通过整治，进一步规范了惠农补贴“一卡通”发放管理、惩治了农村“三资”乱、混、无等问题，同时对违纪问题进行线索移送，全年共移送3人，党纪处分1人，追回资金0.21万元。四是严格“一岗双责”。严格按照“一岗双责”的要求，明确了每位班子成员既分管业务工作，又对分管领域的党风廉政建设负责。坚决落实党组负责人与班子成员、班子成员之间、班子成员与分管股室干部之间的谈心谈话，切实承担了全面从严治党的主体责任，并且局党组会议把学习传达党章、党规和有关党风廉政建设文件列入会议议程，做到了时学时新、警钟长鸣。</w:t>
      </w:r>
    </w:p>
    <w:p w14:paraId="2383F9C7">
      <w:pPr>
        <w:pStyle w:val="2"/>
        <w:bidi w:val="0"/>
        <w:rPr>
          <w:rFonts w:hint="eastAsia"/>
        </w:rPr>
      </w:pPr>
      <w:r>
        <w:rPr>
          <w:rFonts w:hint="eastAsia"/>
        </w:rPr>
        <w:t>七、存在的问题及原因分析</w:t>
      </w:r>
    </w:p>
    <w:p w14:paraId="51ABD3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1、财务管理工作有待加强</w:t>
      </w:r>
    </w:p>
    <w:p w14:paraId="739209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单位财务管理工作粗略，不利于落实对部门财务工作的监督管理。一是账务记录不准确，单位将基本支出计入项目支出，账务记录错误；三是项目支出摘要未与实际支出项目匹配，导致业务人员和财务人员，无法直观、确切掌握实际支出情况，影响项目跟踪监管。</w:t>
      </w:r>
    </w:p>
    <w:p w14:paraId="4CED5E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2、资产管理不规范</w:t>
      </w:r>
    </w:p>
    <w:p w14:paraId="3BF2632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固定资产未进行年度盘点，更新固定资产标签，未与资产编号相匹配，实物管理和账目管理不同步，导致资产信息不能够及时传递，存在疏漏。</w:t>
      </w:r>
    </w:p>
    <w:p w14:paraId="36082582">
      <w:pPr>
        <w:pStyle w:val="2"/>
        <w:bidi w:val="0"/>
        <w:rPr>
          <w:rFonts w:hint="eastAsia"/>
        </w:rPr>
      </w:pPr>
      <w:r>
        <w:rPr>
          <w:rFonts w:hint="eastAsia"/>
        </w:rPr>
        <w:t>八、下一步改进措施</w:t>
      </w:r>
    </w:p>
    <w:p w14:paraId="1004EEA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1、进一步规范项目资金列支</w:t>
      </w:r>
    </w:p>
    <w:p w14:paraId="3EABDE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建议按照《预算法》“各部门、各单位应当按照国务院财政部门制定的政府收支分类科目、预算支出标准和要求”进一步加强财务审核，规范项目资金支出，并按照本项目的要求与计划，专款专用，规范资金的用途，提高财务管理水平。</w:t>
      </w:r>
    </w:p>
    <w:p w14:paraId="4F38D5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2、重视资产管理，提高资产使用效率</w:t>
      </w:r>
    </w:p>
    <w:p w14:paraId="717947C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组织对闲置固定资产进行专门清查，对长期积压的待报废资产和已毁损无法使用资产，应当在清查盘点中重点标注，并根据实际及时处置。长期低效运转、闲置资产，应当推进共享共用和调剂使用，盘活存量资产，提高资产使用效率；要进一步健全固定资产台账，完备实物信息资料，对固定资产定期进行清查盘点，真实反映固定资产的数量和增减变化情况，对财务部门入账登记的新增资产和报废处理的资产及时进行核对、确认，确保实物账与财务账相符</w:t>
      </w:r>
      <w:bookmarkStart w:id="1" w:name="_GoBack"/>
      <w:bookmarkEnd w:id="1"/>
      <w:r>
        <w:rPr>
          <w:rFonts w:hint="eastAsia" w:ascii="仿宋_GB2312" w:cs="仿宋_GB2312"/>
          <w:i w:val="0"/>
          <w:iCs w:val="0"/>
          <w:caps w:val="0"/>
          <w:color w:val="000000"/>
          <w:spacing w:val="0"/>
          <w:sz w:val="32"/>
          <w:szCs w:val="32"/>
          <w:shd w:val="clear" w:fill="FFFFFF"/>
          <w:lang w:val="en-US" w:eastAsia="zh-CN"/>
        </w:rPr>
        <w:t>。</w:t>
      </w:r>
    </w:p>
    <w:p w14:paraId="106A32B8">
      <w:pPr>
        <w:pStyle w:val="2"/>
        <w:bidi w:val="0"/>
        <w:rPr>
          <w:rFonts w:hint="eastAsia"/>
        </w:rPr>
      </w:pPr>
      <w:r>
        <w:rPr>
          <w:rFonts w:hint="eastAsia"/>
        </w:rPr>
        <w:t>九、其他需要说明的情况</w:t>
      </w:r>
    </w:p>
    <w:p w14:paraId="416964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无。</w:t>
      </w:r>
    </w:p>
    <w:p w14:paraId="5433D0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cs="Times New Roman"/>
          <w:i w:val="0"/>
          <w:iCs w:val="0"/>
          <w:caps w:val="0"/>
          <w:color w:val="000000"/>
          <w:spacing w:val="0"/>
          <w:sz w:val="24"/>
          <w:szCs w:val="24"/>
          <w:lang w:val="en-US" w:eastAsia="zh-CN"/>
        </w:rPr>
      </w:pPr>
    </w:p>
    <w:p w14:paraId="3CD542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14:paraId="66A5D3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27B791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672A0B1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F9A6E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1DD8B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E219C1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49949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471C0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A462F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EB8C6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2EFE02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37DE2F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11A4CB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A94AE38">
      <w:pPr>
        <w:rPr>
          <w:rFonts w:hint="default"/>
          <w:lang w:val="en-US" w:eastAsia="zh-CN"/>
        </w:rPr>
      </w:pPr>
    </w:p>
    <w:sectPr>
      <w:pgSz w:w="11906" w:h="16838"/>
      <w:pgMar w:top="2098" w:right="1800"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197EA16-8EF9-425E-9161-C403DBD1D891}"/>
  </w:font>
  <w:font w:name="仿宋_GB2312">
    <w:panose1 w:val="02010609030101010101"/>
    <w:charset w:val="86"/>
    <w:family w:val="auto"/>
    <w:pitch w:val="default"/>
    <w:sig w:usb0="00000001" w:usb1="080E0000" w:usb2="00000000" w:usb3="00000000" w:csb0="00040000" w:csb1="00000000"/>
    <w:embedRegular r:id="rId2" w:fontKey="{F4690ED4-36F5-4850-9782-67582B199E82}"/>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033D4CB3-4C46-4AC4-93AA-058AE2A92AEB}"/>
  </w:font>
  <w:font w:name="方正仿宋_GB2312">
    <w:panose1 w:val="02000000000000000000"/>
    <w:charset w:val="86"/>
    <w:family w:val="auto"/>
    <w:pitch w:val="default"/>
    <w:sig w:usb0="A00002BF" w:usb1="184F6CFA" w:usb2="00000012" w:usb3="00000000" w:csb0="00040001" w:csb1="00000000"/>
    <w:embedRegular r:id="rId4" w:fontKey="{79652CD8-F0EC-4C96-A0CB-1DB72CF4119D}"/>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3517C19D-DD7F-47B7-8BEF-DDD690ED0FB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C180A78"/>
    <w:rsid w:val="0CAF7D6D"/>
    <w:rsid w:val="0D276746"/>
    <w:rsid w:val="0D464D9C"/>
    <w:rsid w:val="0DD52794"/>
    <w:rsid w:val="0E956870"/>
    <w:rsid w:val="10C666A5"/>
    <w:rsid w:val="1223366A"/>
    <w:rsid w:val="143877FD"/>
    <w:rsid w:val="162173E9"/>
    <w:rsid w:val="17C820DA"/>
    <w:rsid w:val="19E805B2"/>
    <w:rsid w:val="22637A22"/>
    <w:rsid w:val="22FE234B"/>
    <w:rsid w:val="277E6F02"/>
    <w:rsid w:val="29990575"/>
    <w:rsid w:val="2AF6742D"/>
    <w:rsid w:val="2E833798"/>
    <w:rsid w:val="312A2265"/>
    <w:rsid w:val="36FC0F5D"/>
    <w:rsid w:val="375773F8"/>
    <w:rsid w:val="38CC5315"/>
    <w:rsid w:val="393E32BB"/>
    <w:rsid w:val="3BF633DF"/>
    <w:rsid w:val="419B2857"/>
    <w:rsid w:val="41D71DA8"/>
    <w:rsid w:val="42B539F3"/>
    <w:rsid w:val="45D249F5"/>
    <w:rsid w:val="4C6611ED"/>
    <w:rsid w:val="552A0475"/>
    <w:rsid w:val="578D10CB"/>
    <w:rsid w:val="5A5915AC"/>
    <w:rsid w:val="6A12486A"/>
    <w:rsid w:val="753C4E9B"/>
    <w:rsid w:val="77CA616D"/>
    <w:rsid w:val="781113A7"/>
    <w:rsid w:val="791E6510"/>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56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3"/>
    <w:qFormat/>
    <w:uiPriority w:val="0"/>
    <w:pPr>
      <w:keepNext/>
      <w:keepLines/>
      <w:spacing w:beforeLines="0" w:beforeAutospacing="0" w:afterLines="0" w:afterAutospacing="0" w:line="560" w:lineRule="exact"/>
      <w:outlineLvl w:val="0"/>
    </w:pPr>
    <w:rPr>
      <w:rFonts w:eastAsia="黑体"/>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Cs w:val="32"/>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unhideWhenUsed/>
    <w:qFormat/>
    <w:uiPriority w:val="0"/>
    <w:pPr>
      <w:spacing w:beforeLines="0" w:afterLines="0"/>
      <w:ind w:firstLine="640" w:firstLineChars="200"/>
    </w:pPr>
    <w:rPr>
      <w:rFonts w:hint="default"/>
      <w:sz w:val="3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99"/>
    <w:pPr>
      <w:spacing w:beforeLines="0" w:afterLines="0"/>
      <w:ind w:firstLine="420"/>
    </w:pPr>
    <w:rPr>
      <w:rFonts w:hint="default"/>
      <w:sz w:val="32"/>
    </w:rPr>
  </w:style>
  <w:style w:type="paragraph" w:customStyle="1" w:styleId="11">
    <w:name w:val="标题1"/>
    <w:basedOn w:val="3"/>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4794</Words>
  <Characters>5204</Characters>
  <Lines>0</Lines>
  <Paragraphs>0</Paragraphs>
  <TotalTime>3</TotalTime>
  <ScaleCrop>false</ScaleCrop>
  <LinksUpToDate>false</LinksUpToDate>
  <CharactersWithSpaces>5211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丛林狐</cp:lastModifiedBy>
  <cp:lastPrinted>2024-02-26T03:24:00Z</cp:lastPrinted>
  <dcterms:modified xsi:type="dcterms:W3CDTF">2025-05-20T07:34:00Z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4B545E2748234224AA7888E0D1AE4147_13</vt:lpwstr>
  </property>
  <property fmtid="{D5CDD505-2E9C-101B-9397-08002B2CF9AE}" pid="4" name="KSOTemplateDocerSaveRecord">
    <vt:lpwstr>eyJoZGlkIjoiN2YzNjBkOTgyNWQ1YTMxYzM3MzMwNWFiODNmOWIzYWMiLCJ1c2VySWQiOiIyNjQxMDUwMTIifQ==</vt:lpwstr>
  </property>
</Properties>
</file>