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991BD">
      <w:pPr>
        <w:jc w:val="center"/>
        <w:rPr>
          <w:rFonts w:hint="eastAsia" w:ascii="黑体" w:hAnsi="黑体" w:eastAsia="黑体" w:cs="黑体"/>
          <w:sz w:val="52"/>
          <w:szCs w:val="60"/>
          <w:lang w:val="en-US" w:eastAsia="zh-CN"/>
        </w:rPr>
      </w:pPr>
      <w:r>
        <w:rPr>
          <w:rFonts w:hint="eastAsia" w:ascii="黑体" w:hAnsi="黑体" w:eastAsia="黑体" w:cs="黑体"/>
          <w:sz w:val="52"/>
          <w:szCs w:val="60"/>
          <w:lang w:val="en-US" w:eastAsia="zh-CN"/>
        </w:rPr>
        <w:t>2024年度辰溪县人民政府办公室</w:t>
      </w:r>
    </w:p>
    <w:p w14:paraId="03F3CA61">
      <w:pPr>
        <w:jc w:val="center"/>
        <w:rPr>
          <w:rFonts w:hint="eastAsia" w:ascii="黑体" w:hAnsi="黑体" w:eastAsia="黑体" w:cs="黑体"/>
          <w:sz w:val="52"/>
          <w:szCs w:val="60"/>
          <w:lang w:val="en-US" w:eastAsia="zh-CN"/>
        </w:rPr>
      </w:pPr>
      <w:r>
        <w:rPr>
          <w:rFonts w:hint="eastAsia" w:ascii="黑体" w:hAnsi="黑体" w:eastAsia="黑体" w:cs="黑体"/>
          <w:sz w:val="52"/>
          <w:szCs w:val="60"/>
          <w:lang w:val="en-US" w:eastAsia="zh-CN"/>
        </w:rPr>
        <w:t>部门整体支出绩效自评报告</w:t>
      </w:r>
    </w:p>
    <w:p w14:paraId="7EF5D494"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</w:p>
    <w:p w14:paraId="39954651">
      <w:pPr>
        <w:jc w:val="center"/>
        <w:rPr>
          <w:rFonts w:hint="eastAsia" w:ascii="宋体" w:hAnsi="宋体" w:eastAsia="宋体" w:cs="宋体"/>
          <w:sz w:val="40"/>
          <w:szCs w:val="48"/>
          <w:lang w:val="en-US" w:eastAsia="zh-CN"/>
        </w:rPr>
      </w:pPr>
    </w:p>
    <w:p w14:paraId="6396B94B">
      <w:pPr>
        <w:jc w:val="center"/>
        <w:rPr>
          <w:rFonts w:hint="eastAsia" w:ascii="宋体" w:hAnsi="宋体" w:eastAsia="宋体" w:cs="宋体"/>
          <w:sz w:val="40"/>
          <w:szCs w:val="48"/>
          <w:lang w:val="en-US" w:eastAsia="zh-CN"/>
        </w:rPr>
      </w:pPr>
    </w:p>
    <w:p w14:paraId="0EB86016">
      <w:pPr>
        <w:jc w:val="center"/>
        <w:rPr>
          <w:rFonts w:hint="eastAsia" w:ascii="宋体" w:hAnsi="宋体" w:eastAsia="宋体" w:cs="宋体"/>
          <w:sz w:val="40"/>
          <w:szCs w:val="48"/>
          <w:lang w:val="en-US" w:eastAsia="zh-CN"/>
        </w:rPr>
      </w:pPr>
    </w:p>
    <w:p w14:paraId="0FD7023E">
      <w:pPr>
        <w:jc w:val="center"/>
        <w:rPr>
          <w:rFonts w:hint="eastAsia" w:ascii="宋体" w:hAnsi="宋体" w:eastAsia="宋体" w:cs="宋体"/>
          <w:sz w:val="40"/>
          <w:szCs w:val="48"/>
          <w:lang w:val="en-US" w:eastAsia="zh-CN"/>
        </w:rPr>
      </w:pPr>
    </w:p>
    <w:p w14:paraId="75493E0F">
      <w:pPr>
        <w:jc w:val="center"/>
        <w:rPr>
          <w:rFonts w:hint="eastAsia" w:ascii="宋体" w:hAnsi="宋体" w:eastAsia="宋体" w:cs="宋体"/>
          <w:sz w:val="40"/>
          <w:szCs w:val="48"/>
          <w:lang w:val="en-US" w:eastAsia="zh-CN"/>
        </w:rPr>
      </w:pPr>
    </w:p>
    <w:p w14:paraId="376A71B9">
      <w:pPr>
        <w:jc w:val="center"/>
        <w:rPr>
          <w:rFonts w:hint="eastAsia" w:ascii="宋体" w:hAnsi="宋体" w:eastAsia="宋体" w:cs="宋体"/>
          <w:sz w:val="40"/>
          <w:szCs w:val="48"/>
          <w:lang w:val="en-US" w:eastAsia="zh-CN"/>
        </w:rPr>
      </w:pPr>
    </w:p>
    <w:p w14:paraId="609B27B6">
      <w:pPr>
        <w:jc w:val="center"/>
        <w:rPr>
          <w:rFonts w:hint="eastAsia" w:ascii="宋体" w:hAnsi="宋体" w:eastAsia="宋体" w:cs="宋体"/>
          <w:sz w:val="40"/>
          <w:szCs w:val="48"/>
          <w:lang w:val="en-US" w:eastAsia="zh-CN"/>
        </w:rPr>
      </w:pPr>
    </w:p>
    <w:p w14:paraId="7105134B">
      <w:pPr>
        <w:jc w:val="both"/>
        <w:rPr>
          <w:rFonts w:hint="eastAsia" w:ascii="宋体" w:hAnsi="宋体" w:eastAsia="宋体" w:cs="宋体"/>
          <w:sz w:val="40"/>
          <w:szCs w:val="48"/>
          <w:lang w:val="en-US" w:eastAsia="zh-CN"/>
        </w:rPr>
      </w:pPr>
    </w:p>
    <w:p w14:paraId="778156D7">
      <w:pPr>
        <w:jc w:val="center"/>
        <w:rPr>
          <w:rFonts w:hint="eastAsia" w:ascii="宋体" w:hAnsi="宋体" w:eastAsia="宋体" w:cs="宋体"/>
          <w:sz w:val="40"/>
          <w:szCs w:val="48"/>
          <w:lang w:val="en-US" w:eastAsia="zh-CN"/>
        </w:rPr>
      </w:pPr>
    </w:p>
    <w:p w14:paraId="5339B6D4">
      <w:pPr>
        <w:jc w:val="center"/>
        <w:rPr>
          <w:rFonts w:hint="eastAsia" w:ascii="宋体" w:hAnsi="宋体" w:eastAsia="宋体" w:cs="宋体"/>
          <w:sz w:val="40"/>
          <w:szCs w:val="48"/>
          <w:lang w:val="en-US" w:eastAsia="zh-CN"/>
        </w:rPr>
      </w:pPr>
    </w:p>
    <w:p w14:paraId="3920B10D">
      <w:pPr>
        <w:jc w:val="center"/>
        <w:rPr>
          <w:rFonts w:hint="eastAsia" w:ascii="宋体" w:hAnsi="宋体" w:eastAsia="宋体" w:cs="宋体"/>
          <w:sz w:val="40"/>
          <w:szCs w:val="48"/>
          <w:lang w:val="en-US" w:eastAsia="zh-CN"/>
        </w:rPr>
      </w:pPr>
    </w:p>
    <w:p w14:paraId="5B186B49">
      <w:pPr>
        <w:jc w:val="both"/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部门（单位）名称：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辰溪县人民政府办公室（盖章）  </w:t>
      </w:r>
    </w:p>
    <w:p w14:paraId="7DF1C397">
      <w:pPr>
        <w:ind w:firstLine="2560" w:firstLineChars="800"/>
        <w:jc w:val="both"/>
        <w:rPr>
          <w:rFonts w:hint="eastAsia" w:ascii="宋体" w:hAnsi="宋体" w:eastAsia="宋体" w:cs="宋体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u w:val="none"/>
          <w:lang w:val="en-US" w:eastAsia="zh-CN"/>
        </w:rPr>
        <w:t>年    月     日</w:t>
      </w:r>
    </w:p>
    <w:p w14:paraId="56DBE1C1">
      <w:pPr>
        <w:ind w:firstLine="2560" w:firstLineChars="800"/>
        <w:jc w:val="both"/>
        <w:rPr>
          <w:rFonts w:hint="eastAsia" w:ascii="宋体" w:hAnsi="宋体" w:eastAsia="宋体" w:cs="宋体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u w:val="none"/>
          <w:lang w:val="en-US" w:eastAsia="zh-CN"/>
        </w:rPr>
        <w:t>（此面为封面）</w:t>
      </w:r>
    </w:p>
    <w:p w14:paraId="544C364E">
      <w:pPr>
        <w:ind w:firstLine="2560" w:firstLineChars="800"/>
        <w:jc w:val="both"/>
        <w:rPr>
          <w:rFonts w:hint="default" w:ascii="宋体" w:hAnsi="宋体" w:eastAsia="宋体" w:cs="宋体"/>
          <w:sz w:val="32"/>
          <w:szCs w:val="40"/>
          <w:u w:val="none"/>
          <w:lang w:val="en-US" w:eastAsia="zh-CN"/>
        </w:rPr>
      </w:pPr>
    </w:p>
    <w:p w14:paraId="3A8B2C0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3D25E32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辰溪县人民政府办公室2024年</w:t>
      </w:r>
    </w:p>
    <w:p w14:paraId="274D605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27E43A2A">
      <w:pPr>
        <w:pStyle w:val="7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根据县财政局《关于开展2024年度部门整体支出和项目资金绩效自评工作的通知》,我单位对2024年度整体支出绩效进行了评估，现将情况报告如下。</w:t>
      </w:r>
    </w:p>
    <w:p w14:paraId="3E04E44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482A94F7">
      <w:pPr>
        <w:ind w:firstLine="640" w:firstLineChars="200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辰溪县人民政府办公室属全额行政机关，是一级部门预算单位，根据编制部门机构改革批复方案，内设督查室、金融办公室、政务服务股、研究室、调纠办公室、文秘机要室、政工人事室、后勤财务室。</w:t>
      </w:r>
    </w:p>
    <w:p w14:paraId="24B0002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320" w:firstLineChars="10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（二）人员编制情况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截止</w:t>
      </w:r>
      <w:r>
        <w:rPr>
          <w:rFonts w:hint="eastAsia" w:ascii="仿宋" w:hAnsi="仿宋" w:eastAsia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年底，辰溪县人民政府办公室核定人员编制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81</w:t>
      </w:r>
      <w:r>
        <w:rPr>
          <w:rFonts w:hint="eastAsia" w:ascii="仿宋" w:hAnsi="仿宋" w:eastAsia="仿宋"/>
          <w:sz w:val="28"/>
          <w:szCs w:val="28"/>
        </w:rPr>
        <w:t>人，行政编制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39</w:t>
      </w:r>
      <w:r>
        <w:rPr>
          <w:rFonts w:hint="eastAsia" w:ascii="仿宋" w:hAnsi="仿宋" w:eastAsia="仿宋"/>
          <w:sz w:val="28"/>
          <w:szCs w:val="28"/>
        </w:rPr>
        <w:t>人，事业编制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42</w:t>
      </w:r>
      <w:r>
        <w:rPr>
          <w:rFonts w:hint="eastAsia" w:ascii="仿宋" w:hAnsi="仿宋" w:eastAsia="仿宋"/>
          <w:sz w:val="28"/>
          <w:szCs w:val="28"/>
        </w:rPr>
        <w:t>人；实际在编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77</w:t>
      </w:r>
      <w:r>
        <w:rPr>
          <w:rFonts w:hint="eastAsia" w:ascii="仿宋" w:hAnsi="仿宋" w:eastAsia="仿宋"/>
          <w:sz w:val="28"/>
          <w:szCs w:val="28"/>
        </w:rPr>
        <w:t>人（行政编制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37</w:t>
      </w:r>
      <w:r>
        <w:rPr>
          <w:rFonts w:hint="eastAsia" w:ascii="仿宋" w:hAnsi="仿宋" w:eastAsia="仿宋"/>
          <w:sz w:val="28"/>
          <w:szCs w:val="28"/>
        </w:rPr>
        <w:t>人，事业编制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/>
          <w:sz w:val="28"/>
          <w:szCs w:val="28"/>
        </w:rPr>
        <w:t>人），财政实际供给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77</w:t>
      </w:r>
      <w:r>
        <w:rPr>
          <w:rFonts w:hint="eastAsia" w:ascii="仿宋" w:hAnsi="仿宋" w:eastAsia="仿宋"/>
          <w:sz w:val="28"/>
          <w:szCs w:val="28"/>
        </w:rPr>
        <w:t>人。</w:t>
      </w:r>
    </w:p>
    <w:p w14:paraId="063BBE7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320" w:firstLineChars="100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（三）主要职能职责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.负责组织起草县政府的文件、工作报告和领导讲话，以及县政府领导交办的其它文字综合材料；2.围绕全县经济和社会发展及县政府的中心工作，深入基层，调查研究，掌握情况，为领导科学决策提供依据和建议；3.监督检查县政府各部门、乡镇人民政府对国务院、省政府、市政府和县政府重要决定、决策、公文及县政府领导指示的执行及贯彻落实情况，及时向县政府领导报告；4.负责牵头组织涉及全县经济建设、社会发展和改革开放等全局性工作的重大课题调查研究，及时综合归纳，提出供县政府决策的参考方案和政策性建议；5.组织开展人大代表建议、政协提案办理工作；6.负责全县民族和宗教事务管理工作，促进民族团结和宗教界和谐稳定；7.负责全县外事侨务管理工作；8.负责对全县法制工作进行指导、监督、协调和服务；9.办理县政府及县政府领导同志交办的其他事项。</w:t>
      </w:r>
    </w:p>
    <w:p w14:paraId="479EA75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320" w:firstLineChars="10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县政府办党组在县委、县政府的坚强领导下，坚持以习近平新时代中国特色社会主义思想为指导，围绕县委、县政府重点工作，强基固本、守正创新、切实当好县政府工作的“第一参谋助手”，全面完成全年各项工作任务，为推动“三区一高地建设贡献了智慧和力量。”</w:t>
      </w:r>
    </w:p>
    <w:p w14:paraId="281365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1BF148B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 w14:paraId="7073D9A8">
      <w:pPr>
        <w:numPr>
          <w:ilvl w:val="0"/>
          <w:numId w:val="0"/>
        </w:num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t>年度共取得</w:t>
      </w:r>
      <w:r>
        <w:rPr>
          <w:rFonts w:hint="eastAsia" w:ascii="仿宋" w:hAnsi="仿宋" w:eastAsia="仿宋"/>
          <w:sz w:val="28"/>
          <w:szCs w:val="28"/>
        </w:rPr>
        <w:t>部门决算</w:t>
      </w:r>
      <w:r>
        <w:rPr>
          <w:rFonts w:ascii="仿宋" w:hAnsi="仿宋" w:eastAsia="仿宋"/>
          <w:sz w:val="28"/>
          <w:szCs w:val="28"/>
        </w:rPr>
        <w:t>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1322.53</w:t>
      </w:r>
      <w:r>
        <w:rPr>
          <w:rFonts w:ascii="仿宋" w:hAnsi="仿宋" w:eastAsia="仿宋"/>
          <w:sz w:val="28"/>
          <w:szCs w:val="28"/>
        </w:rPr>
        <w:t>万元， 其中：</w:t>
      </w:r>
      <w:r>
        <w:rPr>
          <w:rFonts w:hint="eastAsia" w:ascii="仿宋" w:hAnsi="仿宋" w:eastAsia="仿宋"/>
          <w:sz w:val="28"/>
          <w:szCs w:val="28"/>
        </w:rPr>
        <w:t>一般公共预算</w:t>
      </w:r>
      <w:r>
        <w:rPr>
          <w:rFonts w:ascii="仿宋" w:hAnsi="仿宋" w:eastAsia="仿宋"/>
          <w:sz w:val="28"/>
          <w:szCs w:val="28"/>
        </w:rPr>
        <w:t>拨款收入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1322.53</w:t>
      </w:r>
      <w:r>
        <w:rPr>
          <w:rFonts w:ascii="仿宋" w:hAnsi="仿宋" w:eastAsia="仿宋"/>
          <w:sz w:val="28"/>
          <w:szCs w:val="28"/>
        </w:rPr>
        <w:t>万元，占100%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FA6931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年度部门决算支出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1322.53</w:t>
      </w:r>
      <w:r>
        <w:rPr>
          <w:rFonts w:hint="eastAsia" w:ascii="仿宋" w:hAnsi="仿宋" w:eastAsia="仿宋"/>
          <w:sz w:val="28"/>
          <w:szCs w:val="28"/>
        </w:rPr>
        <w:t>万元，其中：一般公共预算财政拨款基本支出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1322.53</w:t>
      </w:r>
      <w:r>
        <w:rPr>
          <w:rFonts w:hint="eastAsia" w:ascii="仿宋" w:hAnsi="仿宋" w:eastAsia="仿宋"/>
          <w:sz w:val="28"/>
          <w:szCs w:val="28"/>
        </w:rPr>
        <w:t>万元，其中人员经费支出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957.7</w:t>
      </w:r>
      <w:r>
        <w:rPr>
          <w:rFonts w:hint="eastAsia" w:ascii="仿宋" w:hAnsi="仿宋" w:eastAsia="仿宋"/>
          <w:sz w:val="28"/>
          <w:szCs w:val="28"/>
        </w:rPr>
        <w:t>万元，占总支出的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72.41</w:t>
      </w:r>
      <w:r>
        <w:rPr>
          <w:rFonts w:hint="eastAsia" w:ascii="仿宋" w:hAnsi="仿宋" w:eastAsia="仿宋"/>
          <w:sz w:val="28"/>
          <w:szCs w:val="28"/>
        </w:rPr>
        <w:t>%；公用经费支出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364.83</w:t>
      </w:r>
      <w:r>
        <w:rPr>
          <w:rFonts w:hint="eastAsia" w:ascii="仿宋" w:hAnsi="仿宋" w:eastAsia="仿宋"/>
          <w:sz w:val="28"/>
          <w:szCs w:val="28"/>
        </w:rPr>
        <w:t>万元，占总支出的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27.59</w:t>
      </w:r>
      <w:r>
        <w:rPr>
          <w:rFonts w:hint="eastAsia" w:ascii="仿宋" w:hAnsi="仿宋" w:eastAsia="仿宋"/>
          <w:sz w:val="28"/>
          <w:szCs w:val="28"/>
        </w:rPr>
        <w:t>%。</w:t>
      </w:r>
    </w:p>
    <w:p w14:paraId="160BF71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2FFE4177">
      <w:pPr>
        <w:widowControl/>
        <w:ind w:firstLine="640" w:firstLineChars="200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>基本支出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年按月进行申报，其中日常公用经费按月进行申报并支付，截止6月执行进度50%，9月执行进度75%，12月执行进度100%。项目支出按月申报并授权支付，其中1-6月执行进度30%，1-9月执行进度数65%，1-12月执行进度100%。</w:t>
      </w:r>
    </w:p>
    <w:p w14:paraId="4709D24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2.项目支出情况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：无项目支出</w:t>
      </w:r>
    </w:p>
    <w:p w14:paraId="6413ECB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（三）"三公"经费使用和管理情况</w:t>
      </w:r>
    </w:p>
    <w:p w14:paraId="2F20EEC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840" w:firstLineChars="300"/>
        <w:textAlignment w:val="auto"/>
        <w:rPr>
          <w:rFonts w:hint="eastAsia" w:ascii="楷体_GB2312" w:eastAsia="仿宋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我部门认真执行中央“八项”规定，秉承“开源节流，量入为出”的宗旨，严格控制“三公”经费等支出。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color w:val="auto"/>
          <w:sz w:val="28"/>
          <w:szCs w:val="28"/>
        </w:rPr>
        <w:t>年度“三公”经费财政拨款支出</w:t>
      </w:r>
      <w:r>
        <w:rPr>
          <w:rFonts w:hint="eastAsia" w:ascii="宋体" w:hAnsi="宋体" w:eastAsia="仿宋"/>
          <w:color w:val="auto"/>
          <w:sz w:val="32"/>
          <w:szCs w:val="32"/>
          <w:lang w:val="en-US" w:eastAsia="zh-CN"/>
        </w:rPr>
        <w:t>9.14</w:t>
      </w:r>
      <w:r>
        <w:rPr>
          <w:rFonts w:ascii="仿宋" w:hAnsi="仿宋" w:eastAsia="仿宋"/>
          <w:color w:val="auto"/>
          <w:sz w:val="28"/>
          <w:szCs w:val="28"/>
        </w:rPr>
        <w:t>万元，完成年初预算的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39.74</w:t>
      </w:r>
      <w:r>
        <w:rPr>
          <w:rFonts w:ascii="仿宋" w:hAnsi="仿宋" w:eastAsia="仿宋"/>
          <w:color w:val="auto"/>
          <w:sz w:val="28"/>
          <w:szCs w:val="28"/>
        </w:rPr>
        <w:t>%，</w:t>
      </w:r>
      <w:r>
        <w:rPr>
          <w:rFonts w:hint="eastAsia" w:ascii="仿宋" w:hAnsi="仿宋" w:eastAsia="仿宋"/>
          <w:color w:val="auto"/>
          <w:sz w:val="28"/>
          <w:szCs w:val="28"/>
        </w:rPr>
        <w:t>较上年同期减少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4.35</w:t>
      </w:r>
      <w:r>
        <w:rPr>
          <w:rFonts w:hint="eastAsia" w:ascii="仿宋" w:hAnsi="仿宋" w:eastAsia="仿宋"/>
          <w:color w:val="auto"/>
          <w:sz w:val="28"/>
          <w:szCs w:val="28"/>
        </w:rPr>
        <w:t>万元，减少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32.25</w:t>
      </w:r>
      <w:r>
        <w:rPr>
          <w:rFonts w:hint="eastAsia" w:ascii="仿宋" w:hAnsi="仿宋" w:eastAsia="仿宋"/>
          <w:color w:val="auto"/>
          <w:sz w:val="28"/>
          <w:szCs w:val="28"/>
        </w:rPr>
        <w:t>%；其中：公务接待支出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3.52</w:t>
      </w:r>
      <w:r>
        <w:rPr>
          <w:rFonts w:hint="eastAsia" w:ascii="仿宋" w:hAnsi="仿宋" w:eastAsia="仿宋"/>
          <w:color w:val="auto"/>
          <w:sz w:val="28"/>
          <w:szCs w:val="28"/>
        </w:rPr>
        <w:t>万元，完成年初预算的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23.47</w:t>
      </w:r>
      <w:r>
        <w:rPr>
          <w:rFonts w:hint="eastAsia" w:ascii="仿宋" w:hAnsi="仿宋" w:eastAsia="仿宋"/>
          <w:color w:val="auto"/>
          <w:sz w:val="28"/>
          <w:szCs w:val="28"/>
        </w:rPr>
        <w:t>%，较上年同期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减少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4.47</w:t>
      </w:r>
      <w:r>
        <w:rPr>
          <w:rFonts w:hint="eastAsia" w:ascii="仿宋" w:hAnsi="仿宋" w:eastAsia="仿宋"/>
          <w:color w:val="auto"/>
          <w:sz w:val="28"/>
          <w:szCs w:val="28"/>
        </w:rPr>
        <w:t>万元，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减少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55.94</w:t>
      </w:r>
      <w:r>
        <w:rPr>
          <w:rFonts w:hint="eastAsia" w:ascii="仿宋" w:hAnsi="仿宋" w:eastAsia="仿宋"/>
          <w:color w:val="auto"/>
          <w:sz w:val="28"/>
          <w:szCs w:val="28"/>
        </w:rPr>
        <w:t>%；公务用车运行和维护费支出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5.6</w:t>
      </w:r>
      <w:r>
        <w:rPr>
          <w:rFonts w:hint="eastAsia" w:ascii="仿宋" w:hAnsi="仿宋" w:eastAsia="仿宋"/>
          <w:color w:val="auto"/>
          <w:sz w:val="28"/>
          <w:szCs w:val="28"/>
        </w:rPr>
        <w:t>万元，完成年初预算的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70</w:t>
      </w:r>
      <w:r>
        <w:rPr>
          <w:rFonts w:hint="eastAsia" w:ascii="仿宋" w:hAnsi="仿宋" w:eastAsia="仿宋"/>
          <w:color w:val="auto"/>
          <w:sz w:val="28"/>
          <w:szCs w:val="28"/>
        </w:rPr>
        <w:t>%，较上年同期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增加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0.1</w:t>
      </w:r>
      <w:r>
        <w:rPr>
          <w:rFonts w:hint="eastAsia" w:ascii="仿宋" w:hAnsi="仿宋" w:eastAsia="仿宋"/>
          <w:color w:val="auto"/>
          <w:sz w:val="28"/>
          <w:szCs w:val="28"/>
        </w:rPr>
        <w:t>万元，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增加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1.8%</w:t>
      </w:r>
      <w:r>
        <w:rPr>
          <w:rFonts w:hint="eastAsia" w:ascii="仿宋" w:hAnsi="仿宋" w:eastAsia="仿宋"/>
          <w:color w:val="auto"/>
          <w:sz w:val="28"/>
          <w:szCs w:val="28"/>
        </w:rPr>
        <w:t>%；本年度未发生和因公出国（境）费支出。三公经费减少主要原因是严格贯彻落实中央八项规定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，响应国家压减一般性公务支出政策。</w:t>
      </w:r>
    </w:p>
    <w:p w14:paraId="0F0FDD5E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75DF6C3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辰溪县人民政府办公室本年度无基金预算支出</w:t>
      </w:r>
    </w:p>
    <w:p w14:paraId="069C89A3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1682A443">
      <w:pPr>
        <w:numPr>
          <w:ilvl w:val="0"/>
          <w:numId w:val="0"/>
        </w:num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辰溪县人民政府办公室本年度无国有资本经营预算支出</w:t>
      </w:r>
    </w:p>
    <w:p w14:paraId="48ED9844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7CE0A7EF">
      <w:pPr>
        <w:numPr>
          <w:ilvl w:val="0"/>
          <w:numId w:val="0"/>
        </w:num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辰溪县人民政府办公室本年度无社会保险基金预算支出</w:t>
      </w:r>
    </w:p>
    <w:p w14:paraId="28A4E1D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3178E4C5">
      <w:pPr>
        <w:pStyle w:val="3"/>
        <w:spacing w:after="0"/>
        <w:rPr>
          <w:rFonts w:hint="eastAsia"/>
          <w:color w:val="FF0000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30F9C9E3">
      <w:pPr>
        <w:ind w:firstLine="630" w:firstLineChars="197"/>
        <w:jc w:val="both"/>
        <w:rPr>
          <w:rFonts w:hint="default" w:ascii="仿宋" w:hAnsi="仿宋" w:eastAsia="仿宋" w:cs="仿宋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color w:val="auto"/>
          <w:sz w:val="32"/>
          <w:szCs w:val="32"/>
          <w:lang w:val="en-US" w:eastAsia="zh-CN"/>
        </w:rPr>
        <w:t>（一）绩效评价的目的：严格落实《预算法》及省市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仿宋" w:hAnsi="仿宋" w:eastAsia="仿宋" w:cs="仿宋"/>
          <w:b w:val="0"/>
          <w:color w:val="auto"/>
          <w:sz w:val="32"/>
          <w:szCs w:val="32"/>
          <w:lang w:val="en-US" w:eastAsia="zh-CN"/>
        </w:rPr>
        <w:t>绩效管理工作的有关规定，进一步规范财政资金的管理，强化财政支出绩效理念，提升部门责任意识，提高资金使用效益，促进反腐倡廉工作的发展。</w:t>
      </w:r>
    </w:p>
    <w:p w14:paraId="440E261E">
      <w:pPr>
        <w:pStyle w:val="3"/>
        <w:ind w:firstLine="640" w:firstLineChars="200"/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）绩效评价工作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程序：</w:t>
      </w:r>
      <w:r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按照相关政策规定要求，我单位明确财务人员分步骤自评：</w:t>
      </w:r>
    </w:p>
    <w:p w14:paraId="2635693A">
      <w:pPr>
        <w:pStyle w:val="3"/>
        <w:ind w:firstLine="640" w:firstLineChars="200"/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1、核实数据。对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2024</w:t>
      </w:r>
      <w:r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年度部门项目支出数据的准确性、真实性进行核实，将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2023</w:t>
      </w:r>
      <w:r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年度和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2024</w:t>
      </w:r>
      <w:r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年度项目支出情况进行比较分析。</w:t>
      </w:r>
    </w:p>
    <w:p w14:paraId="0BAFCACD">
      <w:pPr>
        <w:pStyle w:val="3"/>
        <w:ind w:firstLine="640" w:firstLineChars="200"/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2、查阅资料。查阅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2024</w:t>
      </w:r>
      <w:r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年度预算安排、非税收入、预算追加、资金管理、经费支出等相关文件资料和财务凭证。</w:t>
      </w:r>
    </w:p>
    <w:p w14:paraId="020C671C">
      <w:pPr>
        <w:pStyle w:val="3"/>
        <w:ind w:firstLine="640" w:firstLineChars="200"/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3、归纳汇总。对提供的资料进行综合分析、归纳汇总。</w:t>
      </w:r>
    </w:p>
    <w:p w14:paraId="4D3BB225">
      <w:pPr>
        <w:pStyle w:val="3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4、形成绩效评价报告。</w:t>
      </w:r>
    </w:p>
    <w:p w14:paraId="4AC0FBD2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</w:p>
    <w:p w14:paraId="7947062B">
      <w:pPr>
        <w:pStyle w:val="3"/>
        <w:ind w:firstLine="640" w:firstLineChars="200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1、预算编制情况。根据县财政局要求和部门预算编制口径汇总编报了本部门预算。基本支出与项目支出边界清晰明确，确保了重点项目优先保障，项目管理执行情况较好。一是严格执行收入预算编制口径，做到了应编尽编，保证了收入预算编制的真实、完整。二是严格执行支出预算“人员经费按标准、日常公用按定额、专项经费按项目”的编制口径，保证了支出预算编制准确性和规范性。</w:t>
      </w:r>
    </w:p>
    <w:p w14:paraId="5EBE9EDF">
      <w:pPr>
        <w:pStyle w:val="3"/>
        <w:spacing w:after="0"/>
        <w:ind w:firstLine="640" w:firstLineChars="200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2、目标管理情况。2024年，我办按要求及时编制并报送部门绩效，在规定时间规定范围内公开部门绩效，做到了绩效目标科学合理、细化量化，达到了预期要实现的效果。</w:t>
      </w:r>
    </w:p>
    <w:p w14:paraId="18A1AA9D">
      <w:pPr>
        <w:pStyle w:val="3"/>
        <w:spacing w:after="0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3、执行管理情况。一是行政运行保障情况。我办严格按照年初预算安排，严格执行中央八项规定和省、市县若干规定，厉行节约规范使用预算资金。收入上，严格执行“收支两条线”管理制度。在支出管理中，认真执行国库集中支付、政府采购、公务卡报销和大额支付上会集体决策等相关财务管理制度。认真做好每月与银行、财政国库科的对账工作，加强动态监控，保障机关各项工作顺利开展。二是“三公”经费预算执行情况。我办严格按照中央省市县的相关文件要求，严控“三公经费”支出。</w:t>
      </w:r>
    </w:p>
    <w:p w14:paraId="2383F9C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49807401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1、主要经验及做法：</w:t>
      </w:r>
    </w:p>
    <w:p w14:paraId="5A846490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在专项资金使用上，严格按照相关文件要求，不擅自变更、拆借、挪用和挤占专项资金，做到专款专用。按照财政资金使用用途和目的，健全了资金管理制度，款项支付规范，最大限度地发挥了财政资金的使用效率，认真执行年初预算资金计划，账务核算及时规范，保障了机关正常运转，较好地完成了年度工作目标任务。</w:t>
      </w:r>
    </w:p>
    <w:p w14:paraId="6C6BCC68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2、存在的问题：</w:t>
      </w:r>
    </w:p>
    <w:p w14:paraId="37F81D60">
      <w:pPr>
        <w:ind w:firstLine="56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未明确产出效益，未细化分解了明确的绩效指标。项目绩效指标设计不够明确。在项目资金使用上，项目资金监管不到位，无具体使用明细，存在需要完善的风险控制环节。</w:t>
      </w:r>
    </w:p>
    <w:p w14:paraId="36082582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2512F314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1、建议进一步明确项目绩效指标，规范绩效目标申报，明确绩效内容，细化绩效指标，以提高绩效指标量化和考核性。</w:t>
      </w:r>
    </w:p>
    <w:p w14:paraId="1297F01B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2、积极健全资金管理制度、风险控制管理，强化资金使用的规范性。</w:t>
      </w:r>
    </w:p>
    <w:p w14:paraId="159685CD">
      <w:pPr>
        <w:ind w:firstLine="56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3、加强干部队伍的党风廉政教育，强化管理，严格落实片区网格化制度，责任到片、责任到人，实行详细的工作绩效考核机制；加强法律、法规学习，规范行政执法程序。</w:t>
      </w:r>
    </w:p>
    <w:p w14:paraId="4169648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3CD5420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报告应包括以下附件：</w:t>
      </w:r>
    </w:p>
    <w:p w14:paraId="66A5D3F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部门整体支出绩效评价基础数据表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27B791A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部门整体支出绩效自评表</w:t>
      </w:r>
    </w:p>
    <w:p w14:paraId="672A0B1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03939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sectPr>
          <w:footerReference r:id="rId3" w:type="default"/>
          <w:pgSz w:w="11906" w:h="16838"/>
          <w:pgMar w:top="2098" w:right="1800" w:bottom="1984" w:left="158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A94AE38">
      <w:pPr>
        <w:rPr>
          <w:rFonts w:hint="default"/>
          <w:lang w:val="en-US" w:eastAsia="zh-CN"/>
        </w:rPr>
      </w:pP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75F5C8-134A-4BCD-ADE7-B0737A0AE1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CEEB4A3-826A-40ED-B0B7-30F7D8F3CAB9}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3DC89E-CCD1-427C-A5F9-B9D5C29419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B62698F-E2F8-460E-9045-B0534F00DC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42C1E68-FBCF-4045-AEC9-A6878AC6949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0DA6659-9BD7-4BB8-A23E-D4965B9A5B5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5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5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9FDEF"/>
    <w:multiLevelType w:val="singleLevel"/>
    <w:tmpl w:val="1BF9FDE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D90812"/>
    <w:multiLevelType w:val="singleLevel"/>
    <w:tmpl w:val="33D9081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F7A88D0"/>
    <w:multiLevelType w:val="singleLevel"/>
    <w:tmpl w:val="5F7A88D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37B6910"/>
    <w:rsid w:val="046A73C6"/>
    <w:rsid w:val="05E95AA6"/>
    <w:rsid w:val="098C48A3"/>
    <w:rsid w:val="09ED4C49"/>
    <w:rsid w:val="0C180A78"/>
    <w:rsid w:val="0CAF7D6D"/>
    <w:rsid w:val="0D276746"/>
    <w:rsid w:val="0D2A2B05"/>
    <w:rsid w:val="0D464D9C"/>
    <w:rsid w:val="0D5B011C"/>
    <w:rsid w:val="0DD52794"/>
    <w:rsid w:val="0E956870"/>
    <w:rsid w:val="0EAB3EBF"/>
    <w:rsid w:val="10C666A5"/>
    <w:rsid w:val="10E8616A"/>
    <w:rsid w:val="1223366A"/>
    <w:rsid w:val="12D270D2"/>
    <w:rsid w:val="143877FD"/>
    <w:rsid w:val="14542FBA"/>
    <w:rsid w:val="15B91E83"/>
    <w:rsid w:val="17345CF3"/>
    <w:rsid w:val="17602EFE"/>
    <w:rsid w:val="17C820DA"/>
    <w:rsid w:val="19E805B2"/>
    <w:rsid w:val="1A1324AA"/>
    <w:rsid w:val="1AE71241"/>
    <w:rsid w:val="1B4346C9"/>
    <w:rsid w:val="1DA63635"/>
    <w:rsid w:val="1E206159"/>
    <w:rsid w:val="1EF774A8"/>
    <w:rsid w:val="22FE234B"/>
    <w:rsid w:val="23931F66"/>
    <w:rsid w:val="243F4EA1"/>
    <w:rsid w:val="24653902"/>
    <w:rsid w:val="24CC3981"/>
    <w:rsid w:val="25B87EC2"/>
    <w:rsid w:val="26143832"/>
    <w:rsid w:val="27361586"/>
    <w:rsid w:val="277E6F02"/>
    <w:rsid w:val="29990575"/>
    <w:rsid w:val="2AF6742D"/>
    <w:rsid w:val="2E833798"/>
    <w:rsid w:val="2E8D23D3"/>
    <w:rsid w:val="312A2265"/>
    <w:rsid w:val="315F32D2"/>
    <w:rsid w:val="31774C75"/>
    <w:rsid w:val="338E35A3"/>
    <w:rsid w:val="34F211E2"/>
    <w:rsid w:val="36FC0F5D"/>
    <w:rsid w:val="374505DF"/>
    <w:rsid w:val="375773F8"/>
    <w:rsid w:val="38CC5315"/>
    <w:rsid w:val="38FF5A4C"/>
    <w:rsid w:val="393E32BB"/>
    <w:rsid w:val="3BA1126C"/>
    <w:rsid w:val="3C90308E"/>
    <w:rsid w:val="3ED64164"/>
    <w:rsid w:val="41434B73"/>
    <w:rsid w:val="419B2857"/>
    <w:rsid w:val="41D71DA8"/>
    <w:rsid w:val="4205007B"/>
    <w:rsid w:val="44184095"/>
    <w:rsid w:val="4467015D"/>
    <w:rsid w:val="44F763A1"/>
    <w:rsid w:val="45D249F5"/>
    <w:rsid w:val="4B15382B"/>
    <w:rsid w:val="4BDE7972"/>
    <w:rsid w:val="4C6611ED"/>
    <w:rsid w:val="4CC633CD"/>
    <w:rsid w:val="4DC73464"/>
    <w:rsid w:val="4F602D94"/>
    <w:rsid w:val="513204B4"/>
    <w:rsid w:val="522B58DB"/>
    <w:rsid w:val="534053B7"/>
    <w:rsid w:val="542720D3"/>
    <w:rsid w:val="552A0475"/>
    <w:rsid w:val="55A90FF1"/>
    <w:rsid w:val="578D10CB"/>
    <w:rsid w:val="58726012"/>
    <w:rsid w:val="5A5915AC"/>
    <w:rsid w:val="5B31411A"/>
    <w:rsid w:val="5E2250AE"/>
    <w:rsid w:val="60805044"/>
    <w:rsid w:val="62A212A2"/>
    <w:rsid w:val="62E543CA"/>
    <w:rsid w:val="64D21BE7"/>
    <w:rsid w:val="6593344F"/>
    <w:rsid w:val="669A1825"/>
    <w:rsid w:val="69F30635"/>
    <w:rsid w:val="6A12486A"/>
    <w:rsid w:val="6A6B28C1"/>
    <w:rsid w:val="6F875A4F"/>
    <w:rsid w:val="74927564"/>
    <w:rsid w:val="753C4E9B"/>
    <w:rsid w:val="75DA08FB"/>
    <w:rsid w:val="77CA616D"/>
    <w:rsid w:val="781113A7"/>
    <w:rsid w:val="790C526F"/>
    <w:rsid w:val="791E6510"/>
    <w:rsid w:val="7C8D4A41"/>
    <w:rsid w:val="7C9048DB"/>
    <w:rsid w:val="7EC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1">
    <w:name w:val="标题1"/>
    <w:basedOn w:val="2"/>
    <w:autoRedefine/>
    <w:qFormat/>
    <w:uiPriority w:val="0"/>
    <w:rPr>
      <w:rFonts w:eastAsia="黑体"/>
    </w:rPr>
  </w:style>
  <w:style w:type="paragraph" w:customStyle="1" w:styleId="1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2761</Words>
  <Characters>2973</Characters>
  <Lines>0</Lines>
  <Paragraphs>0</Paragraphs>
  <TotalTime>1</TotalTime>
  <ScaleCrop>false</ScaleCrop>
  <LinksUpToDate>false</LinksUpToDate>
  <CharactersWithSpaces>3077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REI</cp:lastModifiedBy>
  <cp:lastPrinted>2025-03-22T03:55:00Z</cp:lastPrinted>
  <dcterms:modified xsi:type="dcterms:W3CDTF">2025-09-09T03:22:17Z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4B545E2748234224AA7888E0D1AE4147_13</vt:lpwstr>
  </property>
  <property fmtid="{D5CDD505-2E9C-101B-9397-08002B2CF9AE}" pid="4" name="KSOTemplateDocerSaveRecord">
    <vt:lpwstr>eyJoZGlkIjoiZDcyNmQyOTY0ODU5MjY2MTZjZWY3ZGVkM2E3YTJiZTYiLCJ1c2VySWQiOiIzNTQwMTI1NDkifQ==</vt:lpwstr>
  </property>
</Properties>
</file>