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方正小标宋_GBK" w:cs="Times New Roman"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方正小标宋_GBK" w:cs="Times New Roman"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方正小标宋_GBK" w:cs="Times New Roman"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方正小标宋_GBK" w:cs="Times New Roman"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sz w:val="24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</w:t>
      </w:r>
      <w:r>
        <w:rPr>
          <w:rFonts w:hint="eastAsia" w:ascii="Times New Roman" w:hAnsi="Times New Roman" w:eastAsia="方正小标宋_GBK" w:cs="Times New Roman"/>
          <w:sz w:val="52"/>
          <w:szCs w:val="52"/>
          <w:lang w:val="en-US" w:eastAsia="zh-CN"/>
        </w:rPr>
        <w:t>24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ascii="Times New Roman" w:hAnsi="Times New Roman" w:eastAsia="方正小标宋_GBK" w:cs="Times New Roman"/>
          <w:sz w:val="52"/>
          <w:szCs w:val="52"/>
          <w:lang w:eastAsia="zh-CN"/>
        </w:rPr>
        <w:t>辰溪县非物质文化遗产保护中心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部门（单位）名称：</w:t>
      </w:r>
      <w:r>
        <w:rPr>
          <w:rFonts w:hint="eastAsia"/>
          <w:sz w:val="32"/>
          <w:szCs w:val="32"/>
          <w:u w:val="single"/>
        </w:rPr>
        <w:t xml:space="preserve">（盖章）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　</w:t>
      </w:r>
      <w:r>
        <w:rPr>
          <w:rFonts w:hint="eastAsia"/>
          <w:sz w:val="32"/>
          <w:szCs w:val="32"/>
          <w:lang w:val="en-US" w:eastAsia="zh-CN"/>
        </w:rPr>
        <w:t xml:space="preserve"> 2025</w:t>
      </w:r>
      <w:r>
        <w:rPr>
          <w:rFonts w:hint="eastAsia"/>
          <w:sz w:val="32"/>
          <w:szCs w:val="32"/>
        </w:rPr>
        <w:t>年 　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 xml:space="preserve"> 月　</w:t>
      </w:r>
      <w:r>
        <w:rPr>
          <w:rFonts w:hint="eastAsia"/>
          <w:sz w:val="32"/>
          <w:szCs w:val="32"/>
          <w:lang w:val="en-US" w:eastAsia="zh-CN"/>
        </w:rPr>
        <w:t>13</w:t>
      </w:r>
      <w:r>
        <w:rPr>
          <w:rFonts w:hint="eastAsia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eastAsia="方正小标宋_GBK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eastAsia="方正小标宋_GBK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eastAsia="方正小标宋_GBK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asci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一、部门、单位基本情况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632" w:firstLineChars="200"/>
        <w:jc w:val="both"/>
        <w:rPr>
          <w:rFonts w:hint="default" w:ascii="仿宋" w:hAnsi="仿宋" w:eastAsia="仿宋" w:cstheme="minorBidi"/>
          <w:spacing w:val="-2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theme="minorBidi"/>
          <w:spacing w:val="-2"/>
          <w:kern w:val="0"/>
          <w:sz w:val="32"/>
          <w:szCs w:val="32"/>
          <w:lang w:val="en-US" w:eastAsia="zh-CN" w:bidi="ar"/>
        </w:rPr>
        <w:t>机构数：1个。内设科室有：办公室、财务股、博物馆、业务股、保安室。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632" w:firstLineChars="200"/>
        <w:jc w:val="both"/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本单位属全额财政拨款单位,财政全额在职供养人员共计18人。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Chars="0" w:right="0" w:rightChars="0" w:firstLine="640" w:firstLineChars="200"/>
        <w:jc w:val="both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632" w:firstLineChars="200"/>
        <w:jc w:val="both"/>
        <w:rPr>
          <w:rFonts w:hint="eastAsia" w:ascii="仿宋" w:hAnsi="仿宋" w:eastAsia="仿宋" w:cstheme="minorBidi"/>
          <w:spacing w:val="-2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theme="minorBidi"/>
          <w:spacing w:val="-2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" w:hAnsi="仿宋" w:eastAsia="仿宋" w:cstheme="minorBidi"/>
          <w:spacing w:val="-2"/>
          <w:kern w:val="0"/>
          <w:sz w:val="32"/>
          <w:szCs w:val="32"/>
          <w:lang w:val="en-US" w:eastAsia="zh-CN" w:bidi="ar"/>
        </w:rPr>
        <w:t>文物征集、鉴定、登编、修复、保管、文物展览。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632" w:firstLineChars="200"/>
        <w:jc w:val="both"/>
        <w:rPr>
          <w:rFonts w:hint="eastAsia" w:ascii="仿宋" w:hAnsi="仿宋" w:eastAsia="仿宋" w:cstheme="minorBidi"/>
          <w:spacing w:val="-2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theme="minorBidi"/>
          <w:spacing w:val="-2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仿宋" w:hAnsi="仿宋" w:eastAsia="仿宋" w:cstheme="minorBidi"/>
          <w:spacing w:val="-2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" w:hAnsi="仿宋" w:eastAsia="仿宋" w:cstheme="minorBidi"/>
          <w:spacing w:val="-2"/>
          <w:kern w:val="0"/>
          <w:sz w:val="32"/>
          <w:szCs w:val="32"/>
          <w:lang w:val="en-US" w:eastAsia="zh-CN" w:bidi="ar"/>
        </w:rPr>
        <w:t>对馆藏文物的相关研究、宣传出版。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632" w:firstLineChars="200"/>
        <w:jc w:val="both"/>
        <w:rPr>
          <w:rFonts w:hint="eastAsia" w:ascii="仿宋" w:hAnsi="仿宋" w:eastAsia="仿宋" w:cstheme="minorBidi"/>
          <w:spacing w:val="-2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theme="minorBidi"/>
          <w:spacing w:val="-2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" w:hAnsi="仿宋" w:eastAsia="仿宋" w:cstheme="minorBidi"/>
          <w:spacing w:val="-2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" w:hAnsi="仿宋" w:eastAsia="仿宋" w:cstheme="minorBidi"/>
          <w:spacing w:val="-2"/>
          <w:kern w:val="0"/>
          <w:sz w:val="32"/>
          <w:szCs w:val="32"/>
          <w:lang w:val="en-US" w:eastAsia="zh-CN" w:bidi="ar"/>
        </w:rPr>
        <w:t>完成藏品的征集、研究和展示工作。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632" w:firstLineChars="200"/>
        <w:jc w:val="both"/>
        <w:rPr>
          <w:rFonts w:hint="eastAsia" w:ascii="仿宋" w:hAnsi="仿宋" w:eastAsia="仿宋" w:cstheme="minorBidi"/>
          <w:spacing w:val="-2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theme="minorBidi"/>
          <w:spacing w:val="-2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仿宋" w:hAnsi="仿宋" w:eastAsia="仿宋" w:cstheme="minorBidi"/>
          <w:spacing w:val="-2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" w:hAnsi="仿宋" w:eastAsia="仿宋" w:cstheme="minorBidi"/>
          <w:spacing w:val="-2"/>
          <w:kern w:val="0"/>
          <w:sz w:val="32"/>
          <w:szCs w:val="32"/>
          <w:lang w:val="en-US" w:eastAsia="zh-CN" w:bidi="ar"/>
        </w:rPr>
        <w:t>组织贯彻落实国家、省、市有关非物质文化遗产保护研究工作。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（四）绩效目标设定情况</w:t>
      </w:r>
    </w:p>
    <w:p>
      <w:pPr>
        <w:keepNext w:val="0"/>
        <w:keepLines w:val="0"/>
        <w:widowControl/>
        <w:suppressLineNumbers w:val="0"/>
        <w:ind w:firstLine="632" w:firstLineChars="200"/>
        <w:jc w:val="left"/>
        <w:rPr>
          <w:rFonts w:hint="eastAsia" w:ascii="仿宋" w:hAnsi="仿宋" w:eastAsia="仿宋" w:cstheme="minorBidi"/>
          <w:spacing w:val="-2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theme="minorBidi"/>
          <w:spacing w:val="-2"/>
          <w:kern w:val="0"/>
          <w:sz w:val="32"/>
          <w:szCs w:val="32"/>
          <w:lang w:val="en-US" w:eastAsia="zh-CN" w:bidi="ar"/>
        </w:rPr>
        <w:t>我部门</w:t>
      </w:r>
      <w:r>
        <w:rPr>
          <w:rFonts w:hint="default" w:ascii="仿宋" w:hAnsi="仿宋" w:eastAsia="仿宋" w:cstheme="minorBidi"/>
          <w:spacing w:val="-2"/>
          <w:kern w:val="0"/>
          <w:sz w:val="32"/>
          <w:szCs w:val="32"/>
          <w:lang w:val="en-US" w:eastAsia="zh-CN" w:bidi="ar"/>
        </w:rPr>
        <w:t>2024年部门绩效目标紧紧围绕履职效益明显、预算配置科学、预算执行有效、预算管理规范等主要方面设定全面支出绩效目标。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二、部门整体支出管理及使用情况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（一）</w:t>
      </w:r>
      <w:r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预算执行、使用、管理总体情况。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2024年部门整体支出决算数为306.84万元，其中：基本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支出306.84万元，占100%；项目支出0万元，占0%；上缴上级支出0万元，占0%；经营支出0万元，占0%；对附属单位补助支出0万元，占0%。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（二）部门预算执行情况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1.基本支出情况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2024年度财政拨款基本支出306.84万元，其中：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人员经费233.29万元，占基本支出的76.03%，主要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包括：基本工资、津贴补贴、奖金、绩效工资、机关事业单位基本养老保险缴费、职工基本医疗保险缴费、其他社会保险缴费、其他工资福利支出、生活补助。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（2）公用经费73.55万元，占基本支出的23.97%，主要包括：办公费、印刷费、邮电费、电费、差旅费、维修（护）费、培训费、劳务费、物业管理费、工会经费、福利费、其他交通费用、其他商品和服务支出。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2.项目支出情况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"三公"经费使用和管理情况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632" w:firstLineChars="200"/>
        <w:textAlignment w:val="auto"/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本部门2024年“三公”经费支出合计0万元，较上年同期无变动。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632" w:firstLineChars="200"/>
        <w:textAlignment w:val="auto"/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本部门严格落实厉行节约，采取规范财务报账制度和公务接待程序、推行公务卡结算制度、严格控制接待标准和陪餐人数等措施，进一步规范了三公经费使用管理，有效减少了三公经费支出。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三、政府性基金预算支出情况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五、社会保险基金预算支出情况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640" w:right="0" w:firstLine="0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default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2024年，我单位积极履职，强化管理，较好的完成了年度工作目标。根据部门整体支出绩效评价指标体系，我单位2024年度评价得分为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  <w:highlight w:val="none"/>
          <w:lang w:val="en-US" w:eastAsia="zh-CN" w:bidi="ar-SA"/>
        </w:rPr>
        <w:t>93.85分。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评价指标分析（或综合评价情况）。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1、预算配置控制较好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（1）在职人员控制率：在职18人/编制人18*100%=100%，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财政供养人员控制在预算编制以内，编制内在职人员控制率为100%。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left"/>
        <w:textAlignment w:val="center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（2）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“三公经费”预算数为0万元，实际支出0万元，我单位严格按照中央八项规定的有关要求控制“三公经费”的支出，本年“三公经费”控制率为100%。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" w:hAnsi="仿宋" w:eastAsia="仿宋" w:cs="宋体"/>
          <w:spacing w:val="-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highlight w:val="none"/>
          <w:lang w:val="en-US" w:eastAsia="zh-CN" w:bidi="ar-SA"/>
        </w:rPr>
        <w:t>2、预算执行比较到位。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center"/>
        <w:rPr>
          <w:rFonts w:hint="eastAsia" w:ascii="仿宋" w:hAnsi="仿宋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2024年本部门本级年初批复预算数245.59万元，全年预算数346.84万元，实际执行306.84万元，整体支出预算完成率88.47%。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3、预算管理较理想。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（1）公用经费控制率100%。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（2）政府采购执行率未超过100%。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（3）管理制度健全性：制定财务管理制度、政府采购制度、会计和出纳管理制度、公务接待制度，各种管理制度合法、合规、完整，但执行率有待加强。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（4）资金使用合规性：资金的使用完全按照各种制度执行。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（6）预决算信息公开性：按规定在县政府门户网站公开预决算信息。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highlight w:val="none"/>
          <w:lang w:val="en-US" w:eastAsia="zh-CN" w:bidi="ar-SA"/>
        </w:rPr>
        <w:t>4、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资产管理情况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</w:rPr>
        <w:t>截至202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年12月31日，我单位资产</w:t>
      </w:r>
      <w:r>
        <w:rPr>
          <w:rFonts w:hint="eastAsia" w:ascii="仿宋" w:hAnsi="仿宋" w:eastAsia="仿宋"/>
          <w:sz w:val="32"/>
          <w:szCs w:val="32"/>
          <w:lang w:eastAsia="zh-CN"/>
        </w:rPr>
        <w:t>账面价值</w:t>
      </w:r>
      <w:r>
        <w:rPr>
          <w:rFonts w:hint="eastAsia" w:ascii="仿宋" w:hAnsi="仿宋" w:eastAsia="仿宋"/>
          <w:sz w:val="32"/>
          <w:szCs w:val="32"/>
        </w:rPr>
        <w:t>合计为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193.84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。我部门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严格按照县国有资产管理办法进行固定资产登记、入账、配置和核销制度进行管理</w:t>
      </w:r>
      <w:r>
        <w:rPr>
          <w:rFonts w:hint="eastAsia" w:ascii="仿宋" w:hAnsi="仿宋" w:eastAsia="仿宋"/>
          <w:sz w:val="32"/>
          <w:szCs w:val="32"/>
        </w:rPr>
        <w:t>真实反映和监督资产变动情况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确保资产账账相符、账实相符。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5、职责履行完成情况较好，产出分析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（1）非遗项目保护</w:t>
      </w:r>
      <w:r>
        <w:rPr>
          <w:rFonts w:hint="default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我单位对本县的多个非遗项目进行了深入的调研和梳理，进一步完善了项目档案。</w:t>
      </w:r>
      <w:r>
        <w:rPr>
          <w:rFonts w:hint="eastAsia" w:ascii="仿宋" w:hAnsi="仿宋" w:eastAsia="仿宋"/>
          <w:sz w:val="32"/>
          <w:szCs w:val="32"/>
        </w:rPr>
        <w:t>在去年的基础上，我们根据新增项目和传承人的变更等信息，重新修改完善项目及传承人数据库，做到及时更新完善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（2）展示推广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我单位积极配合搞好“怀化非遗” 抖音号宣传，</w:t>
      </w: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单位创作了</w:t>
      </w:r>
      <w:r>
        <w:rPr>
          <w:rFonts w:hint="eastAsia" w:ascii="仿宋" w:hAnsi="仿宋" w:eastAsia="仿宋"/>
          <w:sz w:val="32"/>
          <w:szCs w:val="32"/>
        </w:rPr>
        <w:t>吹木叶、辰溪酸萝卜、双唢呐等非遗项目宣传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的短</w:t>
      </w:r>
      <w:r>
        <w:rPr>
          <w:rFonts w:hint="eastAsia" w:ascii="仿宋" w:hAnsi="仿宋" w:eastAsia="仿宋"/>
          <w:sz w:val="32"/>
          <w:szCs w:val="32"/>
        </w:rPr>
        <w:t>视频，在怀化电视台及抖音等平台播放，扩大我县非遗的知晓度。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（3）新增馆藏文物。11月12日，省文物局组织专家来我馆进行了文物鉴定，此次鉴定我馆新增馆藏文物新增至7022件，较上年增加了69件。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6、履职效益较好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left"/>
        <w:textAlignment w:val="center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（1）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由于财务制度健全，会计核算规范，2024年大部分资金及时到位，我单位各项日常工作进展顺利，取得较好成绩。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right="0" w:rightChars="0" w:firstLine="632" w:firstLineChars="200"/>
        <w:jc w:val="both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（2）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开展社会教育效果明显，部门工作进展顺利，达到预期目标。为公民，为社会提供更好的服务，促进博物馆事业的繁荣与发展提供更好的平台，在文物有效保护和使用安全的前提下，使之更好地为当地社会文化服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主要是资金安排、使用，资产管理过程中存在的问题。一是因单位全额编制较少导致公用经费不足，与实际支出相差较大。二是公用经费控制有一定难度，基本为刚性支出。三是规范各类资产的购置审批制度，完善资产管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八、下一步改进措施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20"/>
        <w:jc w:val="left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一是认真做好预算编制，进一步加强预算管理意识，严格按照预算编制的相关制度和要求，本着“勤俭节约、保障运转”的原则进行预算编制；编制范围尽可能全面、不漏项，进一步提高预算编制的科学性、合理性、严谨性和可控性。二是在日常预算管理过程中，进一步加强预算支出的衔接、审核、跟踪及预算执行情况分析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rPr>
          <w:sz w:val="32"/>
          <w:szCs w:val="32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right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righ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jc w:val="left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800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FF0D0D"/>
    <w:multiLevelType w:val="singleLevel"/>
    <w:tmpl w:val="AFFF0D0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DB9FA4"/>
    <w:multiLevelType w:val="singleLevel"/>
    <w:tmpl w:val="FFDB9FA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FFF80A7"/>
    <w:multiLevelType w:val="singleLevel"/>
    <w:tmpl w:val="FFFF80A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BEE5B4D"/>
    <w:multiLevelType w:val="singleLevel"/>
    <w:tmpl w:val="6BEE5B4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BBA4435"/>
    <w:multiLevelType w:val="singleLevel"/>
    <w:tmpl w:val="7BBA443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MzFlZjYzNmQzYTk0NjJkZWFiZDc3MDA0YjgxYTgifQ=="/>
  </w:docVars>
  <w:rsids>
    <w:rsidRoot w:val="57A947E5"/>
    <w:rsid w:val="57A9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标题1"/>
    <w:basedOn w:val="2"/>
    <w:qFormat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2011-01-01T18:15:00Z</dcterms:created>
  <dc:creator>wwgls</dc:creator>
  <cp:lastModifiedBy>wwgls</cp:lastModifiedBy>
  <dcterms:modified xsi:type="dcterms:W3CDTF">2011-01-01T18:17:28Z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41C6E83DCC6242E1A8E57A609517A870_11</vt:lpwstr>
  </property>
</Properties>
</file>