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部门整体支出绩效自评报告</w:t>
      </w:r>
    </w:p>
    <w:p w:rsidR="007C1418" w:rsidRDefault="007C1418">
      <w:pPr>
        <w:pStyle w:val="a6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仿宋_GB2312" w:eastAsia="仿宋_GB2312" w:cs="仿宋_GB2312"/>
          <w:color w:val="000000"/>
        </w:rPr>
      </w:pP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一、部门、单位基本情况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FF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FF"/>
          <w:sz w:val="30"/>
          <w:szCs w:val="30"/>
          <w:shd w:val="clear" w:color="auto" w:fill="FFFFFF"/>
        </w:rPr>
        <w:t>（一）机构设置情况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100" w:firstLine="300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 w:hint="eastAsia"/>
          <w:color w:val="000000"/>
          <w:sz w:val="30"/>
          <w:szCs w:val="30"/>
          <w:shd w:val="clear" w:color="auto" w:fill="FFFFFF"/>
        </w:rPr>
        <w:t>本单位属于全额拨款事业单位，是归于与教育局下的二级单位。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（二）人员编制情况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 xml:space="preserve"> 2</w:t>
      </w:r>
      <w:r w:rsidR="00836A68"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>2024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年</w:t>
      </w:r>
      <w:r>
        <w:rPr>
          <w:rFonts w:ascii="楷体_GB2312" w:eastAsia="楷体_GB2312" w:cs="楷体_GB2312" w:hint="eastAsia"/>
          <w:color w:val="000000"/>
          <w:sz w:val="30"/>
          <w:szCs w:val="30"/>
          <w:shd w:val="clear" w:color="auto" w:fill="FFFFFF"/>
        </w:rPr>
        <w:t>辰溪县第一幼儿园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编制数</w:t>
      </w:r>
      <w:r w:rsidR="00836A68"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>11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人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,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实有人员</w:t>
      </w:r>
      <w:r w:rsidR="00836A68"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>11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人。</w:t>
      </w:r>
    </w:p>
    <w:p w:rsidR="007C1418" w:rsidRDefault="00314521">
      <w:pPr>
        <w:pStyle w:val="a6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FF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FF"/>
          <w:sz w:val="30"/>
          <w:szCs w:val="30"/>
          <w:shd w:val="clear" w:color="auto" w:fill="FFFFFF"/>
        </w:rPr>
        <w:t>主要职能职责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200" w:firstLine="600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 w:hint="eastAsia"/>
          <w:color w:val="3D3D3D"/>
          <w:sz w:val="30"/>
          <w:szCs w:val="30"/>
        </w:rPr>
        <w:t>主要职责是贯彻落实党和国家的教育方针、政策、法律、法规，实施学前教育，促进基础教育发展。拟定财务决算目标、政策，制定财务决算管理的具体措施和办法，组织、指导学校各项经费决算编制工作，提出学年度决算进行修正、调整，正式编制学校学年度财务决算草案，提交学校审定，组织下达财务决算，协调解决财务决算编制和执行中的问题，组织审计、考核财务决算的执行情况。</w:t>
      </w:r>
    </w:p>
    <w:p w:rsidR="007C1418" w:rsidRDefault="00314521">
      <w:pPr>
        <w:pStyle w:val="a6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绩效目标设定情况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100" w:firstLine="300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lastRenderedPageBreak/>
        <w:t>在制定部门预算时，从成本指标、产出指标、效益指标、满意度指标三个内容和一级指标、二级指标、三级指标三个维度对部门预算进行了绩效目标设定。</w:t>
      </w:r>
    </w:p>
    <w:p w:rsidR="007C1418" w:rsidRDefault="00314521">
      <w:pPr>
        <w:snapToGrid w:val="0"/>
        <w:spacing w:line="480" w:lineRule="auto"/>
        <w:rPr>
          <w:rFonts w:ascii="黑体" w:eastAsia="黑体" w:hAnsi="黑体" w:cs="黑体"/>
          <w:color w:val="000000"/>
          <w:kern w:val="0"/>
          <w:sz w:val="30"/>
          <w:szCs w:val="30"/>
          <w:shd w:val="clear" w:color="auto" w:fill="FFFFFF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shd w:val="clear" w:color="auto" w:fill="FFFFFF"/>
          <w:lang/>
        </w:rPr>
        <w:t>二、部门整体支出管理及使用情况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（一）</w:t>
      </w:r>
      <w:r>
        <w:rPr>
          <w:rFonts w:ascii="楷体_GB2312" w:eastAsia="楷体_GB2312" w:cs="楷体_GB2312" w:hint="eastAsia"/>
          <w:color w:val="000000"/>
          <w:sz w:val="30"/>
          <w:szCs w:val="30"/>
          <w:shd w:val="clear" w:color="auto" w:fill="FFFFFF"/>
        </w:rPr>
        <w:t>预算执行、使用、管理总体情况。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根据批复的预算安排各项收支，确保预算严格有效执行。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预算执行申请提出后，应当由分管业务工作的局领导和计财股进行审核，并按规定的权限进行审批。建立预算执行分析机制，定期通报各部门预算执行情况。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sz w:val="30"/>
          <w:szCs w:val="30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（二）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部门预算执行情况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cs="仿宋_GB2312"/>
          <w:sz w:val="30"/>
          <w:szCs w:val="30"/>
          <w:shd w:val="clear" w:color="auto" w:fill="FFFFFF"/>
        </w:rPr>
        <w:t>1.</w:t>
      </w:r>
      <w:r>
        <w:rPr>
          <w:rFonts w:ascii="仿宋_GB2312" w:eastAsia="仿宋_GB2312" w:cs="仿宋_GB2312"/>
          <w:sz w:val="30"/>
          <w:szCs w:val="30"/>
          <w:shd w:val="clear" w:color="auto" w:fill="FFFFFF"/>
        </w:rPr>
        <w:t>基本支出情况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仿宋_GB2312" w:eastAsia="仿宋_GB2312" w:cs="仿宋_GB2312"/>
          <w:sz w:val="30"/>
          <w:szCs w:val="30"/>
          <w:shd w:val="clear" w:color="auto" w:fill="FFFFFF"/>
        </w:rPr>
        <w:t>教育支出（类）决算数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138.99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万元。其中：办公费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3.12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万元，印刷费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2.12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万元，水费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0.26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万元，电费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1.33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万元，邮电费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万元，物业管理费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1.3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元，差旅费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1.07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万元，维修费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10.81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万元，专用材料费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6.53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，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工会经费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0.84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元，其他商品和服务支出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4.79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万元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社会保障和就业支出（类）行政事业单位离退休（款）机关事业单位基本养老保险缴费支出（项）决算数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17.35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万元。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2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2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、</w:t>
      </w:r>
      <w:r>
        <w:rPr>
          <w:rFonts w:ascii="仿宋_GB2312" w:eastAsia="仿宋_GB2312" w:cs="仿宋_GB2312"/>
          <w:sz w:val="30"/>
          <w:szCs w:val="30"/>
          <w:shd w:val="clear" w:color="auto" w:fill="FFFFFF"/>
        </w:rPr>
        <w:t>项目支出情况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sz w:val="30"/>
          <w:szCs w:val="30"/>
          <w:shd w:val="clear" w:color="auto" w:fill="FFFFFF"/>
        </w:rPr>
        <w:lastRenderedPageBreak/>
        <w:t>项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目预算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24.5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万元。其中学前教育生均公用经费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19.7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万元，学前发展专线资金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2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万元，学前助学金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2.8</w:t>
      </w:r>
      <w:r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万元。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（三）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"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三公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"</w:t>
      </w: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经费使用和管理情况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ascii="楷体_GB2312" w:eastAsia="楷体_GB2312" w:cs="楷体_GB2312" w:hint="eastAsia"/>
          <w:color w:val="000000"/>
          <w:sz w:val="30"/>
          <w:szCs w:val="30"/>
          <w:shd w:val="clear" w:color="auto" w:fill="FFFFFF"/>
        </w:rPr>
        <w:t>无</w:t>
      </w:r>
    </w:p>
    <w:p w:rsidR="007C1418" w:rsidRDefault="00314521">
      <w:pPr>
        <w:pStyle w:val="a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480" w:lineRule="auto"/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政府性基金预算支出情况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本单位无政府性基金预算支出情况。</w:t>
      </w:r>
    </w:p>
    <w:p w:rsidR="007C1418" w:rsidRDefault="00314521">
      <w:pPr>
        <w:pStyle w:val="a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480" w:lineRule="auto"/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国有资本经营预算支出情况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本单位无国有资本经营预算支出情况。</w:t>
      </w:r>
    </w:p>
    <w:p w:rsidR="007C1418" w:rsidRDefault="00314521">
      <w:pPr>
        <w:pStyle w:val="a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480" w:lineRule="auto"/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社会保险基金预算支出情况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本单位无社会保险基金预算支出情况。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六、部门整体支出绩效情况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0"/>
          <w:szCs w:val="30"/>
          <w:shd w:val="clear" w:color="auto" w:fill="FFFFFF"/>
        </w:rPr>
        <w:t>（一）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综合评价结论。</w:t>
      </w:r>
      <w:r>
        <w:rPr>
          <w:rFonts w:ascii="仿宋_GB2312" w:eastAsia="仿宋_GB2312" w:cs="仿宋_GB2312"/>
          <w:sz w:val="30"/>
          <w:szCs w:val="30"/>
          <w:shd w:val="clear" w:color="auto" w:fill="FFFFFF"/>
        </w:rPr>
        <w:t>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  <w:shd w:val="clear" w:color="auto" w:fill="FFFFFF"/>
        </w:rPr>
        <w:t>自评得分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98</w:t>
      </w:r>
      <w:r>
        <w:rPr>
          <w:rFonts w:ascii="仿宋_GB2312" w:eastAsia="仿宋_GB2312" w:cs="仿宋_GB2312"/>
          <w:sz w:val="30"/>
          <w:szCs w:val="30"/>
          <w:shd w:val="clear" w:color="auto" w:fill="FFFFFF"/>
        </w:rPr>
        <w:t>评价等级为优秀。</w:t>
      </w:r>
    </w:p>
    <w:p w:rsidR="007C1418" w:rsidRDefault="00314521">
      <w:pPr>
        <w:pStyle w:val="a6"/>
        <w:widowControl/>
        <w:numPr>
          <w:ilvl w:val="0"/>
          <w:numId w:val="3"/>
        </w:numPr>
        <w:shd w:val="clear" w:color="auto" w:fill="FFFFFF"/>
        <w:snapToGrid w:val="0"/>
        <w:spacing w:beforeAutospacing="0" w:afterAutospacing="0" w:line="480" w:lineRule="auto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sz w:val="30"/>
          <w:szCs w:val="30"/>
          <w:shd w:val="clear" w:color="auto" w:fill="FFFFFF"/>
        </w:rPr>
        <w:t>评价指标分析（或综合评价情况）。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200" w:firstLine="600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制度建设方面，完善考勤、安全、教学等管理制度，制定《教职工考核细则》《工作纪律管理制度》《应急预案处理流程》等制度，保证园所管理有章、有理、有力。团队建设上，定期组织教师开展教学研讨、师德培训、技能竞赛、优质课评比、通过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师徒结对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园本培训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外出培训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等形式提升教师专业素养。两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lastRenderedPageBreak/>
        <w:t>年来选派傅淑娟等骨干教师参加省市培训及跟岗实践活动共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16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批次，以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走出去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学进来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的模式拓宽教师视野。通过系统化的培养，目前全园教职工上岗持证率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100%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，园内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2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名教师取得初级育婴师资格证书，教师队伍专业能力显著提升。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200" w:firstLine="600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安全管理常抓不懈，落实每日安全巡检，定期对园舍、设施设备、食品卫生等进行检查，及时消除各种安全隐患。每期开展消防、防震、食品安全、防恐防爆等演练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4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次，建立幼儿园护学岗制度，保障幼儿在园安全。家园共育工作中，搭建线上线下沟通平台，定期召开家长会，开展家长开放日活动，成立家长委员会，广泛听取家长意见，通过多维度管理举措，推动园所持续稳定发展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200" w:firstLine="600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始终保持勤勉务实的工作作风，坚持每日巡查校园安全。实行党员包班制，深入班级观察教学，及时解决师生实际问题，并主动承担班级教学任务。为改善办园条件，美化育人环境，在幼儿园的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环境建设上，一是优化教育环境，坚持每学期开展三次环境创设评比活动，通过以评促建，激发了老师环境创设的积极性，两年来园所环境得到了很大的改善。二是完善硬件设施，面对园所设施老化问题，完成了教学楼及盥洗池防水加固、教学楼室内破损风化墙面的修补，墙裙及公共区域的环境改造，户外活动场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lastRenderedPageBreak/>
        <w:t>地地面改造。三是优化教育空间，面对场地小，空间少的困难，改造了阅读区并添置符合幼儿年龄特点的各类教玩具及图书，户外游戏材料等。同时在教育局领导的关怀下，还翻新了教学楼顶瓦面、及防水等工程。通过这些举措，为幼儿打造安全，多元，富有教育价值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的成长空间。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200" w:firstLine="600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作为县学前教育公办园之一，我们积极组织开展送教下乡、联合教研等活动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6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次，并有幸在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国培计划（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2024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）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”——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辰溪县农村幼儿园精准帮扶项目工作中与红敏幼儿园建立帮扶对子，凭借扎实的帮扶成果，我园被评为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项目示范园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。促进了教师的专业成长和课程游戏化在农村幼儿园的走深落实。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200" w:firstLine="600"/>
        <w:rPr>
          <w:rFonts w:ascii="楷体_GB2312" w:eastAsia="楷体_GB2312" w:cs="楷体_GB2312"/>
          <w:sz w:val="30"/>
          <w:szCs w:val="30"/>
          <w:shd w:val="clear" w:color="auto" w:fill="FFFFFF"/>
        </w:rPr>
      </w:pPr>
      <w:r>
        <w:rPr>
          <w:rFonts w:ascii="楷体_GB2312" w:eastAsia="楷体_GB2312" w:cs="楷体_GB2312"/>
          <w:sz w:val="30"/>
          <w:szCs w:val="30"/>
          <w:shd w:val="clear" w:color="auto" w:fill="FFFFFF"/>
        </w:rPr>
        <w:t>课程教育模式有创新。我园结合《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3</w:t>
      </w:r>
      <w:r w:rsidR="00836A68"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3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—</w:t>
      </w:r>
      <w:r w:rsidR="00836A68">
        <w:rPr>
          <w:rFonts w:ascii="楷体_GB2312" w:eastAsia="楷体_GB2312" w:cs="楷体_GB2312" w:hint="eastAsia"/>
          <w:sz w:val="30"/>
          <w:szCs w:val="30"/>
          <w:shd w:val="clear" w:color="auto" w:fill="FFFFFF"/>
        </w:rPr>
        <w:t>6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6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岁儿童学习与发展指南》，落实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以游戏为基本活动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的理念、立足幼儿发展需求，构建园本课程体系，开设安吉游戏、篮球、绘本阅读、经典诵读特色课程。注重幼儿全面发展，开展丰富多彩的活动。以各类活动为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载体，通过传统节日开展常态化德育教育。如：节日教育（六一儿童节，教师节、国庆节、烈士纪念日、妇女节等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)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、趣味亲子游戏等，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清廉家庭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幼儿清廉故事及歌唱比赛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及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“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文明之星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”</w:t>
      </w:r>
      <w:r>
        <w:rPr>
          <w:rFonts w:ascii="楷体_GB2312" w:eastAsia="楷体_GB2312" w:cs="楷体_GB2312"/>
          <w:sz w:val="30"/>
          <w:szCs w:val="30"/>
          <w:shd w:val="clear" w:color="auto" w:fill="FFFFFF"/>
        </w:rPr>
        <w:t>评选、每周一的升旗等活动。培养幼儿的爱国精神和良好的文明行为习惯。促进了幼儿身心健康发展。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200" w:firstLine="6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lastRenderedPageBreak/>
        <w:t>七、存在的问题及原因分析</w:t>
      </w:r>
    </w:p>
    <w:p w:rsidR="007C1418" w:rsidRDefault="00836A68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ind w:firstLineChars="200" w:firstLine="600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>024</w:t>
      </w:r>
      <w:r w:rsidR="00314521"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  <w:t>4</w:t>
      </w:r>
      <w:r w:rsidR="00314521"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  <w:t>年，认真编制并执行了预算。严格执行了政府采购政策。严格制定并执行了经费支出内控制度，科学合理安排资金。确保了各项工作顺利开展，达到了预期绩效目标。但还存在绩效制度不健全，绩效管理质量不高的问题。</w:t>
      </w:r>
    </w:p>
    <w:p w:rsidR="007C1418" w:rsidRDefault="00314521">
      <w:pPr>
        <w:pStyle w:val="a6"/>
        <w:widowControl/>
        <w:numPr>
          <w:ilvl w:val="0"/>
          <w:numId w:val="4"/>
        </w:numPr>
        <w:shd w:val="clear" w:color="auto" w:fill="FFFFFF"/>
        <w:snapToGrid w:val="0"/>
        <w:spacing w:beforeAutospacing="0" w:afterAutospacing="0" w:line="480" w:lineRule="auto"/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下一步改进措施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后期将在以下几个方面加强绩效管理：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、加强绩效制度建设。完善绩效管理和评价制度，为资金的合理配置提供有效依据。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、强化绩效目标管理，把绩效目标作为项目实施的前置条件，提高资金使用的合理性和科学性，严格《会计法》，《政府会计制度》等规定执行财务核算，并结合实际情况，准确地披露相关信息，尽可能地做到决算和预算相衔接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九、其他需要说明的情况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hint="eastAsia"/>
          <w:color w:val="000000"/>
          <w:sz w:val="30"/>
          <w:szCs w:val="30"/>
        </w:rPr>
        <w:t>无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  <w:t>报告应包括以下附件：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1.</w:t>
      </w:r>
      <w:r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  <w:t>部门整体支出绩效评价基础数据表</w:t>
      </w:r>
    </w:p>
    <w:p w:rsidR="007C1418" w:rsidRDefault="00314521">
      <w:pPr>
        <w:pStyle w:val="a6"/>
        <w:widowControl/>
        <w:shd w:val="clear" w:color="auto" w:fill="FFFFFF"/>
        <w:snapToGrid w:val="0"/>
        <w:spacing w:beforeAutospacing="0" w:afterAutospacing="0" w:line="480" w:lineRule="auto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shd w:val="clear" w:color="auto" w:fill="FFFFFF"/>
        </w:rPr>
        <w:t>2.</w:t>
      </w:r>
      <w:r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  <w:t>部门整体支出绩效自评表</w:t>
      </w:r>
    </w:p>
    <w:p w:rsidR="007C1418" w:rsidRDefault="007C1418">
      <w:pPr>
        <w:pStyle w:val="a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 w:rsidR="007C1418" w:rsidRDefault="007C1418">
      <w:pPr>
        <w:pStyle w:val="a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 w:rsidR="007C1418" w:rsidRDefault="00314521">
      <w:pPr>
        <w:pStyle w:val="a6"/>
        <w:widowControl/>
        <w:shd w:val="clear" w:color="auto" w:fill="FFFFFF"/>
        <w:spacing w:beforeAutospacing="0" w:afterAutospacing="0" w:line="480" w:lineRule="exact"/>
        <w:jc w:val="both"/>
        <w:rPr>
          <w:rFonts w:ascii="方正小标宋_GBK" w:eastAsia="方正小标宋_GBK" w:hAnsi="方正小标宋_GBK" w:cs="方正小标宋_GBK"/>
          <w:color w:val="000000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hd w:val="clear" w:color="auto" w:fill="FFFFFF"/>
        </w:rPr>
        <w:t>附件</w:t>
      </w:r>
      <w:r>
        <w:rPr>
          <w:rFonts w:ascii="方正小标宋_GBK" w:eastAsia="方正小标宋_GBK" w:hAnsi="方正小标宋_GBK" w:cs="方正小标宋_GBK" w:hint="eastAsia"/>
          <w:color w:val="000000"/>
          <w:shd w:val="clear" w:color="auto" w:fill="FFFFFF"/>
        </w:rPr>
        <w:t xml:space="preserve">1-1 </w:t>
      </w:r>
    </w:p>
    <w:p w:rsidR="007C1418" w:rsidRDefault="00314521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部门整体支出绩效评价基础数据表</w:t>
      </w:r>
    </w:p>
    <w:p w:rsidR="007C1418" w:rsidRDefault="00314521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填报单位：</w:t>
      </w:r>
      <w:r>
        <w:rPr>
          <w:rFonts w:eastAsia="仿宋_GB2312" w:hint="eastAsia"/>
          <w:kern w:val="0"/>
          <w:sz w:val="24"/>
        </w:rPr>
        <w:t xml:space="preserve">   </w:t>
      </w:r>
      <w:r>
        <w:rPr>
          <w:rFonts w:eastAsia="仿宋_GB2312" w:hint="eastAsia"/>
          <w:kern w:val="0"/>
          <w:sz w:val="24"/>
        </w:rPr>
        <w:t>辰溪县第一幼儿园</w:t>
      </w:r>
      <w:r>
        <w:rPr>
          <w:rFonts w:eastAsia="仿宋_GB2312" w:hint="eastAsia"/>
          <w:kern w:val="0"/>
          <w:sz w:val="24"/>
        </w:rPr>
        <w:t xml:space="preserve">          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:rsidR="007C1418">
        <w:trPr>
          <w:trHeight w:val="397"/>
          <w:jc w:val="center"/>
        </w:trPr>
        <w:tc>
          <w:tcPr>
            <w:tcW w:w="3354" w:type="dxa"/>
            <w:vMerge w:val="restart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控制率</w:t>
            </w:r>
          </w:p>
        </w:tc>
      </w:tr>
      <w:tr w:rsidR="007C1418">
        <w:trPr>
          <w:trHeight w:val="222"/>
          <w:jc w:val="center"/>
        </w:trPr>
        <w:tc>
          <w:tcPr>
            <w:tcW w:w="3354" w:type="dxa"/>
            <w:vMerge/>
            <w:noWrap/>
            <w:vAlign w:val="center"/>
          </w:tcPr>
          <w:p w:rsidR="007C1418" w:rsidRDefault="007C1418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100%</w:t>
            </w: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24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年决算数</w:t>
            </w: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、公务用车购置和维护经费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、出国经费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、公务接待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、业务工作经费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、运行维护经费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624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ind w:firstLineChars="200" w:firstLine="40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市级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专项资金</w:t>
            </w:r>
          </w:p>
          <w:p w:rsidR="007C1418" w:rsidRDefault="00314521">
            <w:pPr>
              <w:widowControl/>
              <w:ind w:firstLineChars="300" w:firstLine="60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ind w:firstLineChars="200" w:firstLine="40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、其他事业类发展资金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6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17.01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19.7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836A6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19.7</w:t>
            </w: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其中：办公费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>9.94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836A68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>5.4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836A68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>5.4</w:t>
            </w: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>7.07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>9.3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>9.3</w:t>
            </w:r>
          </w:p>
        </w:tc>
      </w:tr>
      <w:tr w:rsidR="007C1418">
        <w:trPr>
          <w:trHeight w:val="342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0"/>
                <w:szCs w:val="20"/>
              </w:rPr>
              <w:t>5</w:t>
            </w: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97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部门基本支出预算调整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837"/>
          <w:jc w:val="center"/>
        </w:trPr>
        <w:tc>
          <w:tcPr>
            <w:tcW w:w="3354" w:type="dxa"/>
            <w:vMerge w:val="restart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楼堂馆所控制情况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</w:r>
          </w:p>
        </w:tc>
        <w:tc>
          <w:tcPr>
            <w:tcW w:w="118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批复规模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投资概算控制率</w:t>
            </w:r>
          </w:p>
        </w:tc>
      </w:tr>
      <w:tr w:rsidR="007C1418">
        <w:trPr>
          <w:trHeight w:val="264"/>
          <w:jc w:val="center"/>
        </w:trPr>
        <w:tc>
          <w:tcPr>
            <w:tcW w:w="3354" w:type="dxa"/>
            <w:vMerge/>
            <w:noWrap/>
            <w:vAlign w:val="center"/>
          </w:tcPr>
          <w:p w:rsidR="007C1418" w:rsidRDefault="007C1418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center"/>
          </w:tcPr>
          <w:p w:rsidR="007C1418" w:rsidRDefault="007C1418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</w:tcPr>
          <w:p w:rsidR="007C1418" w:rsidRDefault="007C1418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/>
            <w:vAlign w:val="center"/>
          </w:tcPr>
          <w:p w:rsidR="007C1418" w:rsidRDefault="007C1418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noWrap/>
            <w:vAlign w:val="center"/>
          </w:tcPr>
          <w:p w:rsidR="007C1418" w:rsidRDefault="007C1418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/>
            <w:vAlign w:val="center"/>
          </w:tcPr>
          <w:p w:rsidR="007C1418" w:rsidRDefault="007C1418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450"/>
          <w:jc w:val="center"/>
        </w:trPr>
        <w:tc>
          <w:tcPr>
            <w:tcW w:w="3354" w:type="dxa"/>
            <w:noWrap/>
            <w:vAlign w:val="center"/>
          </w:tcPr>
          <w:p w:rsidR="007C1418" w:rsidRDefault="00314521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/>
            <w:vAlign w:val="center"/>
          </w:tcPr>
          <w:p w:rsidR="007C1418" w:rsidRDefault="007C1418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</w:tr>
    </w:tbl>
    <w:p w:rsidR="007C1418" w:rsidRDefault="00314521" w:rsidP="00836A68">
      <w:pPr>
        <w:pStyle w:val="1"/>
        <w:spacing w:line="280" w:lineRule="exact"/>
        <w:ind w:firstLine="440"/>
      </w:pPr>
      <w:r>
        <w:rPr>
          <w:rFonts w:eastAsia="仿宋_GB2312"/>
          <w:kern w:val="0"/>
          <w:sz w:val="22"/>
        </w:rPr>
        <w:t>说明：</w:t>
      </w:r>
      <w:r>
        <w:rPr>
          <w:rFonts w:eastAsia="仿宋_GB2312"/>
          <w:kern w:val="0"/>
          <w:sz w:val="22"/>
        </w:rPr>
        <w:t>“</w:t>
      </w:r>
      <w:r>
        <w:rPr>
          <w:rFonts w:eastAsia="仿宋_GB2312"/>
          <w:kern w:val="0"/>
          <w:sz w:val="22"/>
        </w:rPr>
        <w:t>项目支出</w:t>
      </w:r>
      <w:r>
        <w:rPr>
          <w:rFonts w:eastAsia="仿宋_GB2312"/>
          <w:kern w:val="0"/>
          <w:sz w:val="22"/>
        </w:rPr>
        <w:t>”</w:t>
      </w:r>
      <w:r>
        <w:rPr>
          <w:rFonts w:eastAsia="仿宋_GB2312"/>
          <w:kern w:val="0"/>
          <w:sz w:val="22"/>
        </w:rPr>
        <w:t>需要填报基本支出以外的所有项目支出情况，</w:t>
      </w:r>
      <w:r>
        <w:rPr>
          <w:rFonts w:eastAsia="仿宋_GB2312"/>
          <w:kern w:val="0"/>
          <w:sz w:val="22"/>
        </w:rPr>
        <w:t>“</w:t>
      </w:r>
      <w:r>
        <w:rPr>
          <w:rFonts w:eastAsia="仿宋_GB2312"/>
          <w:kern w:val="0"/>
          <w:sz w:val="22"/>
        </w:rPr>
        <w:t>公用经费</w:t>
      </w:r>
      <w:r>
        <w:rPr>
          <w:rFonts w:eastAsia="仿宋_GB2312"/>
          <w:kern w:val="0"/>
          <w:sz w:val="22"/>
        </w:rPr>
        <w:t>”</w:t>
      </w:r>
      <w:r>
        <w:rPr>
          <w:rFonts w:eastAsia="仿宋_GB2312"/>
          <w:kern w:val="0"/>
          <w:sz w:val="22"/>
        </w:rPr>
        <w:t>填报基本支出中的一般商品和服务支出。</w:t>
      </w:r>
    </w:p>
    <w:p w:rsidR="007C1418" w:rsidRDefault="00314521">
      <w:pPr>
        <w:spacing w:line="600" w:lineRule="exact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填表人：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魏旖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填报日期：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    2025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15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日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联系电话：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15674508310</w:t>
      </w:r>
    </w:p>
    <w:p w:rsidR="007C1418" w:rsidRDefault="007C1418">
      <w:pPr>
        <w:pStyle w:val="a6"/>
        <w:widowControl/>
        <w:shd w:val="clear" w:color="auto" w:fill="FFFFFF"/>
        <w:spacing w:beforeAutospacing="0" w:afterAutospacing="0" w:line="480" w:lineRule="exact"/>
        <w:jc w:val="both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</w:p>
    <w:p w:rsidR="007C1418" w:rsidRDefault="007C1418">
      <w:pPr>
        <w:pStyle w:val="a6"/>
        <w:widowControl/>
        <w:shd w:val="clear" w:color="auto" w:fill="FFFFFF"/>
        <w:spacing w:beforeAutospacing="0" w:afterAutospacing="0" w:line="480" w:lineRule="exact"/>
        <w:jc w:val="both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</w:p>
    <w:p w:rsidR="007C1418" w:rsidRDefault="007C1418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7C1418" w:rsidRDefault="007C1418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7C1418" w:rsidRDefault="00314521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整体支出绩效自评表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1211"/>
        <w:gridCol w:w="833"/>
        <w:gridCol w:w="1339"/>
        <w:gridCol w:w="1072"/>
        <w:gridCol w:w="1216"/>
        <w:gridCol w:w="747"/>
        <w:gridCol w:w="620"/>
        <w:gridCol w:w="1273"/>
      </w:tblGrid>
      <w:tr w:rsidR="007C1418">
        <w:trPr>
          <w:trHeight w:val="395"/>
          <w:jc w:val="center"/>
        </w:trPr>
        <w:tc>
          <w:tcPr>
            <w:tcW w:w="951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311" w:type="dxa"/>
            <w:gridSpan w:val="8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辰溪县第一幼儿园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C1418">
        <w:trPr>
          <w:trHeight w:val="605"/>
          <w:jc w:val="center"/>
        </w:trPr>
        <w:tc>
          <w:tcPr>
            <w:tcW w:w="951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年度预算申请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44" w:type="dxa"/>
            <w:gridSpan w:val="2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年初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预算数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全年预算数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全年执行数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分值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执行率</w:t>
            </w:r>
          </w:p>
        </w:tc>
        <w:tc>
          <w:tcPr>
            <w:tcW w:w="127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得分</w:t>
            </w: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167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1111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232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253418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232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253418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10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100%</w:t>
            </w:r>
          </w:p>
        </w:tc>
        <w:tc>
          <w:tcPr>
            <w:tcW w:w="127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10</w:t>
            </w: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856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其中：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一般公共预算：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1563419.08</w:t>
            </w:r>
          </w:p>
        </w:tc>
        <w:tc>
          <w:tcPr>
            <w:tcW w:w="3856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232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253418</w:t>
            </w: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ind w:firstLineChars="400" w:firstLine="800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856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ind w:firstLineChars="300" w:firstLine="600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759111.1</w:t>
            </w:r>
          </w:p>
        </w:tc>
        <w:tc>
          <w:tcPr>
            <w:tcW w:w="3856" w:type="dxa"/>
            <w:gridSpan w:val="4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7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ind w:firstLineChars="700" w:firstLine="1400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856" w:type="dxa"/>
            <w:gridSpan w:val="4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55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856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:rsidR="007C1418">
        <w:trPr>
          <w:trHeight w:val="364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232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253418</w:t>
            </w:r>
          </w:p>
        </w:tc>
        <w:tc>
          <w:tcPr>
            <w:tcW w:w="3856" w:type="dxa"/>
            <w:gridSpan w:val="4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232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.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253418</w:t>
            </w:r>
          </w:p>
        </w:tc>
      </w:tr>
      <w:tr w:rsidR="007C1418">
        <w:trPr>
          <w:trHeight w:val="550"/>
          <w:jc w:val="center"/>
        </w:trPr>
        <w:tc>
          <w:tcPr>
            <w:tcW w:w="951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绩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211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73" w:type="dxa"/>
            <w:noWrap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33" w:type="dxa"/>
            <w:shd w:val="clear" w:color="auto" w:fill="auto"/>
            <w:noWrap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部门整体支出成本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156.72 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156.72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社会成本节约率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4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noWrap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生态环境成本节约率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76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33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财政供养人员数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76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</w:pPr>
          </w:p>
        </w:tc>
        <w:tc>
          <w:tcPr>
            <w:tcW w:w="833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</w:pP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幼儿园开展活动次数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76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助学金享受学生数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在校学前学生人数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食品安全达标率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学前生毕业率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日前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已完成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3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带动学校周边经济发展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效果良好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74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提升学生素质及养成习惯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效果明显</w:t>
            </w: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效果良好</w:t>
            </w: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</w:t>
            </w: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</w:t>
            </w: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建设美丽校园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效果良好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690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促进教育均衡优质发展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效果良好</w:t>
            </w: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</w:t>
            </w:r>
          </w:p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33" w:type="dxa"/>
            <w:vMerge w:val="restart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家长满意度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94%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23"/>
          <w:jc w:val="center"/>
        </w:trPr>
        <w:tc>
          <w:tcPr>
            <w:tcW w:w="95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noWrap/>
            <w:vAlign w:val="center"/>
          </w:tcPr>
          <w:p w:rsidR="007C1418" w:rsidRDefault="0031452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教师满意度</w:t>
            </w:r>
          </w:p>
        </w:tc>
        <w:tc>
          <w:tcPr>
            <w:tcW w:w="1072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216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94%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7C1418">
        <w:trPr>
          <w:trHeight w:val="340"/>
          <w:jc w:val="center"/>
        </w:trPr>
        <w:tc>
          <w:tcPr>
            <w:tcW w:w="6622" w:type="dxa"/>
            <w:gridSpan w:val="6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47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20" w:type="dxa"/>
            <w:noWrap/>
            <w:vAlign w:val="center"/>
          </w:tcPr>
          <w:p w:rsidR="007C1418" w:rsidRDefault="00314521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3" w:type="dxa"/>
            <w:noWrap/>
            <w:vAlign w:val="center"/>
          </w:tcPr>
          <w:p w:rsidR="007C1418" w:rsidRDefault="007C1418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</w:tbl>
    <w:p w:rsidR="007C1418" w:rsidRDefault="00314521">
      <w:pPr>
        <w:spacing w:line="600" w:lineRule="exact"/>
      </w:pPr>
      <w:r>
        <w:rPr>
          <w:rFonts w:ascii="Times New Roman" w:eastAsia="仿宋_GB2312" w:hAnsi="Times New Roman" w:cs="Times New Roman"/>
          <w:color w:val="000000"/>
          <w:kern w:val="0"/>
          <w:sz w:val="24"/>
        </w:rPr>
        <w:lastRenderedPageBreak/>
        <w:t>填表人：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魏旖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填报日期：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2025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16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日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>联系电话：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</w:rPr>
        <w:t>15674508310</w:t>
      </w:r>
    </w:p>
    <w:sectPr w:rsidR="007C1418" w:rsidSect="007C1418">
      <w:footerReference w:type="default" r:id="rId8"/>
      <w:pgSz w:w="11906" w:h="16838"/>
      <w:pgMar w:top="964" w:right="1800" w:bottom="85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21" w:rsidRDefault="00314521" w:rsidP="007C1418">
      <w:r>
        <w:separator/>
      </w:r>
    </w:p>
  </w:endnote>
  <w:endnote w:type="continuationSeparator" w:id="1">
    <w:p w:rsidR="00314521" w:rsidRDefault="00314521" w:rsidP="007C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0A6224F0-F3CA-4CEA-B9E3-4EBF66E9891E}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Regular r:id="rId2" w:subsetted="1" w:fontKey="{8BFE7A2A-0E09-4B7B-96CA-D57099682B0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BC0C47D-794E-48D2-BC0E-8E9D69DB639A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4" w:subsetted="1" w:fontKey="{54D8E5BE-BDF4-4C5E-ADB1-A79619C61CF7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5" w:subsetted="1" w:fontKey="{A3FE3CC0-1977-4EE8-8950-546FAD625F0F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6" w:subsetted="1" w:fontKey="{71EFBD48-1C97-4E62-9E26-0DCD2275CF5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8212E38C-C7D1-497D-929C-9C6DFA569687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8" w:subsetted="1" w:fontKey="{8CE4AC95-7C4E-40FB-B6F5-B54037E7C666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18" w:rsidRDefault="007C141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7C1418" w:rsidRDefault="007C1418">
                <w:pPr>
                  <w:pStyle w:val="a4"/>
                </w:pP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begin"/>
                </w:r>
                <w:r w:rsidR="00314521"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separate"/>
                </w:r>
                <w:r w:rsidR="00836A68">
                  <w:rPr>
                    <w:rFonts w:ascii="方正仿宋_GB2312" w:eastAsia="方正仿宋_GB2312" w:hAnsi="方正仿宋_GB2312" w:cs="方正仿宋_GB2312"/>
                    <w:noProof/>
                    <w:sz w:val="28"/>
                    <w:szCs w:val="28"/>
                  </w:rPr>
                  <w:t>7</w:t>
                </w: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21" w:rsidRDefault="00314521" w:rsidP="007C1418">
      <w:r>
        <w:separator/>
      </w:r>
    </w:p>
  </w:footnote>
  <w:footnote w:type="continuationSeparator" w:id="1">
    <w:p w:rsidR="00314521" w:rsidRDefault="00314521" w:rsidP="007C1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1124E7"/>
    <w:multiLevelType w:val="singleLevel"/>
    <w:tmpl w:val="DF1124E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02969"/>
    <w:multiLevelType w:val="singleLevel"/>
    <w:tmpl w:val="23A0296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10562F"/>
    <w:multiLevelType w:val="singleLevel"/>
    <w:tmpl w:val="2510562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FDC0B88"/>
    <w:multiLevelType w:val="singleLevel"/>
    <w:tmpl w:val="4FDC0B88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314521"/>
    <w:rsid w:val="007C1418"/>
    <w:rsid w:val="00836A68"/>
    <w:rsid w:val="00E57F46"/>
    <w:rsid w:val="046A73C6"/>
    <w:rsid w:val="05E95AA6"/>
    <w:rsid w:val="0C180A78"/>
    <w:rsid w:val="0CAF7D6D"/>
    <w:rsid w:val="0D276746"/>
    <w:rsid w:val="0D464D9C"/>
    <w:rsid w:val="0DD52794"/>
    <w:rsid w:val="0E956870"/>
    <w:rsid w:val="10C666A5"/>
    <w:rsid w:val="114A2AEE"/>
    <w:rsid w:val="1223366A"/>
    <w:rsid w:val="143877FD"/>
    <w:rsid w:val="17C820DA"/>
    <w:rsid w:val="19E805B2"/>
    <w:rsid w:val="1A642D06"/>
    <w:rsid w:val="22FE234B"/>
    <w:rsid w:val="277E6F02"/>
    <w:rsid w:val="27DC6362"/>
    <w:rsid w:val="28321EB2"/>
    <w:rsid w:val="29990575"/>
    <w:rsid w:val="2AF6742D"/>
    <w:rsid w:val="2C1443CA"/>
    <w:rsid w:val="2E833798"/>
    <w:rsid w:val="312A2265"/>
    <w:rsid w:val="36FC0F5D"/>
    <w:rsid w:val="375773F8"/>
    <w:rsid w:val="38CC5315"/>
    <w:rsid w:val="393E32BB"/>
    <w:rsid w:val="419B2857"/>
    <w:rsid w:val="41D71DA8"/>
    <w:rsid w:val="45D249F5"/>
    <w:rsid w:val="4C6611ED"/>
    <w:rsid w:val="549E2395"/>
    <w:rsid w:val="552A0475"/>
    <w:rsid w:val="578D10CB"/>
    <w:rsid w:val="5A5915AC"/>
    <w:rsid w:val="6A12486A"/>
    <w:rsid w:val="6A774902"/>
    <w:rsid w:val="753C4E9B"/>
    <w:rsid w:val="77CA616D"/>
    <w:rsid w:val="781113A7"/>
    <w:rsid w:val="78306EF8"/>
    <w:rsid w:val="791E6510"/>
    <w:rsid w:val="7AEB1808"/>
    <w:rsid w:val="7C8D4A41"/>
    <w:rsid w:val="7C90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C14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rsid w:val="007C1418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nhideWhenUsed/>
    <w:qFormat/>
    <w:rsid w:val="007C1418"/>
    <w:pPr>
      <w:ind w:firstLineChars="200" w:firstLine="640"/>
    </w:pPr>
    <w:rPr>
      <w:sz w:val="32"/>
    </w:rPr>
  </w:style>
  <w:style w:type="paragraph" w:styleId="a4">
    <w:name w:val="footer"/>
    <w:basedOn w:val="a"/>
    <w:autoRedefine/>
    <w:qFormat/>
    <w:rsid w:val="007C14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7C14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rsid w:val="007C141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autoRedefine/>
    <w:uiPriority w:val="99"/>
    <w:unhideWhenUsed/>
    <w:qFormat/>
    <w:rsid w:val="007C1418"/>
    <w:pPr>
      <w:ind w:firstLine="420"/>
    </w:pPr>
  </w:style>
  <w:style w:type="paragraph" w:customStyle="1" w:styleId="1">
    <w:name w:val="标题1"/>
    <w:basedOn w:val="2"/>
    <w:autoRedefine/>
    <w:qFormat/>
    <w:rsid w:val="007C1418"/>
    <w:rPr>
      <w:rFonts w:eastAsia="黑体"/>
    </w:rPr>
  </w:style>
  <w:style w:type="paragraph" w:customStyle="1" w:styleId="a7">
    <w:name w:val="首行缩进"/>
    <w:basedOn w:val="a"/>
    <w:autoRedefine/>
    <w:qFormat/>
    <w:rsid w:val="007C1418"/>
    <w:pPr>
      <w:ind w:firstLineChars="200" w:firstLine="480"/>
    </w:pPr>
    <w:rPr>
      <w:lang w:val="zh-CN"/>
    </w:rPr>
  </w:style>
  <w:style w:type="table" w:customStyle="1" w:styleId="TableNormal">
    <w:name w:val="Table Normal"/>
    <w:semiHidden/>
    <w:unhideWhenUsed/>
    <w:qFormat/>
    <w:rsid w:val="007C14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606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1402836399</dc:creator>
  <cp:lastModifiedBy>wy</cp:lastModifiedBy>
  <cp:revision>2</cp:revision>
  <cp:lastPrinted>2025-05-16T07:28:00Z</cp:lastPrinted>
  <dcterms:created xsi:type="dcterms:W3CDTF">2024-02-22T02:03:00Z</dcterms:created>
  <dcterms:modified xsi:type="dcterms:W3CDTF">2025-08-28T07:53:00Z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50DD8711107D470F899C563DFDAF8C08_13</vt:lpwstr>
  </property>
  <property fmtid="{D5CDD505-2E9C-101B-9397-08002B2CF9AE}" pid="4" name="KSOTemplateDocerSaveRecord">
    <vt:lpwstr>eyJoZGlkIjoiZjJkYzBmNGM4MTAxMTI1YzZmMTk3NzlkOWRhNGE4MWUiLCJ1c2VySWQiOiIzMzczNTg5MjUifQ==</vt:lpwstr>
  </property>
</Properties>
</file>