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437F8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88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辰溪县中等卫生职业技术学校</w:t>
      </w:r>
    </w:p>
    <w:p w14:paraId="4C31A823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88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部门整体支出绩效自评报告</w:t>
      </w:r>
    </w:p>
    <w:p w14:paraId="280C1790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480"/>
        <w:jc w:val="center"/>
        <w:rPr>
          <w:rFonts w:hint="eastAsia" w:ascii="方正小标宋_GBK" w:hAnsi="方正小标宋_GBK" w:eastAsia="方正小标宋_GBK" w:cs="方正小标宋_GBK"/>
          <w:color w:val="000000"/>
        </w:rPr>
      </w:pPr>
    </w:p>
    <w:p w14:paraId="1A534F7D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一、部门、单位基本情况</w:t>
      </w:r>
    </w:p>
    <w:p w14:paraId="091D361F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（一）机构设置情况</w:t>
      </w:r>
    </w:p>
    <w:p w14:paraId="6039F7A8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  <w:t>辰溪县中等卫生职业技术学校系卫</w:t>
      </w: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  <w:lang w:eastAsia="zh-CN"/>
        </w:rPr>
        <w:t>健</w:t>
      </w: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  <w:t>局二级机构部门，现有教职员工</w:t>
      </w: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  <w:t>人（财政拨付），退休2</w:t>
      </w: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  <w:t>人（财政拨付）发抚恤金1人（财政拨付），纳入20</w:t>
      </w: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  <w:t>年部门</w:t>
      </w: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  <w:lang w:val="en-US" w:eastAsia="zh-CN"/>
        </w:rPr>
        <w:t>决</w:t>
      </w: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  <w:t>算编制范围的二级部门预算单位下设：办公室.教务科.学员保卫科</w:t>
      </w: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  <w:lang w:eastAsia="zh-CN"/>
        </w:rPr>
        <w:t>，财务科。</w:t>
      </w:r>
    </w:p>
    <w:p w14:paraId="40B1F038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（二）人员编制情况</w:t>
      </w:r>
    </w:p>
    <w:p w14:paraId="6B1D153A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楷体" w:hAnsi="楷体" w:eastAsia="楷体" w:cs="___WRD_EMBED_SUB_48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___WRD_EMBED_SUB_48"/>
          <w:sz w:val="32"/>
          <w:szCs w:val="32"/>
          <w:shd w:val="clear" w:color="auto" w:fill="FFFFFF"/>
        </w:rPr>
        <w:t>编制人数9人，2024年末，实有在职人员9人、退休人员</w:t>
      </w:r>
      <w:r>
        <w:rPr>
          <w:rFonts w:hint="eastAsia" w:ascii="楷体" w:hAnsi="楷体" w:eastAsia="楷体" w:cs="___WRD_EMBED_SUB_48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楷体" w:hAnsi="楷体" w:eastAsia="楷体" w:cs="___WRD_EMBED_SUB_48"/>
          <w:sz w:val="32"/>
          <w:szCs w:val="32"/>
          <w:shd w:val="clear" w:color="auto" w:fill="FFFFFF"/>
        </w:rPr>
        <w:t>人。</w:t>
      </w:r>
    </w:p>
    <w:p w14:paraId="05596D96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（三）主要职能职责</w:t>
      </w:r>
    </w:p>
    <w:p w14:paraId="2AA0339F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  <w:t>主要职责是以培训城乡医生.护士，尤其是农村基层卫生院医疗人才为培养目标，主要承担护理专业课程教学和相关课程教学。</w:t>
      </w:r>
    </w:p>
    <w:p w14:paraId="7DA76EE1">
      <w:pPr>
        <w:pStyle w:val="6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绩效目标设定情况</w:t>
      </w:r>
    </w:p>
    <w:p w14:paraId="3CC0F06F">
      <w:pPr>
        <w:pStyle w:val="6"/>
        <w:widowControl/>
        <w:numPr>
          <w:ilvl w:val="0"/>
          <w:numId w:val="0"/>
        </w:numPr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  <w:lang w:eastAsia="zh-CN"/>
        </w:rPr>
        <w:t>1、抓好领导班队伍建设。加强党风廉政建设和效能建设，坚持领导班子学习议事制度，通过学习讨论，查找不足，提高领导班子的政治意识、大局意识、责任意识、群众意识，改进工作作风，提高管理服务水平。</w:t>
      </w:r>
    </w:p>
    <w:p w14:paraId="52CDD3C8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  <w:lang w:eastAsia="zh-CN"/>
        </w:rPr>
        <w:t>2、加强教职员工队伍建设。对照各级党委、政府和上级主管部门的文件精神，加大了对教职员工队伍的管理力度，确保教职员工队伍的稳定。严禁小病大养、无故不上班等现象发生。除完成学校各项工作的同时，鼓励教职员工积极参加各种培训学习，努力提升教职员工队伍素质。</w:t>
      </w:r>
    </w:p>
    <w:p w14:paraId="3D4273A7">
      <w:pPr>
        <w:snapToGrid w:val="0"/>
        <w:spacing w:line="520" w:lineRule="exact"/>
        <w:ind w:firstLine="640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二、部门整体支出管理及使用情况</w:t>
      </w:r>
    </w:p>
    <w:p w14:paraId="395B98E6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（一）</w:t>
      </w: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  <w:t>预算执行、使用、管理总体情况。</w:t>
      </w:r>
    </w:p>
    <w:p w14:paraId="087A0478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  <w:lang w:val="en-US" w:eastAsia="zh-CN"/>
        </w:rPr>
        <w:t>1、资金</w:t>
      </w: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  <w:t>有效性：本年资金使用后全部达到预期效果。项目可持续性：本年项目完成后，对社会有良好影响，达到可持续发展目的。</w:t>
      </w:r>
    </w:p>
    <w:p w14:paraId="69ABEC64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  <w:lang w:val="en-US" w:eastAsia="zh-CN"/>
        </w:rPr>
        <w:t>2、</w:t>
      </w: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  <w:t>资金分配方面的问题</w:t>
      </w: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  <w:t>我局资金分配合理，突出重点，公平公正；无散小差现象；资金分配和使用方向与资金管理办法相符。</w:t>
      </w:r>
    </w:p>
    <w:p w14:paraId="0108EB04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  <w:lang w:val="en-US" w:eastAsia="zh-CN"/>
        </w:rPr>
        <w:t>3、</w:t>
      </w: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  <w:t>资金拨付方面的问题</w:t>
      </w: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  <w:t>资金拨付及时，无滞留、闲置现象。</w:t>
      </w:r>
    </w:p>
    <w:p w14:paraId="0A05711F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（二）部门预算执行情况</w:t>
      </w:r>
    </w:p>
    <w:p w14:paraId="42D7BF01">
      <w:pPr>
        <w:widowControl/>
        <w:ind w:firstLine="630"/>
        <w:rPr>
          <w:rFonts w:ascii="楷体" w:hAnsi="楷体" w:eastAsia="楷体" w:cs="Times New Roman"/>
          <w:b/>
          <w:spacing w:val="-2"/>
          <w:sz w:val="32"/>
          <w:szCs w:val="32"/>
        </w:rPr>
      </w:pPr>
      <w:r>
        <w:rPr>
          <w:rFonts w:hint="eastAsia" w:ascii="仿宋" w:hAnsi="仿宋" w:eastAsia="仿宋" w:cs="Times New Roman"/>
          <w:b/>
          <w:spacing w:val="-2"/>
          <w:sz w:val="32"/>
          <w:szCs w:val="32"/>
        </w:rPr>
        <w:t>1、</w:t>
      </w:r>
      <w:r>
        <w:rPr>
          <w:rFonts w:hint="eastAsia" w:ascii="楷体" w:hAnsi="楷体" w:eastAsia="楷体" w:cs="Times New Roman"/>
          <w:b/>
          <w:spacing w:val="-2"/>
          <w:sz w:val="32"/>
          <w:szCs w:val="32"/>
        </w:rPr>
        <w:t>基本支出情况</w:t>
      </w:r>
    </w:p>
    <w:p w14:paraId="69C75D22">
      <w:pPr>
        <w:widowControl/>
        <w:ind w:firstLine="630"/>
        <w:rPr>
          <w:rFonts w:hint="eastAsia" w:ascii="仿宋" w:hAnsi="仿宋" w:eastAsia="仿宋" w:cs="Times New Roman"/>
          <w:spacing w:val="-2"/>
          <w:sz w:val="32"/>
          <w:szCs w:val="32"/>
        </w:rPr>
      </w:pPr>
      <w:r>
        <w:rPr>
          <w:rFonts w:hint="eastAsia" w:ascii="仿宋" w:hAnsi="仿宋" w:eastAsia="仿宋" w:cs="Times New Roman"/>
          <w:spacing w:val="-2"/>
          <w:sz w:val="32"/>
          <w:szCs w:val="32"/>
        </w:rPr>
        <w:t>2024年总收入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149.08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万元，其中财政拨入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149.08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万元。基本支出1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49.08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万元，其中：人员经费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124.99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万元，占基本支出的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83.84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%,主要包括基本工资、津贴补贴、奖金、伙食补助费、其他对个人和家庭的补助等；公用经费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24.09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万元，占基本支出的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16.16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%，主要包括办公费、印刷费、工会经费等。2024年末结余0万元。</w:t>
      </w:r>
    </w:p>
    <w:p w14:paraId="204CBE0A">
      <w:pPr>
        <w:pStyle w:val="13"/>
        <w:widowControl/>
        <w:numPr>
          <w:ilvl w:val="0"/>
          <w:numId w:val="2"/>
        </w:numPr>
        <w:shd w:val="clear" w:color="auto" w:fill="FFFFFF"/>
        <w:spacing w:line="600" w:lineRule="atLeast"/>
        <w:ind w:firstLineChars="0"/>
        <w:rPr>
          <w:rFonts w:hint="eastAsia" w:ascii="楷体" w:hAnsi="楷体" w:eastAsia="楷体" w:cs="Times New Roman"/>
          <w:b/>
          <w:spacing w:val="-2"/>
          <w:sz w:val="32"/>
          <w:szCs w:val="32"/>
        </w:rPr>
      </w:pPr>
      <w:r>
        <w:rPr>
          <w:rFonts w:ascii="楷体" w:hAnsi="楷体" w:eastAsia="楷体" w:cs="Times New Roman"/>
          <w:b/>
          <w:spacing w:val="-2"/>
          <w:sz w:val="32"/>
          <w:szCs w:val="32"/>
        </w:rPr>
        <w:t>专项支出</w:t>
      </w:r>
      <w:r>
        <w:rPr>
          <w:rFonts w:hint="eastAsia" w:ascii="楷体" w:hAnsi="楷体" w:eastAsia="楷体" w:cs="Times New Roman"/>
          <w:b/>
          <w:spacing w:val="-2"/>
          <w:sz w:val="32"/>
          <w:szCs w:val="32"/>
        </w:rPr>
        <w:t>情况</w:t>
      </w:r>
    </w:p>
    <w:p w14:paraId="6D95D665">
      <w:pPr>
        <w:snapToGrid w:val="0"/>
        <w:spacing w:line="360" w:lineRule="auto"/>
        <w:ind w:firstLine="632" w:firstLineChars="200"/>
        <w:rPr>
          <w:rFonts w:hint="eastAsia" w:ascii="仿宋" w:hAnsi="仿宋" w:eastAsia="仿宋" w:cs="Times New Roman"/>
          <w:spacing w:val="-2"/>
          <w:sz w:val="32"/>
          <w:szCs w:val="32"/>
        </w:rPr>
      </w:pP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本单位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2024年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无专项支出。</w:t>
      </w:r>
    </w:p>
    <w:p w14:paraId="294950E1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（三）"三公"经费使用和管理情况</w:t>
      </w:r>
    </w:p>
    <w:p w14:paraId="1B66F19A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仿宋" w:hAnsi="仿宋" w:eastAsia="仿宋"/>
          <w:spacing w:val="-2"/>
          <w:kern w:val="2"/>
          <w:sz w:val="32"/>
          <w:szCs w:val="32"/>
        </w:rPr>
      </w:pPr>
      <w:r>
        <w:rPr>
          <w:rFonts w:hint="eastAsia" w:ascii="仿宋" w:hAnsi="仿宋" w:eastAsia="仿宋"/>
          <w:spacing w:val="-2"/>
          <w:kern w:val="2"/>
          <w:sz w:val="32"/>
          <w:szCs w:val="32"/>
        </w:rPr>
        <w:t>本单位2024年</w:t>
      </w:r>
      <w:r>
        <w:rPr>
          <w:rFonts w:ascii="仿宋" w:hAnsi="仿宋" w:eastAsia="仿宋"/>
          <w:spacing w:val="-2"/>
          <w:kern w:val="2"/>
          <w:sz w:val="32"/>
          <w:szCs w:val="32"/>
        </w:rPr>
        <w:t>"三公"经费</w:t>
      </w:r>
      <w:r>
        <w:rPr>
          <w:rFonts w:hint="eastAsia" w:ascii="仿宋" w:hAnsi="仿宋" w:eastAsia="仿宋"/>
          <w:spacing w:val="-2"/>
          <w:kern w:val="2"/>
          <w:sz w:val="32"/>
          <w:szCs w:val="32"/>
        </w:rPr>
        <w:t>总支出</w:t>
      </w:r>
      <w:r>
        <w:rPr>
          <w:rFonts w:hint="eastAsia" w:ascii="仿宋" w:hAnsi="仿宋" w:eastAsia="仿宋"/>
          <w:spacing w:val="-2"/>
          <w:kern w:val="2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pacing w:val="-2"/>
          <w:kern w:val="2"/>
          <w:sz w:val="32"/>
          <w:szCs w:val="32"/>
        </w:rPr>
        <w:t>万元。</w:t>
      </w:r>
    </w:p>
    <w:p w14:paraId="7149A791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三、政府性基金预算支出情况</w:t>
      </w:r>
    </w:p>
    <w:p w14:paraId="3C1BE7B0">
      <w:pPr>
        <w:snapToGrid w:val="0"/>
        <w:spacing w:line="360" w:lineRule="auto"/>
        <w:ind w:firstLine="632" w:firstLineChars="200"/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pacing w:val="-2"/>
          <w:sz w:val="32"/>
          <w:szCs w:val="32"/>
        </w:rPr>
        <w:t>本单位2024年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 w:cs="Times New Roman"/>
          <w:spacing w:val="-2"/>
          <w:sz w:val="32"/>
          <w:szCs w:val="32"/>
        </w:rPr>
        <w:t>政府性基金拨款</w:t>
      </w:r>
      <w:r>
        <w:rPr>
          <w:rFonts w:hint="eastAsia" w:ascii="仿宋" w:hAnsi="仿宋" w:eastAsia="仿宋" w:cs="Times New Roman"/>
          <w:spacing w:val="-2"/>
          <w:sz w:val="32"/>
          <w:szCs w:val="32"/>
          <w:lang w:val="en-US" w:eastAsia="zh-CN"/>
        </w:rPr>
        <w:t>支出。</w:t>
      </w:r>
    </w:p>
    <w:p w14:paraId="1B9BA5D3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四、国有资本经营预算支出情况：0</w:t>
      </w:r>
    </w:p>
    <w:p w14:paraId="3D355137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五、社会保险基金预算支出情况:0</w:t>
      </w:r>
    </w:p>
    <w:p w14:paraId="41798259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六、部门整体支出绩效情况</w:t>
      </w:r>
    </w:p>
    <w:p w14:paraId="6D8A623A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ascii="楷体_GB2312" w:eastAsia="楷体_GB2312" w:cs="楷体_GB2312"/>
          <w:color w:val="000000"/>
          <w:sz w:val="32"/>
          <w:szCs w:val="32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（一）综合评价结论。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自评得分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97分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 w14:paraId="26042CA4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（二）评价指标分析（或综合评价情况）。</w:t>
      </w:r>
    </w:p>
    <w:p w14:paraId="4DF8D1A4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楷体_GB2312" w:eastAsia="楷体_GB2312" w:cs="楷体_GB2312" w:hAnsiTheme="minorHAnsi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eastAsia="楷体_GB2312" w:cs="楷体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1、</w:t>
      </w:r>
      <w:r>
        <w:rPr>
          <w:rFonts w:hint="eastAsia" w:ascii="楷体_GB2312" w:eastAsia="楷体_GB2312" w:cs="楷体_GB2312" w:hAnsiTheme="minorHAnsi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基础工作管理。</w:t>
      </w:r>
      <w:r>
        <w:rPr>
          <w:rFonts w:hint="eastAsia" w:ascii="楷体_GB2312" w:eastAsia="楷体_GB2312" w:cs="楷体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单位</w:t>
      </w:r>
      <w:r>
        <w:rPr>
          <w:rFonts w:hint="eastAsia" w:ascii="楷体_GB2312" w:eastAsia="楷体_GB2312" w:cs="楷体_GB2312" w:hAnsiTheme="minorHAnsi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领导非常重视预算绩效管理工作，对该项工作给予大力支持和指导，对上级做出的批示和下发的预算批发非常的关心。在一些制度建设方面我们做的有些欠缺，有待提高和完善。</w:t>
      </w:r>
    </w:p>
    <w:p w14:paraId="18E1C54D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楷体_GB2312" w:eastAsia="楷体_GB2312" w:cs="楷体_GB2312" w:hAnsiTheme="minorHAnsi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eastAsia="楷体_GB2312" w:cs="楷体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2、</w:t>
      </w:r>
      <w:r>
        <w:rPr>
          <w:rFonts w:hint="eastAsia" w:ascii="楷体_GB2312" w:eastAsia="楷体_GB2312" w:cs="楷体_GB2312" w:hAnsiTheme="minorHAnsi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绩效目标管理。严格按照上级的要求在规定的时间报送绩效目标。</w:t>
      </w:r>
    </w:p>
    <w:p w14:paraId="1D21C42E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楷体_GB2312" w:eastAsia="楷体_GB2312" w:cs="楷体_GB2312" w:hAnsiTheme="minorHAnsi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eastAsia="楷体_GB2312" w:cs="楷体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3、</w:t>
      </w:r>
      <w:r>
        <w:rPr>
          <w:rFonts w:hint="eastAsia" w:ascii="楷体_GB2312" w:eastAsia="楷体_GB2312" w:cs="楷体_GB2312" w:hAnsiTheme="minorHAnsi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绩效评价管理。202</w:t>
      </w:r>
      <w:r>
        <w:rPr>
          <w:rFonts w:hint="eastAsia" w:ascii="楷体_GB2312" w:eastAsia="楷体_GB2312" w:cs="楷体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4</w:t>
      </w:r>
      <w:r>
        <w:rPr>
          <w:rFonts w:hint="eastAsia" w:ascii="楷体_GB2312" w:eastAsia="楷体_GB2312" w:cs="楷体_GB2312" w:hAnsiTheme="minorHAnsi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年我</w:t>
      </w:r>
      <w:r>
        <w:rPr>
          <w:rFonts w:hint="eastAsia" w:ascii="楷体_GB2312" w:eastAsia="楷体_GB2312" w:cs="楷体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校</w:t>
      </w:r>
      <w:r>
        <w:rPr>
          <w:rFonts w:hint="eastAsia" w:ascii="楷体_GB2312" w:eastAsia="楷体_GB2312" w:cs="楷体_GB2312" w:hAnsiTheme="minorHAnsi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基本支出管理的各项收入和支出都按预算的目标完成。</w:t>
      </w:r>
    </w:p>
    <w:p w14:paraId="71908D02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楷体_GB2312" w:eastAsia="楷体_GB2312" w:cs="楷体_GB2312" w:hAnsiTheme="minorHAnsi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七、存在的问题及原因分析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楷体_GB2312" w:eastAsia="楷体_GB2312" w:cs="楷体_GB2312" w:hAnsiTheme="minorHAnsi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激励措施不足，教职员工工作主动性不强，积极性不高</w:t>
      </w:r>
      <w:r>
        <w:rPr>
          <w:rFonts w:hint="eastAsia" w:ascii="楷体_GB2312" w:eastAsia="楷体_GB2312" w:cs="楷体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6F32A106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楷体_GB2312" w:eastAsia="楷体_GB2312" w:cs="楷体_GB2312" w:hAnsiTheme="minorHAnsi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八、下一步改进措施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楷体_GB2312" w:eastAsia="楷体_GB2312" w:cs="楷体_GB2312" w:hAnsiTheme="minorHAnsi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我们将在管理水平上做文章，在内涵发展上寻对策，在提高教育教学培训质量上下功夫，抓住机遇，着眼未来，努力开创全县乡村医士培训工作的新篇章。</w:t>
      </w:r>
    </w:p>
    <w:p w14:paraId="3652256B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九、其他需要说明的情况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无</w:t>
      </w:r>
    </w:p>
    <w:p w14:paraId="20036DAC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480"/>
        <w:rPr>
          <w:rFonts w:ascii="Times New Roman" w:hAnsi="Times New Roman"/>
          <w:color w:val="000000"/>
        </w:rPr>
      </w:pPr>
      <w:bookmarkStart w:id="0" w:name="_GoBack"/>
      <w:bookmarkEnd w:id="0"/>
    </w:p>
    <w:sectPr>
      <w:footerReference r:id="rId3" w:type="default"/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93ED68-EDA4-434F-B4EF-090BB04AD27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E972E160-13B7-43D1-BC1D-FC422328D269}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F530A5E7-C27F-4685-8E9B-E6CAF4B65752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4" w:fontKey="{8B0D3317-ACCB-4F29-9025-BC767C86CDF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8429DE8-23E9-49C0-A36D-E9906C3BB80C}"/>
  </w:font>
  <w:font w:name="___WRD_EMBED_SUB_48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875F1F35-B205-4464-9D6D-C8593D7342E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B4B2545E-01A7-4D9D-A63A-B79A21579838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8" w:fontKey="{E2D952BB-2072-47C4-ABCE-E918D29DEF89}"/>
  </w:font>
  <w:font w:name="原版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9" w:fontKey="{8E1D842C-9F9E-4A80-83B8-D6CE127A997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D774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2024C">
                          <w:pPr>
                            <w:pStyle w:val="4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52024C">
                    <w:pPr>
                      <w:pStyle w:val="4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B51707"/>
    <w:multiLevelType w:val="singleLevel"/>
    <w:tmpl w:val="BDB51707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C897093"/>
    <w:multiLevelType w:val="multilevel"/>
    <w:tmpl w:val="4C897093"/>
    <w:lvl w:ilvl="0" w:tentative="0">
      <w:start w:val="2"/>
      <w:numFmt w:val="decimal"/>
      <w:lvlText w:val="%1、"/>
      <w:lvlJc w:val="left"/>
      <w:pPr>
        <w:ind w:left="1354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14" w:hanging="440"/>
      </w:pPr>
    </w:lvl>
    <w:lvl w:ilvl="2" w:tentative="0">
      <w:start w:val="1"/>
      <w:numFmt w:val="lowerRoman"/>
      <w:lvlText w:val="%3."/>
      <w:lvlJc w:val="right"/>
      <w:pPr>
        <w:ind w:left="1954" w:hanging="440"/>
      </w:pPr>
    </w:lvl>
    <w:lvl w:ilvl="3" w:tentative="0">
      <w:start w:val="1"/>
      <w:numFmt w:val="decimal"/>
      <w:lvlText w:val="%4."/>
      <w:lvlJc w:val="left"/>
      <w:pPr>
        <w:ind w:left="2394" w:hanging="440"/>
      </w:pPr>
    </w:lvl>
    <w:lvl w:ilvl="4" w:tentative="0">
      <w:start w:val="1"/>
      <w:numFmt w:val="lowerLetter"/>
      <w:lvlText w:val="%5)"/>
      <w:lvlJc w:val="left"/>
      <w:pPr>
        <w:ind w:left="2834" w:hanging="440"/>
      </w:pPr>
    </w:lvl>
    <w:lvl w:ilvl="5" w:tentative="0">
      <w:start w:val="1"/>
      <w:numFmt w:val="lowerRoman"/>
      <w:lvlText w:val="%6."/>
      <w:lvlJc w:val="right"/>
      <w:pPr>
        <w:ind w:left="3274" w:hanging="440"/>
      </w:pPr>
    </w:lvl>
    <w:lvl w:ilvl="6" w:tentative="0">
      <w:start w:val="1"/>
      <w:numFmt w:val="decimal"/>
      <w:lvlText w:val="%7."/>
      <w:lvlJc w:val="left"/>
      <w:pPr>
        <w:ind w:left="3714" w:hanging="440"/>
      </w:pPr>
    </w:lvl>
    <w:lvl w:ilvl="7" w:tentative="0">
      <w:start w:val="1"/>
      <w:numFmt w:val="lowerLetter"/>
      <w:lvlText w:val="%8)"/>
      <w:lvlJc w:val="left"/>
      <w:pPr>
        <w:ind w:left="4154" w:hanging="440"/>
      </w:pPr>
    </w:lvl>
    <w:lvl w:ilvl="8" w:tentative="0">
      <w:start w:val="1"/>
      <w:numFmt w:val="lowerRoman"/>
      <w:lvlText w:val="%9."/>
      <w:lvlJc w:val="right"/>
      <w:pPr>
        <w:ind w:left="4594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DNmZGY5ODE4YTVlYjYxZjc0MjRkNGFmZDRkY2UifQ=="/>
    <w:docVar w:name="KSO_WPS_MARK_KEY" w:val="9920a277-c0c3-43b4-93d3-1636fe398e0b"/>
  </w:docVars>
  <w:rsids>
    <w:rsidRoot w:val="753C4E9B"/>
    <w:rsid w:val="0024422E"/>
    <w:rsid w:val="002B72BE"/>
    <w:rsid w:val="003E41F3"/>
    <w:rsid w:val="00405928"/>
    <w:rsid w:val="004233D4"/>
    <w:rsid w:val="006D7D0C"/>
    <w:rsid w:val="006E0D43"/>
    <w:rsid w:val="007C5130"/>
    <w:rsid w:val="007F0B08"/>
    <w:rsid w:val="00897AF3"/>
    <w:rsid w:val="00970DED"/>
    <w:rsid w:val="00975411"/>
    <w:rsid w:val="009D0B39"/>
    <w:rsid w:val="00BA05B0"/>
    <w:rsid w:val="00C41024"/>
    <w:rsid w:val="00CD2BA7"/>
    <w:rsid w:val="00CD47BD"/>
    <w:rsid w:val="00D2607E"/>
    <w:rsid w:val="00DC4F6B"/>
    <w:rsid w:val="00E02A36"/>
    <w:rsid w:val="00ED4D50"/>
    <w:rsid w:val="00F24B53"/>
    <w:rsid w:val="01E26BA1"/>
    <w:rsid w:val="046A73C6"/>
    <w:rsid w:val="04CD4564"/>
    <w:rsid w:val="05E95AA6"/>
    <w:rsid w:val="086A1FB2"/>
    <w:rsid w:val="0C180A78"/>
    <w:rsid w:val="0CAF7D6D"/>
    <w:rsid w:val="0D276746"/>
    <w:rsid w:val="0D464D9C"/>
    <w:rsid w:val="0DD52794"/>
    <w:rsid w:val="0E956870"/>
    <w:rsid w:val="0F0F11BE"/>
    <w:rsid w:val="10C666A5"/>
    <w:rsid w:val="121A3396"/>
    <w:rsid w:val="1223366A"/>
    <w:rsid w:val="12771554"/>
    <w:rsid w:val="135950FD"/>
    <w:rsid w:val="143877FD"/>
    <w:rsid w:val="14777DA3"/>
    <w:rsid w:val="175400B6"/>
    <w:rsid w:val="17C820DA"/>
    <w:rsid w:val="194128BC"/>
    <w:rsid w:val="19E805B2"/>
    <w:rsid w:val="1A400DC5"/>
    <w:rsid w:val="1EC56DA6"/>
    <w:rsid w:val="1F1545CE"/>
    <w:rsid w:val="20541F40"/>
    <w:rsid w:val="223C6316"/>
    <w:rsid w:val="22FE234B"/>
    <w:rsid w:val="252E63EA"/>
    <w:rsid w:val="254E25E8"/>
    <w:rsid w:val="277E6F02"/>
    <w:rsid w:val="293146FB"/>
    <w:rsid w:val="29990575"/>
    <w:rsid w:val="29C829D9"/>
    <w:rsid w:val="2AD46299"/>
    <w:rsid w:val="2AF6742D"/>
    <w:rsid w:val="2E833798"/>
    <w:rsid w:val="2F086A2C"/>
    <w:rsid w:val="312A2265"/>
    <w:rsid w:val="3208775F"/>
    <w:rsid w:val="32805DAB"/>
    <w:rsid w:val="335334BF"/>
    <w:rsid w:val="36FC0F5D"/>
    <w:rsid w:val="375773F8"/>
    <w:rsid w:val="38CC5315"/>
    <w:rsid w:val="393E32BB"/>
    <w:rsid w:val="3CB11983"/>
    <w:rsid w:val="3E524A9F"/>
    <w:rsid w:val="410545C4"/>
    <w:rsid w:val="412E7544"/>
    <w:rsid w:val="41391F47"/>
    <w:rsid w:val="41652D3C"/>
    <w:rsid w:val="419B2857"/>
    <w:rsid w:val="41D71DA8"/>
    <w:rsid w:val="41DB1250"/>
    <w:rsid w:val="427F607F"/>
    <w:rsid w:val="44110F59"/>
    <w:rsid w:val="44F96B1E"/>
    <w:rsid w:val="45A72039"/>
    <w:rsid w:val="45D249F5"/>
    <w:rsid w:val="48FF23C8"/>
    <w:rsid w:val="49FE3D2D"/>
    <w:rsid w:val="4A954692"/>
    <w:rsid w:val="4BF453E8"/>
    <w:rsid w:val="4C6611ED"/>
    <w:rsid w:val="4E872543"/>
    <w:rsid w:val="4FB629B4"/>
    <w:rsid w:val="50047BC4"/>
    <w:rsid w:val="53E977FC"/>
    <w:rsid w:val="53F02939"/>
    <w:rsid w:val="54AA7074"/>
    <w:rsid w:val="552A0475"/>
    <w:rsid w:val="55BF6A67"/>
    <w:rsid w:val="578D10CB"/>
    <w:rsid w:val="581110D0"/>
    <w:rsid w:val="5A5915AC"/>
    <w:rsid w:val="5A7140A7"/>
    <w:rsid w:val="5AFE3B8D"/>
    <w:rsid w:val="5BA02E96"/>
    <w:rsid w:val="5BAD55B3"/>
    <w:rsid w:val="617F52FC"/>
    <w:rsid w:val="618D41C6"/>
    <w:rsid w:val="61F23D20"/>
    <w:rsid w:val="63BC45E5"/>
    <w:rsid w:val="63C33BC6"/>
    <w:rsid w:val="63C62C1B"/>
    <w:rsid w:val="65165479"/>
    <w:rsid w:val="6A12486A"/>
    <w:rsid w:val="6AE94DB8"/>
    <w:rsid w:val="6AEC5007"/>
    <w:rsid w:val="6BD36E57"/>
    <w:rsid w:val="6CEF77DA"/>
    <w:rsid w:val="6D910891"/>
    <w:rsid w:val="6E682806"/>
    <w:rsid w:val="6EB124A4"/>
    <w:rsid w:val="70A24B63"/>
    <w:rsid w:val="70D96727"/>
    <w:rsid w:val="71542F58"/>
    <w:rsid w:val="717C53B4"/>
    <w:rsid w:val="742C1EDE"/>
    <w:rsid w:val="74DD260E"/>
    <w:rsid w:val="753C4E9B"/>
    <w:rsid w:val="77CA616D"/>
    <w:rsid w:val="781113A7"/>
    <w:rsid w:val="791E6510"/>
    <w:rsid w:val="79586707"/>
    <w:rsid w:val="7C7575D0"/>
    <w:rsid w:val="7C8D4A41"/>
    <w:rsid w:val="7C9048DB"/>
    <w:rsid w:val="7CA81753"/>
    <w:rsid w:val="7CE81B50"/>
    <w:rsid w:val="7F3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HAnsi" w:hAnsiTheme="majorHAnsi" w:cstheme="majorBidi"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unhideWhenUsed/>
    <w:qFormat/>
    <w:uiPriority w:val="0"/>
    <w:pPr>
      <w:ind w:firstLine="640" w:firstLineChars="200"/>
    </w:pPr>
    <w:rPr>
      <w:sz w:val="32"/>
    </w:rPr>
  </w:style>
  <w:style w:type="paragraph" w:styleId="4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3"/>
    <w:autoRedefine/>
    <w:unhideWhenUsed/>
    <w:qFormat/>
    <w:uiPriority w:val="99"/>
    <w:pPr>
      <w:ind w:firstLine="420"/>
    </w:pPr>
  </w:style>
  <w:style w:type="paragraph" w:customStyle="1" w:styleId="10">
    <w:name w:val="标题1"/>
    <w:basedOn w:val="2"/>
    <w:autoRedefine/>
    <w:qFormat/>
    <w:uiPriority w:val="0"/>
    <w:rPr>
      <w:rFonts w:eastAsia="黑体"/>
    </w:rPr>
  </w:style>
  <w:style w:type="paragraph" w:customStyle="1" w:styleId="11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页脚 字符"/>
    <w:basedOn w:val="9"/>
    <w:link w:val="4"/>
    <w:qFormat/>
    <w:uiPriority w:val="0"/>
    <w:rPr>
      <w:kern w:val="2"/>
      <w:sz w:val="18"/>
      <w:szCs w:val="24"/>
    </w:rPr>
  </w:style>
  <w:style w:type="paragraph" w:customStyle="1" w:styleId="15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2284</Words>
  <Characters>2525</Characters>
  <Lines>30</Lines>
  <Paragraphs>8</Paragraphs>
  <TotalTime>8</TotalTime>
  <ScaleCrop>false</ScaleCrop>
  <LinksUpToDate>false</LinksUpToDate>
  <CharactersWithSpaces>2636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2024-02-22T02:03:00Z</dcterms:created>
  <dc:creator>1402836399</dc:creator>
  <cp:lastModifiedBy>Administrator</cp:lastModifiedBy>
  <cp:lastPrinted>2024-02-26T03:24:00Z</cp:lastPrinted>
  <dcterms:modified xsi:type="dcterms:W3CDTF">2025-09-09T01:58:56Z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4B545E2748234224AA7888E0D1AE4147_13</vt:lpwstr>
  </property>
  <property fmtid="{D5CDD505-2E9C-101B-9397-08002B2CF9AE}" pid="4" name="KSOTemplateDocerSaveRecord">
    <vt:lpwstr>eyJoZGlkIjoiYzM3NTQwMWIyMTQ3Njk3MTc2ZWUwMTUzMzgxMWViOWMiLCJ1c2VySWQiOiIyMTI0MTEzOTcifQ==</vt:lpwstr>
  </property>
</Properties>
</file>