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rPr>
          <w:rFonts w:ascii="黑体" w:hAnsi="黑体" w:eastAsia="黑体" w:cs="黑体"/>
          <w:bCs/>
          <w:sz w:val="44"/>
        </w:rPr>
      </w:pPr>
      <w:r>
        <w:rPr>
          <w:rFonts w:hint="eastAsia" w:ascii="黑体" w:hAnsi="黑体" w:eastAsia="黑体" w:cs="黑体"/>
          <w:bCs/>
          <w:sz w:val="44"/>
        </w:rPr>
        <w:t>2023年度辰溪县教育局部门整体支出</w:t>
      </w:r>
    </w:p>
    <w:p>
      <w:pPr>
        <w:widowControl/>
        <w:spacing w:line="640" w:lineRule="exact"/>
        <w:jc w:val="center"/>
        <w:rPr>
          <w:rFonts w:ascii="黑体" w:hAnsi="黑体" w:eastAsia="黑体" w:cs="黑体"/>
          <w:bCs/>
          <w:sz w:val="44"/>
        </w:rPr>
      </w:pPr>
      <w:r>
        <w:rPr>
          <w:rFonts w:hint="eastAsia" w:ascii="黑体" w:hAnsi="黑体" w:eastAsia="黑体" w:cs="黑体"/>
          <w:bCs/>
          <w:sz w:val="44"/>
        </w:rPr>
        <w:t>绩效自评报告</w:t>
      </w:r>
    </w:p>
    <w:p>
      <w:pPr>
        <w:spacing w:line="600" w:lineRule="exact"/>
        <w:jc w:val="center"/>
        <w:rPr>
          <w:sz w:val="24"/>
        </w:rPr>
      </w:pPr>
    </w:p>
    <w:p>
      <w:pPr>
        <w:widowControl/>
        <w:spacing w:line="640" w:lineRule="exact"/>
        <w:jc w:val="center"/>
        <w:rPr>
          <w:rFonts w:ascii="黑体" w:hAnsi="黑体" w:eastAsia="黑体" w:cs="黑体"/>
          <w:bCs/>
          <w:sz w:val="44"/>
        </w:rPr>
      </w:pPr>
      <w:r>
        <w:rPr>
          <w:rFonts w:hint="eastAsia" w:ascii="黑体" w:hAnsi="黑体" w:eastAsia="黑体" w:cs="黑体"/>
          <w:bCs/>
          <w:sz w:val="44"/>
        </w:rPr>
        <w:t>2023年度辰溪县教育局部门整体支出绩效</w:t>
      </w:r>
    </w:p>
    <w:p>
      <w:pPr>
        <w:widowControl/>
        <w:spacing w:line="640" w:lineRule="exact"/>
        <w:jc w:val="center"/>
        <w:rPr>
          <w:rFonts w:ascii="黑体" w:hAnsi="黑体" w:eastAsia="黑体" w:cs="黑体"/>
          <w:bCs/>
          <w:sz w:val="44"/>
        </w:rPr>
      </w:pPr>
      <w:r>
        <w:rPr>
          <w:rFonts w:hint="eastAsia" w:ascii="黑体" w:hAnsi="黑体" w:eastAsia="黑体" w:cs="黑体"/>
          <w:bCs/>
          <w:sz w:val="44"/>
        </w:rPr>
        <w:t>自评报告</w:t>
      </w:r>
    </w:p>
    <w:p>
      <w:pPr>
        <w:pStyle w:val="7"/>
        <w:widowControl/>
        <w:spacing w:line="600" w:lineRule="exact"/>
        <w:ind w:left="640" w:firstLine="0" w:firstLineChars="0"/>
        <w:rPr>
          <w:rFonts w:ascii="Times New Roman" w:hAnsi="Times New Roman" w:eastAsia="黑体"/>
          <w:sz w:val="32"/>
          <w:szCs w:val="32"/>
        </w:rPr>
      </w:pPr>
      <w:r>
        <w:rPr>
          <w:rFonts w:hint="eastAsia" w:ascii="Times New Roman" w:hAnsi="Times New Roman" w:eastAsia="黑体"/>
          <w:sz w:val="32"/>
          <w:szCs w:val="32"/>
        </w:rPr>
        <w:t>一、部门基本情况</w:t>
      </w:r>
    </w:p>
    <w:p>
      <w:pPr>
        <w:pStyle w:val="7"/>
        <w:widowControl/>
        <w:spacing w:line="600" w:lineRule="exact"/>
        <w:ind w:left="640" w:firstLine="560"/>
        <w:jc w:val="left"/>
        <w:rPr>
          <w:rFonts w:ascii="Helvetica" w:hAnsi="Helvetica" w:cs="Helvetica"/>
          <w:color w:val="3D3D3D"/>
          <w:sz w:val="28"/>
          <w:szCs w:val="28"/>
        </w:rPr>
      </w:pPr>
      <w:r>
        <w:rPr>
          <w:rFonts w:hint="eastAsia" w:ascii="Helvetica" w:hAnsi="Helvetica" w:cs="Helvetica"/>
          <w:color w:val="3D3D3D"/>
          <w:sz w:val="28"/>
          <w:szCs w:val="28"/>
        </w:rPr>
        <w:t>主要职责是贯彻落实党和国家的教育方针、政策、法律、法规，拟定全县教育改革与发展战略和规划。统筹指导全县学前教育、基础教育、高中教育、职业技术教育、成人高考、高等教育自学考试及民办教育工作。统筹管理教育部门经费。在职责范围内主管全县教师工作。组织、指导全县教育督导工作。承办县人民政府交办的其他事项。</w:t>
      </w:r>
    </w:p>
    <w:p>
      <w:pPr>
        <w:pStyle w:val="7"/>
        <w:widowControl/>
        <w:spacing w:line="600" w:lineRule="exact"/>
        <w:ind w:left="640" w:firstLine="0" w:firstLineChars="0"/>
        <w:rPr>
          <w:rFonts w:ascii="Times New Roman" w:hAnsi="Times New Roman" w:eastAsia="黑体"/>
          <w:sz w:val="32"/>
          <w:szCs w:val="32"/>
        </w:rPr>
      </w:pPr>
      <w:r>
        <w:rPr>
          <w:rFonts w:hint="eastAsia" w:ascii="Times New Roman" w:hAnsi="Times New Roman" w:eastAsia="黑体"/>
          <w:sz w:val="32"/>
          <w:szCs w:val="32"/>
        </w:rPr>
        <w:t>二、一般公共预算支出情况</w:t>
      </w:r>
    </w:p>
    <w:p>
      <w:pPr>
        <w:pStyle w:val="4"/>
        <w:shd w:val="clear" w:color="auto" w:fill="FFFFFF"/>
        <w:spacing w:before="0" w:beforeAutospacing="0" w:after="225" w:afterAutospacing="0" w:line="510" w:lineRule="atLeast"/>
        <w:ind w:firstLine="560"/>
        <w:jc w:val="both"/>
        <w:rPr>
          <w:rFonts w:ascii="Helvetica" w:hAnsi="Helvetica" w:cs="Helvetica"/>
          <w:color w:val="3D3D3D"/>
          <w:sz w:val="28"/>
          <w:szCs w:val="28"/>
        </w:rPr>
      </w:pPr>
      <w:r>
        <w:rPr>
          <w:rFonts w:hint="eastAsia" w:ascii="Helvetica" w:hAnsi="Helvetica" w:cs="Helvetica"/>
          <w:color w:val="3D3D3D"/>
          <w:sz w:val="28"/>
          <w:szCs w:val="28"/>
        </w:rPr>
        <w:t>1、</w:t>
      </w:r>
      <w:r>
        <w:rPr>
          <w:rFonts w:ascii="Helvetica" w:hAnsi="Helvetica" w:cs="Helvetica"/>
          <w:color w:val="3D3D3D"/>
          <w:sz w:val="28"/>
          <w:szCs w:val="28"/>
        </w:rPr>
        <w:t>教育支出（类）教育管理事务（款）行政运行（项）决算数</w:t>
      </w:r>
      <w:r>
        <w:rPr>
          <w:rFonts w:hint="eastAsia" w:ascii="Helvetica" w:hAnsi="Helvetica" w:cs="Helvetica"/>
          <w:color w:val="3D3D3D"/>
          <w:sz w:val="28"/>
          <w:szCs w:val="28"/>
        </w:rPr>
        <w:t>1648.66</w:t>
      </w:r>
      <w:r>
        <w:rPr>
          <w:rFonts w:ascii="Helvetica" w:hAnsi="Helvetica" w:cs="Helvetica"/>
          <w:color w:val="3D3D3D"/>
          <w:sz w:val="28"/>
          <w:szCs w:val="28"/>
        </w:rPr>
        <w:t>万元，完成年初预算的</w:t>
      </w:r>
      <w:r>
        <w:rPr>
          <w:rFonts w:hint="eastAsia" w:ascii="Helvetica" w:hAnsi="Helvetica" w:cs="Helvetica"/>
          <w:color w:val="3D3D3D"/>
          <w:sz w:val="28"/>
          <w:szCs w:val="28"/>
        </w:rPr>
        <w:t>100</w:t>
      </w:r>
      <w:r>
        <w:rPr>
          <w:rFonts w:ascii="Helvetica" w:hAnsi="Helvetica" w:cs="Helvetica"/>
          <w:color w:val="3D3D3D"/>
          <w:sz w:val="28"/>
          <w:szCs w:val="28"/>
        </w:rPr>
        <w:t>%。</w:t>
      </w:r>
    </w:p>
    <w:p>
      <w:pPr>
        <w:pStyle w:val="4"/>
        <w:shd w:val="clear" w:color="auto" w:fill="FFFFFF"/>
        <w:spacing w:before="0" w:beforeAutospacing="0" w:after="225" w:afterAutospacing="0" w:line="510" w:lineRule="atLeast"/>
        <w:ind w:firstLine="560"/>
        <w:jc w:val="both"/>
        <w:rPr>
          <w:rFonts w:ascii="Helvetica" w:hAnsi="Helvetica" w:cs="Helvetica"/>
          <w:color w:val="3D3D3D"/>
          <w:sz w:val="28"/>
          <w:szCs w:val="28"/>
        </w:rPr>
      </w:pPr>
      <w:r>
        <w:rPr>
          <w:rFonts w:hint="eastAsia" w:ascii="Helvetica" w:hAnsi="Helvetica" w:cs="Helvetica"/>
          <w:color w:val="3D3D3D"/>
          <w:sz w:val="28"/>
          <w:szCs w:val="28"/>
        </w:rPr>
        <w:t>2、</w:t>
      </w:r>
      <w:r>
        <w:rPr>
          <w:rFonts w:ascii="Helvetica" w:hAnsi="Helvetica" w:cs="Helvetica"/>
          <w:color w:val="3D3D3D"/>
          <w:sz w:val="28"/>
          <w:szCs w:val="28"/>
        </w:rPr>
        <w:t>教育支出（类）教育管理事务（款）</w:t>
      </w:r>
      <w:r>
        <w:rPr>
          <w:rFonts w:hint="eastAsia" w:ascii="Helvetica" w:hAnsi="Helvetica" w:cs="Helvetica"/>
          <w:color w:val="3D3D3D"/>
          <w:sz w:val="28"/>
          <w:szCs w:val="28"/>
        </w:rPr>
        <w:t>其他教育管理事务支出</w:t>
      </w:r>
      <w:r>
        <w:rPr>
          <w:rFonts w:ascii="Helvetica" w:hAnsi="Helvetica" w:cs="Helvetica"/>
          <w:color w:val="3D3D3D"/>
          <w:sz w:val="28"/>
          <w:szCs w:val="28"/>
        </w:rPr>
        <w:t>（项）决算数</w:t>
      </w:r>
      <w:r>
        <w:rPr>
          <w:rFonts w:hint="eastAsia" w:ascii="Helvetica" w:hAnsi="Helvetica" w:cs="Helvetica"/>
          <w:color w:val="3D3D3D"/>
          <w:sz w:val="28"/>
          <w:szCs w:val="28"/>
        </w:rPr>
        <w:t>4738.21</w:t>
      </w:r>
      <w:r>
        <w:rPr>
          <w:rFonts w:ascii="Helvetica" w:hAnsi="Helvetica" w:cs="Helvetica"/>
          <w:color w:val="3D3D3D"/>
          <w:sz w:val="28"/>
          <w:szCs w:val="28"/>
        </w:rPr>
        <w:t>万元，完成年初预算的</w:t>
      </w:r>
      <w:r>
        <w:rPr>
          <w:rFonts w:hint="eastAsia" w:ascii="Helvetica" w:hAnsi="Helvetica" w:cs="Helvetica"/>
          <w:color w:val="3D3D3D"/>
          <w:sz w:val="28"/>
          <w:szCs w:val="28"/>
        </w:rPr>
        <w:t>100</w:t>
      </w:r>
      <w:r>
        <w:rPr>
          <w:rFonts w:ascii="Helvetica" w:hAnsi="Helvetica" w:cs="Helvetica"/>
          <w:color w:val="3D3D3D"/>
          <w:sz w:val="28"/>
          <w:szCs w:val="28"/>
        </w:rPr>
        <w:t>%。</w:t>
      </w:r>
    </w:p>
    <w:p>
      <w:pPr>
        <w:pStyle w:val="7"/>
        <w:widowControl/>
        <w:spacing w:line="600" w:lineRule="exact"/>
        <w:ind w:left="640" w:firstLine="0" w:firstLineChars="0"/>
        <w:rPr>
          <w:rFonts w:ascii="Times New Roman" w:hAnsi="Times New Roman" w:eastAsia="黑体"/>
          <w:sz w:val="32"/>
          <w:szCs w:val="32"/>
        </w:rPr>
      </w:pPr>
      <w:r>
        <w:rPr>
          <w:rFonts w:hint="eastAsia" w:ascii="Times New Roman" w:hAnsi="Times New Roman" w:eastAsia="黑体"/>
          <w:sz w:val="32"/>
          <w:szCs w:val="32"/>
        </w:rPr>
        <w:t>（一）基本支出情况</w:t>
      </w:r>
    </w:p>
    <w:p>
      <w:pPr>
        <w:pStyle w:val="4"/>
        <w:shd w:val="clear" w:color="auto" w:fill="FFFFFF"/>
        <w:spacing w:before="0" w:beforeAutospacing="0" w:after="225" w:afterAutospacing="0" w:line="510" w:lineRule="atLeast"/>
        <w:ind w:firstLine="560"/>
        <w:jc w:val="both"/>
        <w:rPr>
          <w:rFonts w:ascii="Helvetica" w:hAnsi="Helvetica" w:cs="Helvetica"/>
          <w:color w:val="3D3D3D"/>
          <w:sz w:val="28"/>
          <w:szCs w:val="28"/>
        </w:rPr>
      </w:pPr>
      <w:r>
        <w:rPr>
          <w:rFonts w:hint="eastAsia" w:ascii="Helvetica" w:hAnsi="Helvetica" w:cs="Helvetica"/>
          <w:color w:val="3D3D3D"/>
          <w:sz w:val="28"/>
          <w:szCs w:val="28"/>
        </w:rPr>
        <w:t>1、</w:t>
      </w:r>
      <w:r>
        <w:rPr>
          <w:rFonts w:ascii="Helvetica" w:hAnsi="Helvetica" w:cs="Helvetica"/>
          <w:color w:val="3D3D3D"/>
          <w:sz w:val="28"/>
          <w:szCs w:val="28"/>
        </w:rPr>
        <w:t>教育支出（类）教育管理事务（款）行政运行（项）决算数</w:t>
      </w:r>
      <w:r>
        <w:rPr>
          <w:rFonts w:hint="eastAsia" w:ascii="Helvetica" w:hAnsi="Helvetica" w:cs="Helvetica"/>
          <w:color w:val="3D3D3D"/>
          <w:sz w:val="28"/>
          <w:szCs w:val="28"/>
        </w:rPr>
        <w:t>1648.66</w:t>
      </w:r>
      <w:r>
        <w:rPr>
          <w:rFonts w:ascii="Helvetica" w:hAnsi="Helvetica" w:cs="Helvetica"/>
          <w:color w:val="3D3D3D"/>
          <w:sz w:val="28"/>
          <w:szCs w:val="28"/>
        </w:rPr>
        <w:t>万元。</w:t>
      </w:r>
      <w:r>
        <w:rPr>
          <w:rFonts w:hint="eastAsia" w:ascii="Helvetica" w:hAnsi="Helvetica" w:cs="Helvetica"/>
          <w:color w:val="3D3D3D"/>
          <w:sz w:val="28"/>
          <w:szCs w:val="28"/>
        </w:rPr>
        <w:t>其中：办公费46.51万元，水费0.90万元，电费7.91万元，公务接待费22.70万元，会议费9.33万元，培训费9.66万元。</w:t>
      </w:r>
    </w:p>
    <w:p>
      <w:pPr>
        <w:pStyle w:val="4"/>
        <w:shd w:val="clear" w:color="auto" w:fill="FFFFFF"/>
        <w:spacing w:before="0" w:beforeAutospacing="0" w:after="225" w:afterAutospacing="0" w:line="510" w:lineRule="atLeast"/>
        <w:ind w:firstLine="560"/>
        <w:jc w:val="both"/>
        <w:rPr>
          <w:rFonts w:ascii="Helvetica" w:hAnsi="Helvetica" w:cs="Helvetica"/>
          <w:color w:val="3D3D3D"/>
          <w:sz w:val="28"/>
          <w:szCs w:val="28"/>
        </w:rPr>
      </w:pPr>
      <w:r>
        <w:rPr>
          <w:rFonts w:hint="eastAsia" w:ascii="Helvetica" w:hAnsi="Helvetica" w:cs="Helvetica"/>
          <w:color w:val="3D3D3D"/>
          <w:sz w:val="28"/>
          <w:szCs w:val="28"/>
        </w:rPr>
        <w:t>2、</w:t>
      </w:r>
      <w:r>
        <w:rPr>
          <w:rFonts w:ascii="Helvetica" w:hAnsi="Helvetica" w:cs="Helvetica"/>
          <w:color w:val="3D3D3D"/>
          <w:sz w:val="28"/>
          <w:szCs w:val="28"/>
        </w:rPr>
        <w:t>教育支出（类）教育管理事务（款）</w:t>
      </w:r>
      <w:r>
        <w:rPr>
          <w:rFonts w:hint="eastAsia" w:ascii="Helvetica" w:hAnsi="Helvetica" w:cs="Helvetica"/>
          <w:color w:val="3D3D3D"/>
          <w:sz w:val="28"/>
          <w:szCs w:val="28"/>
        </w:rPr>
        <w:t>其他教育管理事务支出</w:t>
      </w:r>
      <w:r>
        <w:rPr>
          <w:rFonts w:ascii="Helvetica" w:hAnsi="Helvetica" w:cs="Helvetica"/>
          <w:color w:val="3D3D3D"/>
          <w:sz w:val="28"/>
          <w:szCs w:val="28"/>
        </w:rPr>
        <w:t>（项）决算数</w:t>
      </w:r>
      <w:r>
        <w:rPr>
          <w:rFonts w:hint="eastAsia" w:ascii="Helvetica" w:hAnsi="Helvetica" w:cs="Helvetica"/>
          <w:color w:val="3D3D3D"/>
          <w:sz w:val="28"/>
          <w:szCs w:val="28"/>
        </w:rPr>
        <w:t>2485.29</w:t>
      </w:r>
      <w:r>
        <w:rPr>
          <w:rFonts w:ascii="Helvetica" w:hAnsi="Helvetica" w:cs="Helvetica"/>
          <w:color w:val="3D3D3D"/>
          <w:sz w:val="28"/>
          <w:szCs w:val="28"/>
        </w:rPr>
        <w:t>万元。</w:t>
      </w:r>
      <w:r>
        <w:rPr>
          <w:rFonts w:hint="eastAsia" w:ascii="Helvetica" w:hAnsi="Helvetica" w:cs="Helvetica"/>
          <w:color w:val="3D3D3D"/>
          <w:sz w:val="28"/>
          <w:szCs w:val="28"/>
        </w:rPr>
        <w:t>其中：办公费355.44万元（民办中小学、幼儿园公用经费），培训费10.55万元，其他交通费421.71万元（校车公司经费），税金及附加费用1434.98万元。助学金155.34万元。</w:t>
      </w:r>
    </w:p>
    <w:p>
      <w:pPr>
        <w:pStyle w:val="7"/>
        <w:widowControl/>
        <w:spacing w:line="600" w:lineRule="exact"/>
        <w:ind w:left="640" w:firstLine="0" w:firstLineChars="0"/>
        <w:rPr>
          <w:rFonts w:ascii="Times New Roman" w:hAnsi="Times New Roman" w:eastAsia="黑体"/>
          <w:sz w:val="32"/>
          <w:szCs w:val="32"/>
        </w:rPr>
      </w:pPr>
      <w:r>
        <w:rPr>
          <w:rFonts w:hint="eastAsia" w:ascii="Times New Roman" w:hAnsi="Times New Roman" w:eastAsia="黑体"/>
          <w:sz w:val="32"/>
          <w:szCs w:val="32"/>
        </w:rPr>
        <w:t>（二）项目支出情况</w:t>
      </w:r>
    </w:p>
    <w:p>
      <w:pPr>
        <w:pStyle w:val="7"/>
        <w:widowControl/>
        <w:spacing w:line="600" w:lineRule="exact"/>
        <w:ind w:left="142" w:firstLine="495" w:firstLineChars="177"/>
        <w:rPr>
          <w:rFonts w:ascii="Helvetica" w:hAnsi="Helvetica" w:cs="Helvetica"/>
          <w:color w:val="3D3D3D"/>
          <w:sz w:val="28"/>
          <w:szCs w:val="28"/>
        </w:rPr>
      </w:pPr>
      <w:r>
        <w:rPr>
          <w:rFonts w:ascii="Helvetica" w:hAnsi="Helvetica" w:cs="Helvetica"/>
          <w:color w:val="3D3D3D"/>
          <w:sz w:val="28"/>
          <w:szCs w:val="28"/>
        </w:rPr>
        <w:t>教育支出（类）教育管理事务（款）</w:t>
      </w:r>
      <w:r>
        <w:rPr>
          <w:rFonts w:hint="eastAsia" w:ascii="Helvetica" w:hAnsi="Helvetica" w:cs="Helvetica"/>
          <w:color w:val="3D3D3D"/>
          <w:sz w:val="28"/>
          <w:szCs w:val="28"/>
        </w:rPr>
        <w:t>其他教育管理事务支出</w:t>
      </w:r>
      <w:r>
        <w:rPr>
          <w:rFonts w:ascii="Helvetica" w:hAnsi="Helvetica" w:cs="Helvetica"/>
          <w:color w:val="3D3D3D"/>
          <w:sz w:val="28"/>
          <w:szCs w:val="28"/>
        </w:rPr>
        <w:t>（项）决算数</w:t>
      </w:r>
      <w:r>
        <w:rPr>
          <w:rFonts w:hint="eastAsia" w:ascii="Helvetica" w:hAnsi="Helvetica" w:cs="Helvetica"/>
          <w:color w:val="3D3D3D"/>
          <w:sz w:val="28"/>
          <w:szCs w:val="28"/>
        </w:rPr>
        <w:t>2252.92</w:t>
      </w:r>
      <w:r>
        <w:rPr>
          <w:rFonts w:ascii="Helvetica" w:hAnsi="Helvetica" w:cs="Helvetica"/>
          <w:color w:val="3D3D3D"/>
          <w:sz w:val="28"/>
          <w:szCs w:val="28"/>
        </w:rPr>
        <w:t>万元，完成年初预算的</w:t>
      </w:r>
      <w:r>
        <w:rPr>
          <w:rFonts w:hint="eastAsia" w:ascii="Helvetica" w:hAnsi="Helvetica" w:cs="Helvetica"/>
          <w:color w:val="3D3D3D"/>
          <w:sz w:val="28"/>
          <w:szCs w:val="28"/>
        </w:rPr>
        <w:t>100</w:t>
      </w:r>
      <w:r>
        <w:rPr>
          <w:rFonts w:ascii="Helvetica" w:hAnsi="Helvetica" w:cs="Helvetica"/>
          <w:color w:val="3D3D3D"/>
          <w:sz w:val="28"/>
          <w:szCs w:val="28"/>
        </w:rPr>
        <w:t>%。</w:t>
      </w:r>
    </w:p>
    <w:p>
      <w:pPr>
        <w:pStyle w:val="7"/>
        <w:widowControl/>
        <w:spacing w:line="600" w:lineRule="exact"/>
        <w:ind w:left="142" w:firstLine="495" w:firstLineChars="177"/>
        <w:rPr>
          <w:rFonts w:ascii="Times New Roman" w:hAnsi="Times New Roman" w:eastAsia="黑体"/>
          <w:sz w:val="32"/>
          <w:szCs w:val="32"/>
        </w:rPr>
      </w:pPr>
      <w:r>
        <w:rPr>
          <w:rFonts w:hint="eastAsia" w:ascii="Helvetica" w:hAnsi="Helvetica" w:cs="Helvetica"/>
          <w:color w:val="3D3D3D"/>
          <w:sz w:val="28"/>
          <w:szCs w:val="28"/>
        </w:rPr>
        <w:t>其中：芙蓉学校基建179.95万元，三校合一基建1932.97万元，第二幼儿园基建140.00万元。</w:t>
      </w:r>
    </w:p>
    <w:p>
      <w:pPr>
        <w:pStyle w:val="7"/>
        <w:widowControl/>
        <w:spacing w:line="600" w:lineRule="exact"/>
        <w:ind w:left="640" w:firstLine="0" w:firstLineChars="0"/>
        <w:jc w:val="left"/>
        <w:rPr>
          <w:rFonts w:ascii="Times New Roman" w:hAnsi="Times New Roman" w:eastAsia="黑体"/>
          <w:sz w:val="32"/>
          <w:szCs w:val="32"/>
        </w:rPr>
      </w:pPr>
      <w:r>
        <w:rPr>
          <w:rFonts w:hint="eastAsia" w:ascii="Times New Roman" w:hAnsi="Times New Roman" w:eastAsia="黑体"/>
          <w:sz w:val="32"/>
          <w:szCs w:val="32"/>
        </w:rPr>
        <w:t>三、政府性基金预算支出情况</w:t>
      </w:r>
    </w:p>
    <w:p>
      <w:pPr>
        <w:pStyle w:val="7"/>
        <w:widowControl/>
        <w:spacing w:line="600" w:lineRule="exact"/>
        <w:ind w:left="640" w:firstLine="560"/>
        <w:jc w:val="left"/>
        <w:rPr>
          <w:rFonts w:ascii="Helvetica" w:hAnsi="Helvetica" w:cs="Helvetica"/>
          <w:color w:val="3D3D3D"/>
          <w:sz w:val="28"/>
          <w:szCs w:val="28"/>
        </w:rPr>
      </w:pPr>
      <w:r>
        <w:rPr>
          <w:rFonts w:hint="eastAsia" w:ascii="Helvetica" w:hAnsi="Helvetica" w:cs="Helvetica"/>
          <w:color w:val="3D3D3D"/>
          <w:sz w:val="28"/>
          <w:szCs w:val="28"/>
        </w:rPr>
        <w:t>本单位无政府性基金预算支出情况。</w:t>
      </w:r>
    </w:p>
    <w:p>
      <w:pPr>
        <w:pStyle w:val="7"/>
        <w:widowControl/>
        <w:spacing w:line="600" w:lineRule="exact"/>
        <w:ind w:left="640" w:firstLine="0" w:firstLineChars="0"/>
        <w:jc w:val="left"/>
        <w:rPr>
          <w:rFonts w:ascii="Times New Roman" w:hAnsi="Times New Roman" w:eastAsia="黑体"/>
          <w:sz w:val="32"/>
          <w:szCs w:val="32"/>
        </w:rPr>
      </w:pPr>
      <w:r>
        <w:rPr>
          <w:rFonts w:hint="eastAsia" w:ascii="Times New Roman" w:hAnsi="Times New Roman" w:eastAsia="黑体"/>
          <w:sz w:val="32"/>
          <w:szCs w:val="32"/>
        </w:rPr>
        <w:t>四、国有资本经营预算支出情况</w:t>
      </w:r>
    </w:p>
    <w:p>
      <w:pPr>
        <w:pStyle w:val="7"/>
        <w:widowControl/>
        <w:spacing w:line="600" w:lineRule="exact"/>
        <w:ind w:left="640" w:firstLine="560"/>
        <w:jc w:val="left"/>
        <w:rPr>
          <w:rFonts w:ascii="Helvetica" w:hAnsi="Helvetica" w:cs="Helvetica"/>
          <w:color w:val="3D3D3D"/>
          <w:sz w:val="28"/>
          <w:szCs w:val="28"/>
        </w:rPr>
      </w:pPr>
      <w:r>
        <w:rPr>
          <w:rFonts w:hint="eastAsia" w:ascii="Helvetica" w:hAnsi="Helvetica" w:cs="Helvetica"/>
          <w:color w:val="3D3D3D"/>
          <w:sz w:val="28"/>
          <w:szCs w:val="28"/>
        </w:rPr>
        <w:t>本单位无国有资本经营预算支出情况。</w:t>
      </w:r>
    </w:p>
    <w:p>
      <w:pPr>
        <w:pStyle w:val="7"/>
        <w:widowControl/>
        <w:spacing w:line="600" w:lineRule="exact"/>
        <w:ind w:left="640" w:firstLine="0" w:firstLineChars="0"/>
        <w:jc w:val="left"/>
        <w:rPr>
          <w:rFonts w:ascii="Times New Roman" w:hAnsi="Times New Roman" w:eastAsia="黑体"/>
          <w:sz w:val="32"/>
          <w:szCs w:val="32"/>
        </w:rPr>
      </w:pPr>
      <w:r>
        <w:rPr>
          <w:rFonts w:hint="eastAsia" w:ascii="Times New Roman" w:hAnsi="Times New Roman" w:eastAsia="黑体"/>
          <w:sz w:val="32"/>
          <w:szCs w:val="32"/>
        </w:rPr>
        <w:t>五、社会保险基金预算支出情况</w:t>
      </w:r>
    </w:p>
    <w:p>
      <w:pPr>
        <w:pStyle w:val="7"/>
        <w:widowControl/>
        <w:spacing w:line="600" w:lineRule="exact"/>
        <w:ind w:left="640" w:firstLine="560"/>
        <w:jc w:val="left"/>
        <w:rPr>
          <w:rFonts w:ascii="Helvetica" w:hAnsi="Helvetica" w:cs="Helvetica"/>
          <w:color w:val="3D3D3D"/>
          <w:sz w:val="28"/>
          <w:szCs w:val="28"/>
        </w:rPr>
      </w:pPr>
      <w:r>
        <w:rPr>
          <w:rFonts w:hint="eastAsia" w:ascii="Helvetica" w:hAnsi="Helvetica" w:cs="Helvetica"/>
          <w:color w:val="3D3D3D"/>
          <w:sz w:val="28"/>
          <w:szCs w:val="28"/>
        </w:rPr>
        <w:t>本单位无社会保险基金预算支出情况。</w:t>
      </w:r>
    </w:p>
    <w:p>
      <w:pPr>
        <w:widowControl/>
        <w:spacing w:line="600" w:lineRule="exact"/>
        <w:ind w:firstLine="645"/>
        <w:jc w:val="left"/>
        <w:rPr>
          <w:rFonts w:eastAsia="黑体"/>
          <w:sz w:val="32"/>
          <w:szCs w:val="32"/>
        </w:rPr>
      </w:pPr>
      <w:r>
        <w:rPr>
          <w:rFonts w:hint="eastAsia" w:eastAsia="黑体"/>
          <w:sz w:val="32"/>
          <w:szCs w:val="32"/>
        </w:rPr>
        <w:t>六、部门整体支出绩效情况</w:t>
      </w:r>
    </w:p>
    <w:p>
      <w:pPr>
        <w:pStyle w:val="7"/>
        <w:widowControl/>
        <w:spacing w:line="600" w:lineRule="exact"/>
        <w:ind w:left="640" w:firstLine="560"/>
        <w:jc w:val="left"/>
        <w:rPr>
          <w:rFonts w:ascii="Helvetica" w:hAnsi="Helvetica" w:cs="Helvetica"/>
          <w:color w:val="3D3D3D"/>
          <w:sz w:val="28"/>
          <w:szCs w:val="28"/>
        </w:rPr>
      </w:pPr>
      <w:r>
        <w:rPr>
          <w:rFonts w:ascii="Helvetica" w:hAnsi="Helvetica" w:cs="Helvetica"/>
          <w:color w:val="3D3D3D"/>
          <w:sz w:val="28"/>
          <w:szCs w:val="28"/>
        </w:rPr>
        <w:t>1.教育教学质量进一步提升。县委县政府高度重视教育教学质量提升工作，出台了《辰溪县提升普通中小学教育质量实施方案》，推动教育高质量发展。2023年高考，本科共上线891人，同比增长10.26%；特殊类上线408人，同比增长42.7%；600分以上的共有38人（较2022年增加26人），其中清华大学、人民大学、浙江大学、华中科大、华东师大、南京大学、西安交大、中南大学等20余所985高校共录取27人，同比增长35%；50人被211高校录取，同比增长104.4%。紧紧围绕2023年国家义务教育质量监测工作目标，细化工作举措，强化责任落实，实行局机关中层以上干部联点包校，有针对性、分层次组织开展了5轮培训，确保了监测工作的圆满完成。同时，积极组织完成了2022年成人高等学校招生全国统一考试（延考）、2023年全国公共英语等级（PETS）考试，圆满完成了全县小学、初中学业水平考试的组考工作。</w:t>
      </w:r>
    </w:p>
    <w:p>
      <w:pPr>
        <w:pStyle w:val="7"/>
        <w:widowControl/>
        <w:spacing w:line="600" w:lineRule="exact"/>
        <w:ind w:left="640" w:firstLine="560"/>
        <w:jc w:val="left"/>
        <w:rPr>
          <w:rFonts w:ascii="Helvetica" w:hAnsi="Helvetica" w:cs="Helvetica"/>
          <w:color w:val="3D3D3D"/>
          <w:sz w:val="28"/>
          <w:szCs w:val="28"/>
        </w:rPr>
      </w:pPr>
      <w:r>
        <w:rPr>
          <w:rFonts w:ascii="Helvetica" w:hAnsi="Helvetica" w:cs="Helvetica"/>
          <w:color w:val="3D3D3D"/>
          <w:sz w:val="28"/>
          <w:szCs w:val="28"/>
        </w:rPr>
        <w:t>2.学校办学条件进一步改善。县一中县域普通高中“徐特立项目”概算总投资6641万元，已于11月初开工建设，并如期完成了年度序时建设任务。实施了龙头庵乡初级中学乡镇标准化寄宿制建设，大水田乡桂潭小学、柿溪乡牛儿岩小学等7所学校的乡村小规模学校优化提质建设项目，大力推进了8所农村学校的薄改与能力提升项目建设。</w:t>
      </w:r>
    </w:p>
    <w:p>
      <w:pPr>
        <w:pStyle w:val="7"/>
        <w:widowControl/>
        <w:spacing w:line="600" w:lineRule="exact"/>
        <w:ind w:left="640" w:firstLine="560"/>
        <w:jc w:val="left"/>
        <w:rPr>
          <w:rFonts w:ascii="Helvetica" w:hAnsi="Helvetica" w:cs="Helvetica"/>
          <w:color w:val="3D3D3D"/>
          <w:sz w:val="28"/>
          <w:szCs w:val="28"/>
        </w:rPr>
      </w:pPr>
      <w:r>
        <w:rPr>
          <w:rFonts w:ascii="Helvetica" w:hAnsi="Helvetica" w:cs="Helvetica"/>
          <w:color w:val="3D3D3D"/>
          <w:sz w:val="28"/>
          <w:szCs w:val="28"/>
        </w:rPr>
        <w:t>3.教师队伍素养进一步提升。今年以来，局党委全体成员带头，分片到所联系学校开展二十大精神巡讲，分期分批组织党员干部师生开展党的二十大精神学习，积极推动二十大精神“进校园、进课堂”，强化教育系统党风廉政建设，深入推进师德师风建设。一年来，共组织了738人开展了“中小学班主任”、“心理健康”、和国家中小学智慧平台应用等各类线下培训，开展了3570人参加的“中小学教师信息技术应用能力提升工程2.0 全员培训”，选派了102人参加省、市组织的各学科骨干教师培训，选送了28名中小学校负责人到北京、重庆等地参加了“新时代卓越校（园）长培养”、“党组织书记研修”等培训。暑期通过公开招考引进19名中小学教师，毕业分配定向培养农村教师201名，进一步优化了教师队伍结构。</w:t>
      </w:r>
    </w:p>
    <w:p>
      <w:pPr>
        <w:pStyle w:val="7"/>
        <w:widowControl/>
        <w:spacing w:line="600" w:lineRule="exact"/>
        <w:ind w:left="640" w:firstLine="560"/>
        <w:jc w:val="left"/>
        <w:rPr>
          <w:rFonts w:ascii="Helvetica" w:hAnsi="Helvetica" w:cs="Helvetica"/>
          <w:color w:val="3D3D3D"/>
          <w:sz w:val="28"/>
          <w:szCs w:val="28"/>
        </w:rPr>
      </w:pPr>
      <w:r>
        <w:rPr>
          <w:rFonts w:ascii="Helvetica" w:hAnsi="Helvetica" w:cs="Helvetica"/>
          <w:color w:val="3D3D3D"/>
          <w:sz w:val="28"/>
          <w:szCs w:val="28"/>
        </w:rPr>
        <w:t>4.教学质量管理进一步加强。年初，针对2022年的国家义务教育质量监测中我县学业表现综合排名靠后的现状，制定了《辰溪县关于提升义务教育质量督办问题的整改方案》《辰溪县中小学校目标管理绩效考评实施方案》《辰溪县中小学教育教学质量提升工作评估激励方案》；定期组织开展以落实教学常规为中心任务的专项督查，抓实教学常规管理；推进课堂教学改革，开展课堂教学创新比赛和学科素养竞赛活动，常态化开展“推门听课”，构建高效课堂，推门听课制度在年初的全市教育大会上被作为典型经验予以推介。切实加强中小学“五项管理”，全面落实“双减”政策，积极组织开展丰富多样的课后服务，优化学生作业设计，校内减负达标率100%。同时，积极组织开展各类教研活动，共申报省、市级课题15个，完成了课题市级中期评估9个，各学科撰写发表省级论文80余篇。</w:t>
      </w:r>
    </w:p>
    <w:p>
      <w:pPr>
        <w:pStyle w:val="7"/>
        <w:widowControl/>
        <w:spacing w:line="600" w:lineRule="exact"/>
        <w:ind w:left="640" w:firstLine="560"/>
        <w:jc w:val="left"/>
        <w:rPr>
          <w:rFonts w:ascii="Helvetica" w:hAnsi="Helvetica" w:cs="Helvetica"/>
          <w:color w:val="3D3D3D"/>
          <w:sz w:val="28"/>
          <w:szCs w:val="28"/>
        </w:rPr>
      </w:pPr>
      <w:r>
        <w:rPr>
          <w:rFonts w:ascii="Helvetica" w:hAnsi="Helvetica" w:cs="Helvetica"/>
          <w:color w:val="3D3D3D"/>
          <w:sz w:val="28"/>
          <w:szCs w:val="28"/>
        </w:rPr>
        <w:t>5.校园安全基础进一步夯实。校园安保人员配备率、“护学岗”、法治安全副校长配备率均达100%。联合公安、市场监管局等相关职能部门开展了校园周边环境、食品安全、消防安全、校车安全等专项治理；积极开展法制进校园活动，今年以来共开展80余场，参加人员11万余人次；全面加强未成年人保护工作，加大法制宣传工作力度，全县3900余名教师签订了《未成年人强制责任报告承诺书》；今年来全县共发放告家长书等各类宣传资料11万余份，组织学生观看预防校园欺凌防溺水警示教育片11万余人次。积极创新校车服务模式，通过招商引资成立了农村中小学校车服务公司，共购置了80辆校车，受益农村学生达7000余人。</w:t>
      </w:r>
    </w:p>
    <w:p>
      <w:pPr>
        <w:pStyle w:val="7"/>
        <w:widowControl/>
        <w:spacing w:line="600" w:lineRule="exact"/>
        <w:ind w:left="640" w:firstLine="560"/>
        <w:jc w:val="left"/>
        <w:rPr>
          <w:rFonts w:ascii="Helvetica" w:hAnsi="Helvetica" w:cs="Helvetica"/>
          <w:color w:val="3D3D3D"/>
          <w:sz w:val="28"/>
          <w:szCs w:val="28"/>
        </w:rPr>
      </w:pPr>
      <w:r>
        <w:rPr>
          <w:rFonts w:ascii="Helvetica" w:hAnsi="Helvetica" w:cs="Helvetica"/>
          <w:color w:val="3D3D3D"/>
          <w:sz w:val="28"/>
          <w:szCs w:val="28"/>
        </w:rPr>
        <w:t>6.依法治教工作进一步加强。组织教育、公安、市场监管、城管、民政、文旅广电等部门开展了“监管护苗”2023年暑期专项行动，督促校外培训机构规范办学，全面清理整治校外违规培训乱象和异形托管服务中心违规培训。一年来，共查处14家无证照培训机构，责令停止营业4家，对借用托管服务名义变相违规开展学科类培训的3家服务中心现场下发限时整改通知书。</w:t>
      </w:r>
    </w:p>
    <w:p>
      <w:pPr>
        <w:pStyle w:val="7"/>
        <w:widowControl/>
        <w:spacing w:line="600" w:lineRule="exact"/>
        <w:ind w:left="640" w:firstLine="560"/>
        <w:jc w:val="left"/>
        <w:rPr>
          <w:rFonts w:ascii="Helvetica" w:hAnsi="Helvetica" w:cs="Helvetica"/>
          <w:color w:val="3D3D3D"/>
          <w:sz w:val="28"/>
          <w:szCs w:val="28"/>
        </w:rPr>
      </w:pPr>
      <w:r>
        <w:rPr>
          <w:rFonts w:ascii="Helvetica" w:hAnsi="Helvetica" w:cs="Helvetica"/>
          <w:color w:val="3D3D3D"/>
          <w:sz w:val="28"/>
          <w:szCs w:val="28"/>
        </w:rPr>
        <w:t>7.校园文艺活动进一步丰富。一年来，联合新华书店、县图书馆组织开展了一系列形式多样的校园阅读活动，组织开展了“一手好字”书法竞赛，与文旅广体局、县篮协联合举办了首届“辰溪县中小学男子篮球赛”、辰溪县第二十五届中小学生田径运动会，促进学生身体素质全面提升；积极指导城区学校和乡镇学生人数较多的中心学校，在5月份陆续举办了校园文化艺术节，丰富校园文化生活。完成了芙蓉学校2期、思源实验学校1期“家长夜校”精品录播。</w:t>
      </w:r>
    </w:p>
    <w:p>
      <w:pPr>
        <w:pStyle w:val="7"/>
        <w:widowControl/>
        <w:spacing w:line="600" w:lineRule="exact"/>
        <w:ind w:left="640" w:firstLine="0" w:firstLineChars="0"/>
        <w:jc w:val="left"/>
        <w:rPr>
          <w:rFonts w:ascii="Times New Roman" w:hAnsi="Times New Roman" w:eastAsia="黑体"/>
          <w:sz w:val="32"/>
          <w:szCs w:val="32"/>
        </w:rPr>
      </w:pPr>
      <w:r>
        <w:rPr>
          <w:rFonts w:hint="eastAsia" w:ascii="Times New Roman" w:hAnsi="Times New Roman" w:eastAsia="黑体"/>
          <w:sz w:val="32"/>
          <w:szCs w:val="32"/>
        </w:rPr>
        <w:t>七、存在的问题及原因分析</w:t>
      </w:r>
    </w:p>
    <w:p>
      <w:pPr>
        <w:pStyle w:val="7"/>
        <w:widowControl/>
        <w:spacing w:line="600" w:lineRule="exact"/>
        <w:ind w:left="640" w:firstLine="560"/>
        <w:jc w:val="left"/>
        <w:rPr>
          <w:rFonts w:ascii="Helvetica" w:hAnsi="Helvetica" w:cs="Helvetica"/>
          <w:color w:val="3D3D3D"/>
          <w:sz w:val="28"/>
          <w:szCs w:val="28"/>
        </w:rPr>
      </w:pPr>
      <w:r>
        <w:rPr>
          <w:rFonts w:hint="eastAsia" w:ascii="Helvetica" w:hAnsi="Helvetica" w:cs="Helvetica"/>
          <w:color w:val="3D3D3D"/>
          <w:sz w:val="28"/>
          <w:szCs w:val="28"/>
        </w:rPr>
        <w:t>2</w:t>
      </w:r>
      <w:r>
        <w:rPr>
          <w:rFonts w:ascii="Helvetica" w:hAnsi="Helvetica" w:cs="Helvetica"/>
          <w:color w:val="3D3D3D"/>
          <w:sz w:val="28"/>
          <w:szCs w:val="28"/>
        </w:rPr>
        <w:t>0</w:t>
      </w:r>
      <w:r>
        <w:rPr>
          <w:rFonts w:hint="eastAsia" w:ascii="Helvetica" w:hAnsi="Helvetica" w:cs="Helvetica"/>
          <w:color w:val="3D3D3D"/>
          <w:sz w:val="28"/>
          <w:szCs w:val="28"/>
        </w:rPr>
        <w:t>23年，认真编制并执行了预算。严格执行了政府采购政策。严格制定并执行了经费支出内控制度，科学合理安排资金。确保了各项工作顺利开展，达到了预期绩效目标。但还存在绩效制度不健全，绩效管理质量不高的问题。</w:t>
      </w:r>
    </w:p>
    <w:p>
      <w:pPr>
        <w:widowControl/>
        <w:spacing w:line="600" w:lineRule="exact"/>
        <w:ind w:firstLine="640" w:firstLineChars="200"/>
        <w:jc w:val="left"/>
        <w:rPr>
          <w:rFonts w:eastAsia="黑体"/>
          <w:sz w:val="32"/>
          <w:szCs w:val="32"/>
        </w:rPr>
      </w:pPr>
      <w:r>
        <w:rPr>
          <w:rFonts w:hint="eastAsia" w:eastAsia="黑体"/>
          <w:sz w:val="32"/>
          <w:szCs w:val="32"/>
        </w:rPr>
        <w:t>八、下一步改进措施</w:t>
      </w:r>
    </w:p>
    <w:p>
      <w:pPr>
        <w:pStyle w:val="7"/>
        <w:widowControl/>
        <w:spacing w:line="600" w:lineRule="exact"/>
        <w:ind w:left="640" w:firstLine="560"/>
        <w:jc w:val="left"/>
        <w:rPr>
          <w:rFonts w:ascii="Helvetica" w:hAnsi="Helvetica" w:cs="Helvetica"/>
          <w:color w:val="3D3D3D"/>
          <w:sz w:val="28"/>
          <w:szCs w:val="28"/>
        </w:rPr>
      </w:pPr>
      <w:r>
        <w:rPr>
          <w:rFonts w:hint="eastAsia" w:ascii="Helvetica" w:hAnsi="Helvetica" w:cs="Helvetica"/>
          <w:color w:val="3D3D3D"/>
          <w:sz w:val="28"/>
          <w:szCs w:val="28"/>
        </w:rPr>
        <w:t>后期将在以下几个方面加强绩效管理：</w:t>
      </w:r>
    </w:p>
    <w:p>
      <w:pPr>
        <w:pStyle w:val="7"/>
        <w:widowControl/>
        <w:spacing w:line="600" w:lineRule="exact"/>
        <w:ind w:left="640" w:firstLine="560"/>
        <w:jc w:val="left"/>
        <w:rPr>
          <w:rFonts w:ascii="Helvetica" w:hAnsi="Helvetica" w:cs="Helvetica"/>
          <w:color w:val="3D3D3D"/>
          <w:sz w:val="28"/>
          <w:szCs w:val="28"/>
        </w:rPr>
      </w:pPr>
      <w:r>
        <w:rPr>
          <w:rFonts w:hint="eastAsia" w:ascii="Helvetica" w:hAnsi="Helvetica" w:cs="Helvetica"/>
          <w:color w:val="3D3D3D"/>
          <w:sz w:val="28"/>
          <w:szCs w:val="28"/>
        </w:rPr>
        <w:t>1、加强绩效制度建设。完善绩效管理和评价制度，为资金的合理配置提供有效依据。</w:t>
      </w:r>
    </w:p>
    <w:p>
      <w:pPr>
        <w:pStyle w:val="7"/>
        <w:widowControl/>
        <w:spacing w:line="600" w:lineRule="exact"/>
        <w:ind w:left="640" w:firstLine="560"/>
        <w:jc w:val="left"/>
        <w:rPr>
          <w:rFonts w:ascii="Helvetica" w:hAnsi="Helvetica" w:cs="Helvetica"/>
          <w:color w:val="3D3D3D"/>
          <w:sz w:val="28"/>
          <w:szCs w:val="28"/>
        </w:rPr>
      </w:pPr>
      <w:r>
        <w:rPr>
          <w:rFonts w:hint="eastAsia" w:ascii="Helvetica" w:hAnsi="Helvetica" w:cs="Helvetica"/>
          <w:color w:val="3D3D3D"/>
          <w:sz w:val="28"/>
          <w:szCs w:val="28"/>
        </w:rPr>
        <w:t>2、强化绩效目标管理，把绩效目标作为项目实施的前置条件，提高资金使用的合理性和科学性，严格《会计法》，《政府会计制度》等规定执行财务核算，并结合实际情况，准确地披露相关信息，尽可能地做到决算和预算相衔接。</w:t>
      </w:r>
    </w:p>
    <w:p>
      <w:pPr>
        <w:widowControl/>
        <w:spacing w:line="600" w:lineRule="exact"/>
        <w:ind w:firstLine="645"/>
        <w:jc w:val="left"/>
        <w:rPr>
          <w:rFonts w:eastAsia="黑体"/>
          <w:sz w:val="32"/>
          <w:szCs w:val="32"/>
        </w:rPr>
      </w:pPr>
      <w:r>
        <w:rPr>
          <w:rFonts w:hint="eastAsia" w:eastAsia="黑体"/>
          <w:sz w:val="32"/>
          <w:szCs w:val="32"/>
        </w:rPr>
        <w:t>九、部门整体支出绩效自评结果拟应用和公开情况</w:t>
      </w:r>
    </w:p>
    <w:p>
      <w:pPr>
        <w:pStyle w:val="7"/>
        <w:widowControl/>
        <w:spacing w:line="600" w:lineRule="exact"/>
        <w:ind w:left="640" w:firstLine="560"/>
        <w:jc w:val="left"/>
        <w:rPr>
          <w:rFonts w:ascii="Helvetica" w:hAnsi="Helvetica" w:cs="Helvetica"/>
          <w:color w:val="3D3D3D"/>
          <w:sz w:val="28"/>
          <w:szCs w:val="28"/>
        </w:rPr>
      </w:pPr>
      <w:r>
        <w:rPr>
          <w:rFonts w:hint="eastAsia" w:ascii="Helvetica" w:hAnsi="Helvetica" w:cs="Helvetica"/>
          <w:color w:val="3D3D3D"/>
          <w:sz w:val="28"/>
          <w:szCs w:val="28"/>
        </w:rPr>
        <w:t>2023年教育局部门整体支出绩效自评结果将会很好的指导以后的各项工作，改进薄弱环节，最大的提升各项职能效益，提高部门职能能力。2023年教育局部门整体支出绩效自评结果将会和2023年教育局部门决算一起在辰溪县门户网站公开。</w:t>
      </w:r>
    </w:p>
    <w:p>
      <w:pPr>
        <w:widowControl/>
        <w:spacing w:line="600" w:lineRule="exact"/>
        <w:ind w:firstLine="645"/>
        <w:jc w:val="left"/>
        <w:rPr>
          <w:rFonts w:eastAsia="黑体"/>
          <w:sz w:val="32"/>
          <w:szCs w:val="32"/>
        </w:rPr>
      </w:pPr>
      <w:r>
        <w:rPr>
          <w:rFonts w:hint="eastAsia" w:eastAsia="黑体"/>
          <w:sz w:val="32"/>
          <w:szCs w:val="32"/>
        </w:rPr>
        <w:t>十、其他需要说明的情况</w:t>
      </w:r>
    </w:p>
    <w:p>
      <w:pPr>
        <w:widowControl/>
        <w:spacing w:line="600" w:lineRule="exact"/>
        <w:ind w:firstLine="645"/>
        <w:jc w:val="left"/>
        <w:rPr>
          <w:rFonts w:hint="eastAsia" w:eastAsia="仿宋_GB2312"/>
          <w:sz w:val="32"/>
          <w:szCs w:val="32"/>
          <w:lang w:val="en-US" w:eastAsia="zh-CN"/>
        </w:rPr>
      </w:pPr>
      <w:r>
        <w:rPr>
          <w:rFonts w:hint="eastAsia"/>
          <w:sz w:val="32"/>
          <w:szCs w:val="32"/>
          <w:lang w:val="en-US" w:eastAsia="zh-CN"/>
        </w:rPr>
        <w:t>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_GBK">
    <w:altName w:val="Arial Unicode MS"/>
    <w:panose1 w:val="00000000000000000000"/>
    <w:charset w:val="86"/>
    <w:family w:val="script"/>
    <w:pitch w:val="default"/>
    <w:sig w:usb0="00000000" w:usb1="00000000" w:usb2="00082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mZWIzNDg2MmIzZjExOTIzMmViNTBmYTMwYTk0ZWYifQ=="/>
    <w:docVar w:name="KSO_WPS_MARK_KEY" w:val="e8cdf535-8a84-4c22-a0a7-21ac42742e6f"/>
  </w:docVars>
  <w:rsids>
    <w:rsidRoot w:val="009A546D"/>
    <w:rsid w:val="00170AD8"/>
    <w:rsid w:val="00330CA0"/>
    <w:rsid w:val="0033251F"/>
    <w:rsid w:val="00433509"/>
    <w:rsid w:val="00575E2F"/>
    <w:rsid w:val="00723377"/>
    <w:rsid w:val="0077036C"/>
    <w:rsid w:val="007F78BE"/>
    <w:rsid w:val="0091693C"/>
    <w:rsid w:val="00941088"/>
    <w:rsid w:val="00963158"/>
    <w:rsid w:val="009A546D"/>
    <w:rsid w:val="00A04E34"/>
    <w:rsid w:val="00A57ADB"/>
    <w:rsid w:val="00AC28C2"/>
    <w:rsid w:val="00B05330"/>
    <w:rsid w:val="00C13F76"/>
    <w:rsid w:val="00D5187A"/>
    <w:rsid w:val="00D863C4"/>
    <w:rsid w:val="0B723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iPriority w:val="99"/>
    <w:pPr>
      <w:widowControl/>
      <w:spacing w:before="100" w:beforeAutospacing="1" w:after="100" w:afterAutospacing="1"/>
      <w:jc w:val="left"/>
    </w:pPr>
    <w:rPr>
      <w:rFonts w:ascii="宋体" w:hAnsi="宋体" w:eastAsia="宋体" w:cs="宋体"/>
      <w:kern w:val="0"/>
      <w:sz w:val="24"/>
    </w:rPr>
  </w:style>
  <w:style w:type="paragraph" w:styleId="7">
    <w:name w:val="List Paragraph"/>
    <w:basedOn w:val="1"/>
    <w:qFormat/>
    <w:uiPriority w:val="99"/>
    <w:pPr>
      <w:spacing w:line="365" w:lineRule="atLeast"/>
      <w:ind w:left="1" w:firstLine="420" w:firstLineChars="200"/>
      <w:textAlignment w:val="bottom"/>
    </w:pPr>
    <w:rPr>
      <w:rFonts w:ascii="Calibri" w:hAnsi="Calibri" w:eastAsia="宋体"/>
      <w:kern w:val="0"/>
      <w:sz w:val="20"/>
      <w:szCs w:val="22"/>
    </w:rPr>
  </w:style>
  <w:style w:type="character" w:customStyle="1" w:styleId="8">
    <w:name w:val="页眉 Char"/>
    <w:basedOn w:val="6"/>
    <w:link w:val="3"/>
    <w:semiHidden/>
    <w:qFormat/>
    <w:uiPriority w:val="99"/>
    <w:rPr>
      <w:rFonts w:ascii="Times New Roman" w:hAnsi="Times New Roman" w:eastAsia="仿宋_GB2312" w:cs="Times New Roman"/>
      <w:sz w:val="18"/>
      <w:szCs w:val="18"/>
    </w:rPr>
  </w:style>
  <w:style w:type="character" w:customStyle="1" w:styleId="9">
    <w:name w:val="页脚 Char"/>
    <w:basedOn w:val="6"/>
    <w:link w:val="2"/>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2890</Words>
  <Characters>3108</Characters>
  <Lines>22</Lines>
  <Paragraphs>6</Paragraphs>
  <TotalTime>44</TotalTime>
  <ScaleCrop>false</ScaleCrop>
  <LinksUpToDate>false</LinksUpToDate>
  <CharactersWithSpaces>3109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2024-03-13T01:34:00Z</dcterms:created>
  <dc:creator>frdn</dc:creator>
  <cp:lastModifiedBy>九月</cp:lastModifiedBy>
  <cp:lastPrinted>2024-03-26T07:47:00Z</cp:lastPrinted>
  <dcterms:modified xsi:type="dcterms:W3CDTF">2024-10-31T06:27:32Z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986585BEB3DB4709BEEB389E92CA563A_12</vt:lpwstr>
  </property>
</Properties>
</file>