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F3535">
      <w:pPr>
        <w:adjustRightInd w:val="0"/>
        <w:snapToGrid w:val="0"/>
        <w:spacing w:line="520" w:lineRule="exact"/>
        <w:jc w:val="center"/>
        <w:rPr>
          <w:rFonts w:hint="eastAsia" w:ascii="仿宋" w:hAnsi="仿宋" w:eastAsia="仿宋" w:cs="仿宋"/>
          <w:b w:val="0"/>
          <w:bCs w:val="0"/>
          <w:kern w:val="0"/>
          <w:sz w:val="44"/>
          <w:szCs w:val="44"/>
        </w:rPr>
      </w:pPr>
      <w:r>
        <w:rPr>
          <w:rFonts w:hint="eastAsia" w:ascii="仿宋" w:hAnsi="仿宋" w:eastAsia="仿宋" w:cs="仿宋"/>
          <w:b w:val="0"/>
          <w:bCs w:val="0"/>
          <w:kern w:val="0"/>
          <w:sz w:val="44"/>
          <w:szCs w:val="44"/>
        </w:rPr>
        <w:t>辰溪县自然资源技术服务中心</w:t>
      </w:r>
    </w:p>
    <w:p w14:paraId="1A211E32">
      <w:pPr>
        <w:adjustRightInd w:val="0"/>
        <w:snapToGrid w:val="0"/>
        <w:spacing w:line="520" w:lineRule="exact"/>
        <w:jc w:val="center"/>
        <w:rPr>
          <w:rFonts w:hint="eastAsia" w:ascii="仿宋" w:hAnsi="仿宋" w:eastAsia="仿宋" w:cs="仿宋"/>
          <w:b w:val="0"/>
          <w:bCs w:val="0"/>
          <w:kern w:val="0"/>
          <w:sz w:val="44"/>
          <w:szCs w:val="44"/>
        </w:rPr>
      </w:pPr>
      <w:r>
        <w:rPr>
          <w:rFonts w:hint="eastAsia" w:ascii="仿宋" w:hAnsi="仿宋" w:eastAsia="仿宋" w:cs="仿宋"/>
          <w:b w:val="0"/>
          <w:bCs w:val="0"/>
          <w:kern w:val="0"/>
          <w:sz w:val="44"/>
          <w:szCs w:val="44"/>
        </w:rPr>
        <w:t>202</w:t>
      </w:r>
      <w:r>
        <w:rPr>
          <w:rFonts w:hint="eastAsia" w:ascii="仿宋" w:hAnsi="仿宋" w:eastAsia="仿宋" w:cs="仿宋"/>
          <w:b w:val="0"/>
          <w:bCs w:val="0"/>
          <w:kern w:val="0"/>
          <w:sz w:val="44"/>
          <w:szCs w:val="44"/>
          <w:lang w:val="en-US" w:eastAsia="zh-CN"/>
        </w:rPr>
        <w:t>3</w:t>
      </w:r>
      <w:r>
        <w:rPr>
          <w:rFonts w:hint="eastAsia" w:ascii="仿宋" w:hAnsi="仿宋" w:eastAsia="仿宋" w:cs="仿宋"/>
          <w:b w:val="0"/>
          <w:bCs w:val="0"/>
          <w:kern w:val="0"/>
          <w:sz w:val="44"/>
          <w:szCs w:val="44"/>
        </w:rPr>
        <w:t>年度部门整体支出绩效</w:t>
      </w:r>
      <w:r>
        <w:rPr>
          <w:rFonts w:hint="eastAsia" w:ascii="仿宋" w:hAnsi="仿宋" w:eastAsia="仿宋" w:cs="仿宋"/>
          <w:b w:val="0"/>
          <w:bCs w:val="0"/>
          <w:kern w:val="0"/>
          <w:sz w:val="44"/>
          <w:szCs w:val="44"/>
          <w:lang w:eastAsia="zh-CN"/>
        </w:rPr>
        <w:t>自评</w:t>
      </w:r>
      <w:r>
        <w:rPr>
          <w:rFonts w:hint="eastAsia" w:ascii="仿宋" w:hAnsi="仿宋" w:eastAsia="仿宋" w:cs="仿宋"/>
          <w:b w:val="0"/>
          <w:bCs w:val="0"/>
          <w:kern w:val="0"/>
          <w:sz w:val="44"/>
          <w:szCs w:val="44"/>
        </w:rPr>
        <w:t>报告</w:t>
      </w:r>
    </w:p>
    <w:p w14:paraId="06296159">
      <w:pPr>
        <w:adjustRightInd w:val="0"/>
        <w:snapToGrid w:val="0"/>
        <w:spacing w:line="520"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一、部门基本情况</w:t>
      </w:r>
    </w:p>
    <w:p w14:paraId="43457F5A">
      <w:p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（一）部门职能与机构设置</w:t>
      </w:r>
    </w:p>
    <w:p w14:paraId="2891C078">
      <w:p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（1）、部门职能</w:t>
      </w:r>
    </w:p>
    <w:p w14:paraId="2C45ED10">
      <w:pPr>
        <w:widowControl/>
        <w:spacing w:line="520" w:lineRule="exact"/>
        <w:ind w:firstLine="594" w:firstLineChars="198"/>
        <w:jc w:val="lef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主要职责是贯彻执行国家及省市、县有关城乡规划的方针、政策和法规，负责拟订全县城乡规划方面的地方性政策、管理办法并组织实施和监督检查；负责研究制定全县城乡规划事业发展战略和中长期发展规划以及区域规划；负责组织编制城市总体规划、分区规划、详细规划和各项专业规划，为国土空间规划及城乡规划管理服务、提供各类测绘工作。</w:t>
      </w:r>
    </w:p>
    <w:p w14:paraId="357FF420">
      <w:p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（2）、机构设置</w:t>
      </w:r>
    </w:p>
    <w:p w14:paraId="4EDDCBC7">
      <w:pPr>
        <w:pStyle w:val="2"/>
        <w:spacing w:line="520" w:lineRule="exact"/>
        <w:ind w:firstLine="600"/>
        <w:rPr>
          <w:rFonts w:hint="eastAsia" w:ascii="仿宋" w:hAnsi="仿宋" w:eastAsia="仿宋" w:cs="仿宋"/>
          <w:b w:val="0"/>
          <w:bCs w:val="0"/>
          <w:sz w:val="30"/>
          <w:szCs w:val="30"/>
        </w:rPr>
      </w:pPr>
      <w:r>
        <w:rPr>
          <w:rFonts w:hint="eastAsia" w:ascii="仿宋" w:hAnsi="仿宋" w:eastAsia="仿宋" w:cs="仿宋"/>
          <w:b w:val="0"/>
          <w:bCs w:val="0"/>
          <w:sz w:val="30"/>
          <w:szCs w:val="30"/>
        </w:rPr>
        <w:t>单位内设科室：办公室、测量室、审批室、档案室、财务室</w:t>
      </w:r>
    </w:p>
    <w:p w14:paraId="53E7C193">
      <w:pPr>
        <w:numPr>
          <w:ilvl w:val="0"/>
          <w:numId w:val="1"/>
        </w:num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sz w:val="30"/>
          <w:szCs w:val="30"/>
        </w:rPr>
        <w:t xml:space="preserve"> </w:t>
      </w:r>
      <w:r>
        <w:rPr>
          <w:rFonts w:hint="eastAsia" w:ascii="仿宋" w:hAnsi="仿宋" w:eastAsia="仿宋" w:cs="仿宋"/>
          <w:b w:val="0"/>
          <w:bCs w:val="0"/>
          <w:kern w:val="0"/>
          <w:sz w:val="30"/>
          <w:szCs w:val="30"/>
        </w:rPr>
        <w:t>人员情况</w:t>
      </w:r>
    </w:p>
    <w:p w14:paraId="0CDC76DF">
      <w:pPr>
        <w:adjustRightInd w:val="0"/>
        <w:snapToGrid w:val="0"/>
        <w:spacing w:line="520" w:lineRule="exact"/>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     截止202</w:t>
      </w:r>
      <w:r>
        <w:rPr>
          <w:rFonts w:hint="eastAsia" w:ascii="仿宋" w:hAnsi="仿宋" w:eastAsia="仿宋" w:cs="仿宋"/>
          <w:b w:val="0"/>
          <w:bCs w:val="0"/>
          <w:kern w:val="0"/>
          <w:sz w:val="30"/>
          <w:szCs w:val="30"/>
          <w:lang w:val="en-US" w:eastAsia="zh-CN"/>
        </w:rPr>
        <w:t>3</w:t>
      </w:r>
      <w:r>
        <w:rPr>
          <w:rFonts w:hint="eastAsia" w:ascii="仿宋" w:hAnsi="仿宋" w:eastAsia="仿宋" w:cs="仿宋"/>
          <w:b w:val="0"/>
          <w:bCs w:val="0"/>
          <w:kern w:val="0"/>
          <w:sz w:val="30"/>
          <w:szCs w:val="30"/>
        </w:rPr>
        <w:t>.12.31号，辰溪县自然资源技术服务中心在职3</w:t>
      </w:r>
      <w:r>
        <w:rPr>
          <w:rFonts w:hint="eastAsia" w:ascii="仿宋" w:hAnsi="仿宋" w:eastAsia="仿宋" w:cs="仿宋"/>
          <w:b w:val="0"/>
          <w:bCs w:val="0"/>
          <w:kern w:val="0"/>
          <w:sz w:val="30"/>
          <w:szCs w:val="30"/>
          <w:lang w:val="en-US" w:eastAsia="zh-CN"/>
        </w:rPr>
        <w:t>1</w:t>
      </w:r>
      <w:r>
        <w:rPr>
          <w:rFonts w:hint="eastAsia" w:ascii="仿宋" w:hAnsi="仿宋" w:eastAsia="仿宋" w:cs="仿宋"/>
          <w:b w:val="0"/>
          <w:bCs w:val="0"/>
          <w:kern w:val="0"/>
          <w:sz w:val="30"/>
          <w:szCs w:val="30"/>
        </w:rPr>
        <w:t>人，退休</w:t>
      </w:r>
      <w:r>
        <w:rPr>
          <w:rFonts w:hint="eastAsia" w:ascii="仿宋" w:hAnsi="仿宋" w:eastAsia="仿宋" w:cs="仿宋"/>
          <w:b w:val="0"/>
          <w:bCs w:val="0"/>
          <w:kern w:val="0"/>
          <w:sz w:val="30"/>
          <w:szCs w:val="30"/>
          <w:lang w:val="en-US" w:eastAsia="zh-CN"/>
        </w:rPr>
        <w:t>2</w:t>
      </w:r>
      <w:r>
        <w:rPr>
          <w:rFonts w:hint="eastAsia" w:ascii="仿宋" w:hAnsi="仿宋" w:eastAsia="仿宋" w:cs="仿宋"/>
          <w:b w:val="0"/>
          <w:bCs w:val="0"/>
          <w:kern w:val="0"/>
          <w:sz w:val="30"/>
          <w:szCs w:val="30"/>
        </w:rPr>
        <w:t>人。</w:t>
      </w:r>
    </w:p>
    <w:p w14:paraId="35A1E59A">
      <w:pPr>
        <w:numPr>
          <w:ilvl w:val="0"/>
          <w:numId w:val="1"/>
        </w:num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部门年度总体工作任务和重点工作任务</w:t>
      </w:r>
    </w:p>
    <w:p w14:paraId="7AB4383A">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1、认真执行中央十八规定。</w:t>
      </w:r>
    </w:p>
    <w:p w14:paraId="42E82965">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2、保障在职人员的正常办公、工资福利到位。</w:t>
      </w:r>
    </w:p>
    <w:p w14:paraId="29D05283">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3、严肃财经纪律，提高经济效益，加强宏观控制和管理。</w:t>
      </w:r>
    </w:p>
    <w:p w14:paraId="19CEEBB1">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4、对城市规划及地下空间的开发利用。</w:t>
      </w:r>
    </w:p>
    <w:p w14:paraId="451418C4">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5、城乡规划法规的咨询，城市地下空间的开发利用及城市道路、管线、管网等基础设施的规划管理；</w:t>
      </w:r>
    </w:p>
    <w:p w14:paraId="08887561">
      <w:pPr>
        <w:spacing w:line="520" w:lineRule="exact"/>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sz w:val="30"/>
          <w:szCs w:val="30"/>
        </w:rPr>
        <w:t>6、管理城乡规划、勘察档案资料等，完成县委政府交办的其他各项任务。</w:t>
      </w:r>
    </w:p>
    <w:p w14:paraId="28403D2C">
      <w:pPr>
        <w:spacing w:line="520" w:lineRule="exact"/>
        <w:ind w:firstLine="600" w:firstLineChars="200"/>
        <w:jc w:val="left"/>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rPr>
        <w:t>二、</w:t>
      </w:r>
      <w:r>
        <w:rPr>
          <w:rFonts w:hint="eastAsia" w:ascii="仿宋" w:hAnsi="仿宋" w:eastAsia="仿宋" w:cs="仿宋"/>
          <w:b w:val="0"/>
          <w:bCs w:val="0"/>
          <w:kern w:val="0"/>
          <w:sz w:val="30"/>
          <w:szCs w:val="30"/>
          <w:lang w:eastAsia="zh-CN"/>
        </w:rPr>
        <w:t>一般公共预算支出情况</w:t>
      </w:r>
    </w:p>
    <w:p w14:paraId="4DBD24DA">
      <w:pPr>
        <w:spacing w:line="520" w:lineRule="exact"/>
        <w:rPr>
          <w:rFonts w:hint="eastAsia" w:ascii="仿宋" w:hAnsi="仿宋" w:eastAsia="仿宋" w:cs="仿宋"/>
          <w:b w:val="0"/>
          <w:bCs w:val="0"/>
          <w:color w:val="000000"/>
          <w:sz w:val="30"/>
          <w:szCs w:val="30"/>
          <w:lang w:eastAsia="zh-CN"/>
        </w:rPr>
      </w:pPr>
      <w:r>
        <w:rPr>
          <w:rFonts w:hint="eastAsia" w:ascii="仿宋" w:hAnsi="仿宋" w:eastAsia="仿宋" w:cs="仿宋"/>
          <w:b w:val="0"/>
          <w:bCs w:val="0"/>
          <w:kern w:val="0"/>
          <w:sz w:val="30"/>
          <w:szCs w:val="30"/>
        </w:rPr>
        <w:t xml:space="preserve"> </w:t>
      </w:r>
      <w:r>
        <w:rPr>
          <w:rFonts w:hint="eastAsia" w:ascii="仿宋" w:hAnsi="仿宋" w:eastAsia="仿宋" w:cs="仿宋"/>
          <w:b w:val="0"/>
          <w:bCs w:val="0"/>
          <w:kern w:val="0"/>
          <w:sz w:val="30"/>
          <w:szCs w:val="30"/>
          <w:lang w:val="en-US" w:eastAsia="zh-CN"/>
        </w:rPr>
        <w:t xml:space="preserve">   （一）、</w:t>
      </w:r>
      <w:r>
        <w:rPr>
          <w:rFonts w:hint="eastAsia" w:ascii="仿宋" w:hAnsi="仿宋" w:eastAsia="仿宋" w:cs="仿宋"/>
          <w:b w:val="0"/>
          <w:bCs w:val="0"/>
          <w:color w:val="000000"/>
          <w:sz w:val="30"/>
          <w:szCs w:val="30"/>
          <w:lang w:eastAsia="zh-CN"/>
        </w:rPr>
        <w:t>基本支出情况</w:t>
      </w:r>
    </w:p>
    <w:p w14:paraId="47A0715E">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1.收入支出预算安排情况</w:t>
      </w:r>
    </w:p>
    <w:p w14:paraId="0BC2EAD5">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年部门年初预算总收入为</w:t>
      </w:r>
      <w:r>
        <w:rPr>
          <w:rFonts w:hint="eastAsia" w:ascii="仿宋" w:hAnsi="仿宋" w:eastAsia="仿宋" w:cs="仿宋"/>
          <w:b w:val="0"/>
          <w:bCs w:val="0"/>
          <w:color w:val="000000"/>
          <w:sz w:val="30"/>
          <w:szCs w:val="30"/>
          <w:lang w:val="en-US" w:eastAsia="zh-CN"/>
        </w:rPr>
        <w:t>309.12</w:t>
      </w:r>
      <w:r>
        <w:rPr>
          <w:rFonts w:hint="eastAsia" w:ascii="仿宋" w:hAnsi="仿宋" w:eastAsia="仿宋" w:cs="仿宋"/>
          <w:b w:val="0"/>
          <w:bCs w:val="0"/>
          <w:color w:val="000000"/>
          <w:sz w:val="30"/>
          <w:szCs w:val="30"/>
        </w:rPr>
        <w:t>万元，其中财政拨款</w:t>
      </w:r>
      <w:r>
        <w:rPr>
          <w:rFonts w:hint="eastAsia" w:ascii="仿宋" w:hAnsi="仿宋" w:eastAsia="仿宋" w:cs="仿宋"/>
          <w:b w:val="0"/>
          <w:bCs w:val="0"/>
          <w:color w:val="000000"/>
          <w:sz w:val="30"/>
          <w:szCs w:val="30"/>
          <w:lang w:val="en-US" w:eastAsia="zh-CN"/>
        </w:rPr>
        <w:t>309.12</w:t>
      </w:r>
      <w:r>
        <w:rPr>
          <w:rFonts w:hint="eastAsia" w:ascii="仿宋" w:hAnsi="仿宋" w:eastAsia="仿宋" w:cs="仿宋"/>
          <w:b w:val="0"/>
          <w:bCs w:val="0"/>
          <w:color w:val="000000"/>
          <w:sz w:val="30"/>
          <w:szCs w:val="30"/>
        </w:rPr>
        <w:t>万元。</w:t>
      </w:r>
    </w:p>
    <w:p w14:paraId="590B9C1A">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年部门年初预算总支出</w:t>
      </w:r>
      <w:r>
        <w:rPr>
          <w:rFonts w:hint="eastAsia" w:ascii="仿宋" w:hAnsi="仿宋" w:eastAsia="仿宋" w:cs="仿宋"/>
          <w:b w:val="0"/>
          <w:bCs w:val="0"/>
          <w:color w:val="000000"/>
          <w:sz w:val="30"/>
          <w:szCs w:val="30"/>
          <w:lang w:val="en-US" w:eastAsia="zh-CN"/>
        </w:rPr>
        <w:t>309.12</w:t>
      </w:r>
      <w:r>
        <w:rPr>
          <w:rFonts w:hint="eastAsia" w:ascii="仿宋" w:hAnsi="仿宋" w:eastAsia="仿宋" w:cs="仿宋"/>
          <w:b w:val="0"/>
          <w:bCs w:val="0"/>
          <w:color w:val="000000"/>
          <w:sz w:val="30"/>
          <w:szCs w:val="30"/>
        </w:rPr>
        <w:t>万元，其中基本支出预算数</w:t>
      </w:r>
      <w:r>
        <w:rPr>
          <w:rFonts w:hint="eastAsia" w:ascii="仿宋" w:hAnsi="仿宋" w:eastAsia="仿宋" w:cs="仿宋"/>
          <w:b w:val="0"/>
          <w:bCs w:val="0"/>
          <w:color w:val="000000"/>
          <w:sz w:val="30"/>
          <w:szCs w:val="30"/>
          <w:lang w:val="en-US" w:eastAsia="zh-CN"/>
        </w:rPr>
        <w:t>309.12</w:t>
      </w:r>
      <w:r>
        <w:rPr>
          <w:rFonts w:hint="eastAsia" w:ascii="仿宋" w:hAnsi="仿宋" w:eastAsia="仿宋" w:cs="仿宋"/>
          <w:b w:val="0"/>
          <w:bCs w:val="0"/>
          <w:color w:val="000000"/>
          <w:sz w:val="30"/>
          <w:szCs w:val="30"/>
        </w:rPr>
        <w:t>万元。</w:t>
      </w:r>
    </w:p>
    <w:p w14:paraId="50C15305">
      <w:pPr>
        <w:spacing w:line="520" w:lineRule="exact"/>
        <w:ind w:firstLine="450" w:firstLineChars="15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2.收入支出预算执行情况</w:t>
      </w:r>
    </w:p>
    <w:p w14:paraId="5C231C6E">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年部门决算总收入为</w:t>
      </w:r>
      <w:r>
        <w:rPr>
          <w:rFonts w:hint="eastAsia" w:ascii="仿宋" w:hAnsi="仿宋" w:eastAsia="仿宋" w:cs="仿宋"/>
          <w:b w:val="0"/>
          <w:bCs w:val="0"/>
          <w:color w:val="000000"/>
          <w:sz w:val="30"/>
          <w:szCs w:val="30"/>
          <w:lang w:val="en-US" w:eastAsia="zh-CN"/>
        </w:rPr>
        <w:t>620.05</w:t>
      </w:r>
      <w:r>
        <w:rPr>
          <w:rFonts w:hint="eastAsia" w:ascii="仿宋" w:hAnsi="仿宋" w:eastAsia="仿宋" w:cs="仿宋"/>
          <w:b w:val="0"/>
          <w:bCs w:val="0"/>
          <w:color w:val="000000"/>
          <w:sz w:val="30"/>
          <w:szCs w:val="30"/>
        </w:rPr>
        <w:t>万元，其中财政拨</w:t>
      </w:r>
      <w:r>
        <w:rPr>
          <w:rFonts w:hint="eastAsia" w:ascii="仿宋" w:hAnsi="仿宋" w:eastAsia="仿宋" w:cs="仿宋"/>
          <w:b w:val="0"/>
          <w:bCs w:val="0"/>
          <w:color w:val="000000"/>
          <w:sz w:val="30"/>
          <w:szCs w:val="30"/>
          <w:lang w:val="en-US" w:eastAsia="zh-CN"/>
        </w:rPr>
        <w:t>620.05</w:t>
      </w:r>
      <w:r>
        <w:rPr>
          <w:rFonts w:hint="eastAsia" w:ascii="仿宋" w:hAnsi="仿宋" w:eastAsia="仿宋" w:cs="仿宋"/>
          <w:b w:val="0"/>
          <w:bCs w:val="0"/>
          <w:color w:val="000000"/>
          <w:sz w:val="30"/>
          <w:szCs w:val="30"/>
        </w:rPr>
        <w:t>万元。</w:t>
      </w:r>
    </w:p>
    <w:p w14:paraId="2C9640E0">
      <w:pPr>
        <w:spacing w:line="520" w:lineRule="exact"/>
        <w:ind w:firstLine="600" w:firstLineChars="200"/>
        <w:rPr>
          <w:rFonts w:hint="eastAsia" w:ascii="仿宋" w:hAnsi="仿宋" w:eastAsia="仿宋" w:cs="仿宋"/>
          <w:b w:val="0"/>
          <w:bCs w:val="0"/>
          <w:color w:val="000000"/>
          <w:sz w:val="30"/>
          <w:szCs w:val="30"/>
        </w:rPr>
      </w:pPr>
      <w:bookmarkStart w:id="0" w:name="OLE_LINK3"/>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年部门决算总支出</w:t>
      </w:r>
      <w:r>
        <w:rPr>
          <w:rFonts w:hint="eastAsia" w:ascii="仿宋" w:hAnsi="仿宋" w:eastAsia="仿宋" w:cs="仿宋"/>
          <w:b w:val="0"/>
          <w:bCs w:val="0"/>
          <w:color w:val="000000"/>
          <w:sz w:val="30"/>
          <w:szCs w:val="30"/>
          <w:lang w:val="en-US" w:eastAsia="zh-CN"/>
        </w:rPr>
        <w:t>620.05</w:t>
      </w:r>
      <w:r>
        <w:rPr>
          <w:rFonts w:hint="eastAsia" w:ascii="仿宋" w:hAnsi="仿宋" w:eastAsia="仿宋" w:cs="仿宋"/>
          <w:b w:val="0"/>
          <w:bCs w:val="0"/>
          <w:color w:val="000000"/>
          <w:sz w:val="30"/>
          <w:szCs w:val="30"/>
        </w:rPr>
        <w:t>万元，其中基本支出决算数</w:t>
      </w:r>
      <w:r>
        <w:rPr>
          <w:rFonts w:hint="eastAsia" w:ascii="仿宋" w:hAnsi="仿宋" w:eastAsia="仿宋" w:cs="仿宋"/>
          <w:b w:val="0"/>
          <w:bCs w:val="0"/>
          <w:color w:val="000000"/>
          <w:sz w:val="30"/>
          <w:szCs w:val="30"/>
          <w:lang w:val="en-US" w:eastAsia="zh-CN"/>
        </w:rPr>
        <w:t>620.05</w:t>
      </w:r>
      <w:r>
        <w:rPr>
          <w:rFonts w:hint="eastAsia" w:ascii="仿宋" w:hAnsi="仿宋" w:eastAsia="仿宋" w:cs="仿宋"/>
          <w:b w:val="0"/>
          <w:bCs w:val="0"/>
          <w:color w:val="000000"/>
          <w:sz w:val="30"/>
          <w:szCs w:val="30"/>
        </w:rPr>
        <w:t>万元，项目支出决算数0万元。</w:t>
      </w:r>
      <w:bookmarkEnd w:id="0"/>
    </w:p>
    <w:p w14:paraId="1E374B4B">
      <w:pPr>
        <w:spacing w:line="520" w:lineRule="exact"/>
        <w:ind w:firstLine="900" w:firstLineChars="3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财政拨款支出主要用于我单位的正常运转、完成日常工作任务以及承担我单位应承担的相关业务工作开展。 </w:t>
      </w:r>
    </w:p>
    <w:p w14:paraId="68936380">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一般公共预算财政拨款基本支出</w:t>
      </w:r>
      <w:r>
        <w:rPr>
          <w:rFonts w:hint="eastAsia" w:ascii="仿宋" w:hAnsi="仿宋" w:eastAsia="仿宋" w:cs="仿宋"/>
          <w:b w:val="0"/>
          <w:bCs w:val="0"/>
          <w:color w:val="000000"/>
          <w:sz w:val="30"/>
          <w:szCs w:val="30"/>
          <w:lang w:val="en-US" w:eastAsia="zh-CN"/>
        </w:rPr>
        <w:t>620.05</w:t>
      </w:r>
      <w:r>
        <w:rPr>
          <w:rFonts w:hint="eastAsia" w:ascii="仿宋" w:hAnsi="仿宋" w:eastAsia="仿宋" w:cs="仿宋"/>
          <w:b w:val="0"/>
          <w:bCs w:val="0"/>
          <w:color w:val="000000"/>
          <w:sz w:val="30"/>
          <w:szCs w:val="30"/>
        </w:rPr>
        <w:t>万元，其中人员经费</w:t>
      </w:r>
      <w:r>
        <w:rPr>
          <w:rFonts w:hint="eastAsia" w:ascii="仿宋" w:hAnsi="仿宋" w:eastAsia="仿宋" w:cs="仿宋"/>
          <w:b w:val="0"/>
          <w:bCs w:val="0"/>
          <w:color w:val="000000"/>
          <w:sz w:val="30"/>
          <w:szCs w:val="30"/>
          <w:lang w:val="en-US" w:eastAsia="zh-CN"/>
        </w:rPr>
        <w:t>437.11</w:t>
      </w:r>
      <w:r>
        <w:rPr>
          <w:rFonts w:hint="eastAsia" w:ascii="仿宋" w:hAnsi="仿宋" w:eastAsia="仿宋" w:cs="仿宋"/>
          <w:b w:val="0"/>
          <w:bCs w:val="0"/>
          <w:color w:val="000000"/>
          <w:sz w:val="30"/>
          <w:szCs w:val="30"/>
        </w:rPr>
        <w:t>万元、日常公用</w:t>
      </w:r>
      <w:r>
        <w:rPr>
          <w:rFonts w:hint="eastAsia" w:ascii="仿宋" w:hAnsi="仿宋" w:eastAsia="仿宋" w:cs="仿宋"/>
          <w:b w:val="0"/>
          <w:bCs w:val="0"/>
          <w:color w:val="000000"/>
          <w:sz w:val="30"/>
          <w:szCs w:val="30"/>
          <w:lang w:val="en-US" w:eastAsia="zh-CN"/>
        </w:rPr>
        <w:t>182.94</w:t>
      </w:r>
      <w:r>
        <w:rPr>
          <w:rFonts w:hint="eastAsia" w:ascii="仿宋" w:hAnsi="仿宋" w:eastAsia="仿宋" w:cs="仿宋"/>
          <w:b w:val="0"/>
          <w:bCs w:val="0"/>
          <w:color w:val="000000"/>
          <w:sz w:val="30"/>
          <w:szCs w:val="30"/>
        </w:rPr>
        <w:t>万元，是用于保障</w:t>
      </w:r>
      <w:bookmarkStart w:id="1" w:name="OLE_LINK2"/>
      <w:r>
        <w:rPr>
          <w:rFonts w:hint="eastAsia" w:ascii="仿宋" w:hAnsi="仿宋" w:eastAsia="仿宋" w:cs="仿宋"/>
          <w:b w:val="0"/>
          <w:bCs w:val="0"/>
          <w:color w:val="000000"/>
          <w:sz w:val="30"/>
          <w:szCs w:val="30"/>
        </w:rPr>
        <w:t>单位日常支出，</w:t>
      </w:r>
      <w:bookmarkEnd w:id="1"/>
      <w:r>
        <w:rPr>
          <w:rFonts w:hint="eastAsia" w:ascii="仿宋" w:hAnsi="仿宋" w:eastAsia="仿宋" w:cs="仿宋"/>
          <w:b w:val="0"/>
          <w:bCs w:val="0"/>
          <w:color w:val="000000"/>
          <w:sz w:val="30"/>
          <w:szCs w:val="30"/>
        </w:rPr>
        <w:t>包括基本工资、津贴补贴等人员经费以及办公费、印刷费、水电费、办公设备购置等日常公用经费。</w:t>
      </w:r>
    </w:p>
    <w:p w14:paraId="68053AC5">
      <w:pPr>
        <w:adjustRightInd w:val="0"/>
        <w:snapToGrid w:val="0"/>
        <w:spacing w:line="52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3、“三公”经费预算支出情况</w:t>
      </w:r>
    </w:p>
    <w:p w14:paraId="363FF83E">
      <w:pPr>
        <w:widowControl/>
        <w:spacing w:line="520" w:lineRule="exact"/>
        <w:ind w:firstLine="750" w:firstLineChars="250"/>
        <w:jc w:val="left"/>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年辰溪县自然资源技术服务中心年初“三公”经费预算数</w:t>
      </w:r>
      <w:r>
        <w:rPr>
          <w:rFonts w:hint="eastAsia" w:ascii="仿宋" w:hAnsi="仿宋" w:eastAsia="仿宋" w:cs="仿宋"/>
          <w:b w:val="0"/>
          <w:bCs w:val="0"/>
          <w:color w:val="000000"/>
          <w:sz w:val="30"/>
          <w:szCs w:val="30"/>
          <w:lang w:val="en-US" w:eastAsia="zh-CN"/>
        </w:rPr>
        <w:t>1</w:t>
      </w:r>
      <w:r>
        <w:rPr>
          <w:rFonts w:hint="eastAsia" w:ascii="仿宋" w:hAnsi="仿宋" w:eastAsia="仿宋" w:cs="仿宋"/>
          <w:b w:val="0"/>
          <w:bCs w:val="0"/>
          <w:color w:val="000000"/>
          <w:sz w:val="30"/>
          <w:szCs w:val="30"/>
        </w:rPr>
        <w:t>万元，“三公”经费支出0.</w:t>
      </w:r>
      <w:r>
        <w:rPr>
          <w:rFonts w:hint="eastAsia" w:ascii="仿宋" w:hAnsi="仿宋" w:eastAsia="仿宋" w:cs="仿宋"/>
          <w:b w:val="0"/>
          <w:bCs w:val="0"/>
          <w:color w:val="000000"/>
          <w:sz w:val="30"/>
          <w:szCs w:val="30"/>
          <w:lang w:val="en-US" w:eastAsia="zh-CN"/>
        </w:rPr>
        <w:t>27</w:t>
      </w:r>
      <w:r>
        <w:rPr>
          <w:rFonts w:hint="eastAsia" w:ascii="仿宋" w:hAnsi="仿宋" w:eastAsia="仿宋" w:cs="仿宋"/>
          <w:b w:val="0"/>
          <w:bCs w:val="0"/>
          <w:color w:val="000000"/>
          <w:sz w:val="30"/>
          <w:szCs w:val="30"/>
        </w:rPr>
        <w:t>万元。</w:t>
      </w:r>
    </w:p>
    <w:p w14:paraId="654BD546">
      <w:pPr>
        <w:pStyle w:val="2"/>
        <w:numPr>
          <w:ilvl w:val="0"/>
          <w:numId w:val="2"/>
        </w:numPr>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eastAsia="zh-CN"/>
        </w:rPr>
        <w:t>项目支出情况</w:t>
      </w:r>
    </w:p>
    <w:p w14:paraId="64D17F1A">
      <w:pPr>
        <w:pStyle w:val="2"/>
        <w:numPr>
          <w:ilvl w:val="0"/>
          <w:numId w:val="0"/>
        </w:numPr>
        <w:ind w:firstLine="900" w:firstLineChars="3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 </w:t>
      </w:r>
      <w:r>
        <w:rPr>
          <w:rFonts w:hint="eastAsia" w:ascii="仿宋" w:hAnsi="仿宋" w:eastAsia="仿宋" w:cs="仿宋"/>
          <w:b w:val="0"/>
          <w:bCs w:val="0"/>
          <w:color w:val="000000"/>
          <w:sz w:val="32"/>
          <w:szCs w:val="32"/>
        </w:rPr>
        <w:t>本部门无</w:t>
      </w:r>
      <w:r>
        <w:rPr>
          <w:rFonts w:hint="eastAsia" w:ascii="仿宋" w:hAnsi="仿宋" w:eastAsia="仿宋" w:cs="仿宋"/>
          <w:b w:val="0"/>
          <w:bCs w:val="0"/>
          <w:color w:val="000000"/>
          <w:sz w:val="32"/>
          <w:szCs w:val="32"/>
          <w:lang w:eastAsia="zh-CN"/>
        </w:rPr>
        <w:t>项目支出</w:t>
      </w:r>
      <w:r>
        <w:rPr>
          <w:rFonts w:hint="eastAsia" w:ascii="仿宋" w:hAnsi="仿宋" w:eastAsia="仿宋" w:cs="仿宋"/>
          <w:b w:val="0"/>
          <w:bCs w:val="0"/>
          <w:color w:val="000000"/>
          <w:sz w:val="32"/>
          <w:szCs w:val="32"/>
        </w:rPr>
        <w:t>的</w:t>
      </w:r>
      <w:r>
        <w:rPr>
          <w:rFonts w:hint="eastAsia" w:ascii="仿宋" w:hAnsi="仿宋" w:eastAsia="仿宋" w:cs="仿宋"/>
          <w:b w:val="0"/>
          <w:bCs w:val="0"/>
          <w:color w:val="000000"/>
          <w:sz w:val="32"/>
          <w:szCs w:val="32"/>
          <w:lang w:eastAsia="zh-CN"/>
        </w:rPr>
        <w:t>情况。</w:t>
      </w:r>
    </w:p>
    <w:p w14:paraId="1D4CCB3F">
      <w:pPr>
        <w:pStyle w:val="2"/>
        <w:numPr>
          <w:ilvl w:val="0"/>
          <w:numId w:val="3"/>
        </w:numPr>
        <w:rPr>
          <w:rFonts w:hint="eastAsia" w:ascii="仿宋" w:hAnsi="仿宋" w:eastAsia="仿宋" w:cs="仿宋"/>
          <w:b w:val="0"/>
          <w:bCs w:val="0"/>
          <w:sz w:val="32"/>
          <w:szCs w:val="32"/>
          <w:lang w:eastAsia="zh-CN"/>
        </w:rPr>
      </w:pPr>
      <w:r>
        <w:rPr>
          <w:rFonts w:hint="eastAsia" w:ascii="仿宋" w:hAnsi="仿宋" w:eastAsia="仿宋" w:cs="仿宋"/>
          <w:b w:val="0"/>
          <w:bCs w:val="0"/>
          <w:color w:val="000000"/>
          <w:sz w:val="30"/>
          <w:szCs w:val="30"/>
          <w:lang w:eastAsia="zh-CN"/>
        </w:rPr>
        <w:t>政府性基金预算支出情况</w:t>
      </w:r>
    </w:p>
    <w:p w14:paraId="64BA14DE">
      <w:pPr>
        <w:pStyle w:val="2"/>
        <w:numPr>
          <w:ilvl w:val="0"/>
          <w:numId w:val="0"/>
        </w:numPr>
        <w:ind w:firstLine="900" w:firstLineChars="300"/>
        <w:rPr>
          <w:rFonts w:hint="eastAsia" w:ascii="仿宋" w:hAnsi="仿宋" w:eastAsia="仿宋" w:cs="仿宋"/>
          <w:b w:val="0"/>
          <w:bCs w:val="0"/>
          <w:sz w:val="32"/>
          <w:szCs w:val="32"/>
          <w:lang w:eastAsia="zh-CN"/>
        </w:rPr>
      </w:pPr>
      <w:r>
        <w:rPr>
          <w:rFonts w:hint="eastAsia" w:ascii="仿宋" w:hAnsi="仿宋" w:eastAsia="仿宋" w:cs="仿宋"/>
          <w:b w:val="0"/>
          <w:bCs w:val="0"/>
          <w:color w:val="000000"/>
          <w:sz w:val="30"/>
          <w:szCs w:val="30"/>
          <w:lang w:val="en-US" w:eastAsia="zh-CN"/>
        </w:rPr>
        <w:t xml:space="preserve"> </w:t>
      </w:r>
      <w:r>
        <w:rPr>
          <w:rFonts w:hint="eastAsia" w:ascii="仿宋" w:hAnsi="仿宋" w:eastAsia="仿宋" w:cs="仿宋"/>
          <w:b w:val="0"/>
          <w:bCs w:val="0"/>
          <w:color w:val="000000"/>
          <w:sz w:val="32"/>
          <w:szCs w:val="32"/>
        </w:rPr>
        <w:t>本部门无政府性基金安排的支出</w:t>
      </w:r>
      <w:r>
        <w:rPr>
          <w:rFonts w:hint="eastAsia" w:ascii="仿宋" w:hAnsi="仿宋" w:eastAsia="仿宋" w:cs="仿宋"/>
          <w:b w:val="0"/>
          <w:bCs w:val="0"/>
          <w:color w:val="000000"/>
          <w:sz w:val="32"/>
          <w:szCs w:val="32"/>
          <w:lang w:eastAsia="zh-CN"/>
        </w:rPr>
        <w:t>。</w:t>
      </w:r>
    </w:p>
    <w:p w14:paraId="13F5042A">
      <w:pPr>
        <w:pStyle w:val="2"/>
        <w:numPr>
          <w:ilvl w:val="0"/>
          <w:numId w:val="3"/>
        </w:numPr>
        <w:ind w:left="0" w:leftChars="0" w:firstLine="600" w:firstLineChars="2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国有资本经营预算支出情况</w:t>
      </w:r>
    </w:p>
    <w:p w14:paraId="24AEEFC3">
      <w:pPr>
        <w:pStyle w:val="2"/>
        <w:numPr>
          <w:ilvl w:val="0"/>
          <w:numId w:val="0"/>
        </w:numPr>
        <w:ind w:leftChars="200" w:firstLine="6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本部门无国有资本经营安排的支出。</w:t>
      </w:r>
    </w:p>
    <w:p w14:paraId="31C4EB56">
      <w:pPr>
        <w:pStyle w:val="2"/>
        <w:numPr>
          <w:ilvl w:val="0"/>
          <w:numId w:val="3"/>
        </w:numPr>
        <w:ind w:left="0" w:leftChars="0" w:firstLine="600" w:firstLineChars="2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社会保险基金预算支出的情况</w:t>
      </w:r>
    </w:p>
    <w:p w14:paraId="1B1EDD10">
      <w:pPr>
        <w:pStyle w:val="2"/>
        <w:numPr>
          <w:ilvl w:val="0"/>
          <w:numId w:val="0"/>
        </w:numPr>
        <w:ind w:leftChars="20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    本部门无社会保险基金安排的支出。</w:t>
      </w:r>
    </w:p>
    <w:p w14:paraId="105A3587">
      <w:pPr>
        <w:spacing w:line="520" w:lineRule="exact"/>
        <w:ind w:left="640"/>
        <w:rPr>
          <w:rFonts w:hint="eastAsia" w:ascii="仿宋" w:hAnsi="仿宋" w:eastAsia="仿宋" w:cs="仿宋"/>
          <w:b w:val="0"/>
          <w:bCs w:val="0"/>
          <w:color w:val="000000"/>
          <w:sz w:val="30"/>
          <w:szCs w:val="30"/>
          <w:lang w:eastAsia="zh-CN"/>
        </w:rPr>
      </w:pPr>
      <w:r>
        <w:rPr>
          <w:rFonts w:hint="eastAsia" w:ascii="仿宋" w:hAnsi="仿宋" w:eastAsia="仿宋" w:cs="仿宋"/>
          <w:b w:val="0"/>
          <w:bCs w:val="0"/>
          <w:kern w:val="0"/>
          <w:sz w:val="30"/>
          <w:szCs w:val="30"/>
          <w:lang w:eastAsia="zh-CN"/>
        </w:rPr>
        <w:t>六</w:t>
      </w:r>
      <w:r>
        <w:rPr>
          <w:rFonts w:hint="eastAsia" w:ascii="仿宋" w:hAnsi="仿宋" w:eastAsia="仿宋" w:cs="仿宋"/>
          <w:b w:val="0"/>
          <w:bCs w:val="0"/>
          <w:kern w:val="0"/>
          <w:sz w:val="30"/>
          <w:szCs w:val="30"/>
        </w:rPr>
        <w:t>、</w:t>
      </w:r>
      <w:r>
        <w:rPr>
          <w:rFonts w:hint="eastAsia" w:ascii="仿宋" w:hAnsi="仿宋" w:eastAsia="仿宋" w:cs="仿宋"/>
          <w:b w:val="0"/>
          <w:bCs w:val="0"/>
          <w:color w:val="000000"/>
          <w:sz w:val="30"/>
          <w:szCs w:val="30"/>
          <w:lang w:eastAsia="zh-CN"/>
        </w:rPr>
        <w:t>部门整体支出绩效情况</w:t>
      </w:r>
    </w:p>
    <w:p w14:paraId="3256174B">
      <w:pPr>
        <w:pStyle w:val="2"/>
        <w:spacing w:line="520" w:lineRule="exact"/>
        <w:ind w:left="560" w:firstLine="0" w:firstLineChars="0"/>
        <w:rPr>
          <w:rFonts w:hint="eastAsia" w:ascii="仿宋" w:hAnsi="仿宋" w:eastAsia="仿宋" w:cs="仿宋"/>
          <w:b w:val="0"/>
          <w:bCs w:val="0"/>
          <w:kern w:val="0"/>
          <w:sz w:val="28"/>
          <w:szCs w:val="28"/>
        </w:rPr>
      </w:pPr>
      <w:bookmarkStart w:id="2" w:name="OLE_LINK1"/>
      <w:r>
        <w:rPr>
          <w:rFonts w:hint="eastAsia" w:ascii="仿宋" w:hAnsi="仿宋" w:eastAsia="仿宋" w:cs="仿宋"/>
          <w:b w:val="0"/>
          <w:bCs w:val="0"/>
          <w:kern w:val="0"/>
          <w:sz w:val="28"/>
          <w:szCs w:val="28"/>
          <w:lang w:val="en-US" w:eastAsia="zh-CN"/>
        </w:rPr>
        <w:t>(一）</w:t>
      </w:r>
      <w:r>
        <w:rPr>
          <w:rFonts w:hint="eastAsia" w:ascii="仿宋" w:hAnsi="仿宋" w:eastAsia="仿宋" w:cs="仿宋"/>
          <w:b w:val="0"/>
          <w:bCs w:val="0"/>
          <w:kern w:val="0"/>
          <w:sz w:val="28"/>
          <w:szCs w:val="28"/>
        </w:rPr>
        <w:t>1、部门按“三定”方案中所赋予的职责和年度承担的目标开展工作。</w:t>
      </w:r>
    </w:p>
    <w:p w14:paraId="0260944C">
      <w:pPr>
        <w:pStyle w:val="2"/>
        <w:spacing w:line="520" w:lineRule="exact"/>
        <w:ind w:left="1" w:firstLineChars="150"/>
        <w:rPr>
          <w:rFonts w:hint="eastAsia" w:ascii="仿宋" w:hAnsi="仿宋" w:eastAsia="仿宋" w:cs="仿宋"/>
          <w:b w:val="0"/>
          <w:bCs w:val="0"/>
          <w:sz w:val="28"/>
          <w:szCs w:val="28"/>
        </w:rPr>
      </w:pPr>
      <w:r>
        <w:rPr>
          <w:rFonts w:hint="eastAsia" w:ascii="仿宋" w:hAnsi="仿宋" w:eastAsia="仿宋" w:cs="仿宋"/>
          <w:b w:val="0"/>
          <w:bCs w:val="0"/>
          <w:kern w:val="0"/>
          <w:sz w:val="28"/>
          <w:szCs w:val="28"/>
        </w:rPr>
        <w:t xml:space="preserve">2、在职责范围之内，部门的活动符合部门中长期规划，部门所设立的活动明确合理、活动的关键性指标设置, 为加强预算管理，规范财务行为，部门制定的管理制度，部门使用预算资金严格按照预算财务管理制度的规定执行。 </w:t>
      </w:r>
    </w:p>
    <w:p w14:paraId="28D7178D">
      <w:pPr>
        <w:pStyle w:val="2"/>
        <w:spacing w:line="520" w:lineRule="exact"/>
        <w:ind w:firstLine="560"/>
        <w:rPr>
          <w:rFonts w:hint="eastAsia" w:ascii="仿宋" w:hAnsi="仿宋" w:eastAsia="仿宋" w:cs="仿宋"/>
          <w:b w:val="0"/>
          <w:bCs w:val="0"/>
          <w:sz w:val="28"/>
          <w:szCs w:val="28"/>
        </w:rPr>
      </w:pPr>
      <w:r>
        <w:rPr>
          <w:rFonts w:hint="eastAsia" w:ascii="仿宋" w:hAnsi="仿宋" w:eastAsia="仿宋" w:cs="仿宋"/>
          <w:b w:val="0"/>
          <w:bCs w:val="0"/>
          <w:kern w:val="0"/>
          <w:sz w:val="28"/>
          <w:szCs w:val="28"/>
        </w:rPr>
        <w:t>3、部门按照政府信息公开有关规定公开相关预决算信息。</w:t>
      </w:r>
    </w:p>
    <w:p w14:paraId="5ED996E3">
      <w:pPr>
        <w:pStyle w:val="2"/>
        <w:spacing w:line="520" w:lineRule="exact"/>
        <w:ind w:firstLine="56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4、部门为加强资产管理、规范资产管理行为而制定的管理制度是否健全完整, 部门的资产是否保存完整、使用合规、收入及时足额上缴，</w:t>
      </w:r>
    </w:p>
    <w:p w14:paraId="04BDC2C6">
      <w:pPr>
        <w:pStyle w:val="2"/>
        <w:spacing w:line="520" w:lineRule="exact"/>
        <w:ind w:firstLine="600"/>
        <w:rPr>
          <w:rFonts w:hint="eastAsia" w:ascii="仿宋" w:hAnsi="仿宋" w:eastAsia="仿宋" w:cs="仿宋"/>
          <w:b w:val="0"/>
          <w:bCs w:val="0"/>
          <w:sz w:val="30"/>
          <w:szCs w:val="30"/>
        </w:rPr>
      </w:pPr>
      <w:r>
        <w:rPr>
          <w:rFonts w:hint="eastAsia" w:ascii="仿宋" w:hAnsi="仿宋" w:eastAsia="仿宋" w:cs="仿宋"/>
          <w:b w:val="0"/>
          <w:bCs w:val="0"/>
          <w:sz w:val="30"/>
          <w:szCs w:val="30"/>
        </w:rPr>
        <w:t>（二）目标任务完成经济效益：全县地下空间的开发利用及城市道路、管线、管网等基础设施的规划。</w:t>
      </w:r>
    </w:p>
    <w:p w14:paraId="335162DD">
      <w:pPr>
        <w:pStyle w:val="2"/>
        <w:spacing w:line="520" w:lineRule="exact"/>
        <w:ind w:firstLine="6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sz w:val="30"/>
          <w:szCs w:val="30"/>
        </w:rPr>
        <w:t>（三）目标任务完成社会效益：</w:t>
      </w:r>
      <w:r>
        <w:rPr>
          <w:rFonts w:hint="eastAsia" w:ascii="仿宋" w:hAnsi="仿宋" w:eastAsia="仿宋" w:cs="仿宋"/>
          <w:b w:val="0"/>
          <w:bCs w:val="0"/>
          <w:color w:val="000000"/>
          <w:kern w:val="0"/>
          <w:sz w:val="30"/>
          <w:szCs w:val="30"/>
        </w:rPr>
        <w:t>社会对公益事业关注度100%</w:t>
      </w:r>
    </w:p>
    <w:p w14:paraId="385A8391">
      <w:pPr>
        <w:pStyle w:val="2"/>
        <w:spacing w:line="520" w:lineRule="exact"/>
        <w:ind w:firstLine="6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sz w:val="30"/>
          <w:szCs w:val="30"/>
        </w:rPr>
        <w:t>（四）目标任务完成可持续影响：</w:t>
      </w:r>
      <w:r>
        <w:rPr>
          <w:rFonts w:hint="eastAsia" w:ascii="仿宋" w:hAnsi="仿宋" w:eastAsia="仿宋" w:cs="仿宋"/>
          <w:b w:val="0"/>
          <w:bCs w:val="0"/>
          <w:color w:val="000000"/>
          <w:kern w:val="0"/>
          <w:sz w:val="30"/>
          <w:szCs w:val="30"/>
        </w:rPr>
        <w:t>为国土空间规划管理服务，优化配置和有效利用达标率100%</w:t>
      </w:r>
    </w:p>
    <w:p w14:paraId="22772F60">
      <w:pPr>
        <w:pStyle w:val="2"/>
        <w:spacing w:line="520" w:lineRule="exact"/>
        <w:ind w:firstLine="6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（五）目标任务完成服务对象满意度：</w:t>
      </w:r>
      <w:r>
        <w:rPr>
          <w:rFonts w:hint="eastAsia" w:ascii="仿宋" w:hAnsi="仿宋" w:eastAsia="仿宋" w:cs="仿宋"/>
          <w:b w:val="0"/>
          <w:bCs w:val="0"/>
          <w:color w:val="000000"/>
          <w:kern w:val="0"/>
          <w:sz w:val="30"/>
          <w:szCs w:val="30"/>
        </w:rPr>
        <w:t>广大群众对公共服务水平满意度率100%</w:t>
      </w:r>
    </w:p>
    <w:bookmarkEnd w:id="2"/>
    <w:p w14:paraId="3B2C851F">
      <w:pPr>
        <w:spacing w:line="520" w:lineRule="exact"/>
        <w:ind w:firstLine="450" w:firstLineChars="15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七、存在的问题及原因分析</w:t>
      </w:r>
    </w:p>
    <w:p w14:paraId="48E172D8">
      <w:pPr>
        <w:spacing w:line="520" w:lineRule="exact"/>
        <w:ind w:firstLine="450" w:firstLineChars="15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（一）评价结论</w:t>
      </w:r>
    </w:p>
    <w:p w14:paraId="30DE516B">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根据财政部门的要求，通过对本单位202</w:t>
      </w:r>
      <w:r>
        <w:rPr>
          <w:rFonts w:hint="eastAsia" w:ascii="仿宋" w:hAnsi="仿宋" w:eastAsia="仿宋" w:cs="仿宋"/>
          <w:b w:val="0"/>
          <w:bCs w:val="0"/>
          <w:color w:val="000000"/>
          <w:sz w:val="30"/>
          <w:szCs w:val="30"/>
          <w:lang w:val="en-US" w:eastAsia="zh-CN"/>
        </w:rPr>
        <w:t>3</w:t>
      </w:r>
      <w:r>
        <w:rPr>
          <w:rFonts w:hint="eastAsia" w:ascii="仿宋" w:hAnsi="仿宋" w:eastAsia="仿宋" w:cs="仿宋"/>
          <w:b w:val="0"/>
          <w:bCs w:val="0"/>
          <w:color w:val="000000"/>
          <w:sz w:val="30"/>
          <w:szCs w:val="30"/>
        </w:rPr>
        <w:t>年所有经费收支情况进行自评，对照自评表及评分表认真核查单位的各项财务管理制度及预算的执行情况进行疏理，评价结论如下：</w:t>
      </w:r>
    </w:p>
    <w:p w14:paraId="48CCD459">
      <w:pPr>
        <w:numPr>
          <w:ilvl w:val="0"/>
          <w:numId w:val="4"/>
        </w:numPr>
        <w:spacing w:line="520" w:lineRule="exact"/>
        <w:ind w:firstLine="600" w:firstLineChars="2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sz w:val="30"/>
          <w:szCs w:val="30"/>
        </w:rPr>
        <w:t>单位日常经费支出符合各项财务制度及</w:t>
      </w:r>
      <w:r>
        <w:rPr>
          <w:rFonts w:hint="eastAsia" w:ascii="仿宋" w:hAnsi="仿宋" w:eastAsia="仿宋" w:cs="仿宋"/>
          <w:b w:val="0"/>
          <w:bCs w:val="0"/>
          <w:color w:val="000000"/>
          <w:kern w:val="0"/>
          <w:sz w:val="30"/>
          <w:szCs w:val="30"/>
        </w:rPr>
        <w:t>厉行节约原则，基本能保证单位正常运转及工作开展。</w:t>
      </w:r>
    </w:p>
    <w:p w14:paraId="4710AC1C">
      <w:pPr>
        <w:numPr>
          <w:ilvl w:val="0"/>
          <w:numId w:val="4"/>
        </w:numPr>
        <w:spacing w:line="520" w:lineRule="exact"/>
        <w:ind w:firstLine="600" w:firstLineChars="2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财务制度健全，单位预算编制基本符合相关国家政策及单位职责实际情况，预算收支管理贯彻在全年的实际经费收支全过程。</w:t>
      </w:r>
    </w:p>
    <w:p w14:paraId="4EC4BCC3">
      <w:pPr>
        <w:spacing w:line="520" w:lineRule="exact"/>
        <w:ind w:firstLine="63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（二）存在问题</w:t>
      </w:r>
    </w:p>
    <w:p w14:paraId="5BE738B7">
      <w:pPr>
        <w:spacing w:line="520" w:lineRule="exact"/>
        <w:ind w:firstLine="300" w:firstLineChars="100"/>
        <w:rPr>
          <w:rFonts w:hint="eastAsia" w:ascii="仿宋" w:hAnsi="仿宋" w:eastAsia="仿宋" w:cs="仿宋"/>
          <w:b w:val="0"/>
          <w:bCs w:val="0"/>
          <w:color w:val="000000"/>
          <w:sz w:val="30"/>
          <w:szCs w:val="30"/>
        </w:rPr>
      </w:pPr>
      <w:bookmarkStart w:id="3" w:name="_GoBack"/>
      <w:r>
        <w:rPr>
          <w:rFonts w:hint="eastAsia" w:ascii="仿宋" w:hAnsi="仿宋" w:eastAsia="仿宋" w:cs="仿宋"/>
          <w:b w:val="0"/>
          <w:bCs w:val="0"/>
          <w:color w:val="000000"/>
          <w:sz w:val="30"/>
          <w:szCs w:val="30"/>
        </w:rPr>
        <w:t>1、部门预算编制不规范，单位虽然设立了资金绩效目标，但目标不够明确、细化和量化。</w:t>
      </w:r>
    </w:p>
    <w:p w14:paraId="30027E06">
      <w:pPr>
        <w:spacing w:line="520" w:lineRule="exact"/>
        <w:ind w:firstLine="450" w:firstLineChars="15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 资金使用效益有待进一步提高。</w:t>
      </w:r>
    </w:p>
    <w:p w14:paraId="0EA4D004">
      <w:pPr>
        <w:widowControl/>
        <w:spacing w:line="520" w:lineRule="exact"/>
        <w:ind w:firstLine="48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3、年度预算与实际执行存在偏差，主要是财政资金紧张，不能按时拨付至单位账上且单位不能及时支付各项支出。</w:t>
      </w:r>
    </w:p>
    <w:bookmarkEnd w:id="3"/>
    <w:p w14:paraId="21D951BF">
      <w:pPr>
        <w:widowControl/>
        <w:numPr>
          <w:ilvl w:val="0"/>
          <w:numId w:val="0"/>
        </w:numPr>
        <w:spacing w:line="520" w:lineRule="exact"/>
        <w:ind w:firstLine="600" w:firstLineChars="200"/>
        <w:rPr>
          <w:rFonts w:hint="eastAsia" w:ascii="仿宋" w:hAnsi="仿宋" w:eastAsia="仿宋" w:cs="仿宋"/>
          <w:b w:val="0"/>
          <w:bCs w:val="0"/>
          <w:color w:val="3D3D3D"/>
          <w:kern w:val="0"/>
          <w:sz w:val="30"/>
          <w:szCs w:val="30"/>
        </w:rPr>
      </w:pPr>
      <w:r>
        <w:rPr>
          <w:rFonts w:hint="eastAsia" w:ascii="仿宋" w:hAnsi="仿宋" w:eastAsia="仿宋" w:cs="仿宋"/>
          <w:b w:val="0"/>
          <w:bCs w:val="0"/>
          <w:color w:val="000000"/>
          <w:sz w:val="30"/>
          <w:szCs w:val="30"/>
          <w:lang w:eastAsia="zh-CN"/>
        </w:rPr>
        <w:t>八、下一步改进措施</w:t>
      </w:r>
    </w:p>
    <w:p w14:paraId="62415730">
      <w:pPr>
        <w:widowControl/>
        <w:numPr>
          <w:ilvl w:val="0"/>
          <w:numId w:val="5"/>
        </w:numPr>
        <w:spacing w:line="520" w:lineRule="exact"/>
        <w:ind w:firstLine="48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加强单位预算编制工作，根据人员情况、业务开展需要，逐项做出预算计划，不留缺口、不留空项。</w:t>
      </w:r>
    </w:p>
    <w:p w14:paraId="0E31CEB5">
      <w:pPr>
        <w:widowControl/>
        <w:spacing w:line="520" w:lineRule="exact"/>
        <w:ind w:firstLine="480"/>
        <w:rPr>
          <w:rFonts w:hint="eastAsia" w:ascii="仿宋" w:hAnsi="仿宋" w:eastAsia="仿宋" w:cs="仿宋"/>
          <w:b w:val="0"/>
          <w:bCs w:val="0"/>
          <w:color w:val="3D3D3D"/>
          <w:kern w:val="0"/>
          <w:sz w:val="30"/>
          <w:szCs w:val="30"/>
        </w:rPr>
      </w:pPr>
      <w:r>
        <w:rPr>
          <w:rFonts w:hint="eastAsia" w:ascii="仿宋" w:hAnsi="仿宋" w:eastAsia="仿宋" w:cs="仿宋"/>
          <w:b w:val="0"/>
          <w:bCs w:val="0"/>
          <w:color w:val="3D3D3D"/>
          <w:kern w:val="0"/>
          <w:sz w:val="30"/>
          <w:szCs w:val="30"/>
        </w:rPr>
        <w:t>2、规范账务处理，提高财务信息质量</w:t>
      </w:r>
    </w:p>
    <w:p w14:paraId="7442426A">
      <w:pPr>
        <w:spacing w:line="520" w:lineRule="exact"/>
        <w:ind w:firstLine="600" w:firstLineChars="20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3、加强业务培训，提高评价水平。健全预算绩效管理制度，推动预算绩效管理科学、程序规范、方法合理、结果可行。</w:t>
      </w:r>
    </w:p>
    <w:p w14:paraId="017AF810">
      <w:pPr>
        <w:spacing w:line="520" w:lineRule="exact"/>
        <w:ind w:firstLine="450" w:firstLineChars="15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每年绩效评价结果作为下年度评价依据。</w:t>
      </w:r>
    </w:p>
    <w:p w14:paraId="758BDD25">
      <w:pPr>
        <w:numPr>
          <w:ilvl w:val="0"/>
          <w:numId w:val="6"/>
        </w:numPr>
        <w:spacing w:line="520" w:lineRule="exact"/>
        <w:ind w:firstLine="450" w:firstLineChars="150"/>
        <w:rPr>
          <w:rFonts w:hint="eastAsia" w:ascii="仿宋" w:hAnsi="仿宋" w:eastAsia="仿宋" w:cs="仿宋"/>
          <w:b w:val="0"/>
          <w:bCs w:val="0"/>
          <w:color w:val="000000"/>
          <w:sz w:val="30"/>
          <w:szCs w:val="30"/>
          <w:lang w:eastAsia="zh-CN"/>
        </w:rPr>
      </w:pPr>
      <w:r>
        <w:rPr>
          <w:rFonts w:hint="eastAsia" w:ascii="仿宋" w:hAnsi="仿宋" w:eastAsia="仿宋" w:cs="仿宋"/>
          <w:b w:val="0"/>
          <w:bCs w:val="0"/>
          <w:color w:val="000000"/>
          <w:sz w:val="30"/>
          <w:szCs w:val="30"/>
          <w:lang w:eastAsia="zh-CN"/>
        </w:rPr>
        <w:t>部门整体支出绩效自评结果拟应用和公开情况</w:t>
      </w:r>
    </w:p>
    <w:p w14:paraId="092579C9">
      <w:pPr>
        <w:numPr>
          <w:ilvl w:val="0"/>
          <w:numId w:val="0"/>
        </w:numPr>
        <w:spacing w:line="520" w:lineRule="exact"/>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 xml:space="preserve">   部门整体支出绩效自评结果已应用和公开。</w:t>
      </w:r>
    </w:p>
    <w:p w14:paraId="092395C5">
      <w:pPr>
        <w:pStyle w:val="2"/>
        <w:spacing w:line="520" w:lineRule="exact"/>
        <w:ind w:firstLine="4500" w:firstLineChars="1500"/>
        <w:rPr>
          <w:rFonts w:hint="eastAsia" w:ascii="仿宋" w:hAnsi="仿宋" w:eastAsia="仿宋" w:cs="仿宋"/>
          <w:b w:val="0"/>
          <w:bCs w:val="0"/>
          <w:sz w:val="30"/>
          <w:szCs w:val="30"/>
        </w:rPr>
      </w:pPr>
    </w:p>
    <w:p w14:paraId="1953CBAD">
      <w:pPr>
        <w:pStyle w:val="2"/>
        <w:spacing w:line="520" w:lineRule="exact"/>
        <w:ind w:firstLine="4500" w:firstLineChars="1500"/>
        <w:rPr>
          <w:rFonts w:hint="eastAsia" w:ascii="仿宋" w:hAnsi="仿宋" w:eastAsia="仿宋" w:cs="仿宋"/>
          <w:b w:val="0"/>
          <w:bCs w:val="0"/>
          <w:sz w:val="30"/>
          <w:szCs w:val="30"/>
        </w:rPr>
      </w:pPr>
    </w:p>
    <w:p w14:paraId="213F8E04">
      <w:pPr>
        <w:pStyle w:val="2"/>
        <w:spacing w:line="520" w:lineRule="exact"/>
        <w:ind w:firstLine="4500" w:firstLineChars="1500"/>
        <w:rPr>
          <w:rFonts w:hint="eastAsia" w:ascii="仿宋" w:hAnsi="仿宋" w:eastAsia="仿宋" w:cs="仿宋"/>
          <w:b w:val="0"/>
          <w:bCs w:val="0"/>
          <w:sz w:val="30"/>
          <w:szCs w:val="30"/>
        </w:rPr>
      </w:pPr>
    </w:p>
    <w:p w14:paraId="571215F8">
      <w:pPr>
        <w:pStyle w:val="2"/>
        <w:spacing w:line="520" w:lineRule="exact"/>
        <w:ind w:firstLine="4500" w:firstLineChars="1500"/>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辰溪县自然资源技术服务中心                           </w:t>
      </w:r>
    </w:p>
    <w:p w14:paraId="6695C9DC">
      <w:pPr>
        <w:pStyle w:val="2"/>
        <w:spacing w:line="520" w:lineRule="exact"/>
        <w:ind w:firstLine="4800" w:firstLineChars="1600"/>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202</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12</w:t>
      </w:r>
      <w:r>
        <w:rPr>
          <w:rFonts w:hint="eastAsia" w:ascii="仿宋" w:hAnsi="仿宋" w:eastAsia="仿宋" w:cs="仿宋"/>
          <w:b w:val="0"/>
          <w:bCs w:val="0"/>
          <w:sz w:val="30"/>
          <w:szCs w:val="30"/>
        </w:rPr>
        <w:t>日</w:t>
      </w:r>
    </w:p>
    <w:p w14:paraId="029AFA41">
      <w:pPr>
        <w:pStyle w:val="2"/>
        <w:spacing w:line="520" w:lineRule="exact"/>
        <w:ind w:firstLine="602"/>
        <w:rPr>
          <w:rFonts w:hint="eastAsia" w:ascii="仿宋" w:hAnsi="仿宋" w:eastAsia="仿宋" w:cs="仿宋"/>
          <w:b w:val="0"/>
          <w:bCs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588" w:right="175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F080">
    <w:pPr>
      <w:pStyle w:val="3"/>
      <w:jc w:val="center"/>
    </w:pPr>
    <w:r>
      <w:fldChar w:fldCharType="begin"/>
    </w:r>
    <w:r>
      <w:instrText xml:space="preserve"> PAGE   \* MERGEFORMAT </w:instrText>
    </w:r>
    <w:r>
      <w:fldChar w:fldCharType="separate"/>
    </w:r>
    <w:r>
      <w:rPr>
        <w:lang w:val="zh-CN"/>
      </w:rPr>
      <w:t>4</w:t>
    </w:r>
    <w:r>
      <w:rPr>
        <w:lang w:val="zh-CN"/>
      </w:rPr>
      <w:fldChar w:fldCharType="end"/>
    </w:r>
  </w:p>
  <w:p w14:paraId="04E9EB8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D2B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67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6F2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FB3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30B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47CC4"/>
    <w:multiLevelType w:val="singleLevel"/>
    <w:tmpl w:val="A0147CC4"/>
    <w:lvl w:ilvl="0" w:tentative="0">
      <w:start w:val="9"/>
      <w:numFmt w:val="chineseCounting"/>
      <w:suff w:val="nothing"/>
      <w:lvlText w:val="%1、"/>
      <w:lvlJc w:val="left"/>
      <w:rPr>
        <w:rFonts w:hint="eastAsia"/>
      </w:rPr>
    </w:lvl>
  </w:abstractNum>
  <w:abstractNum w:abstractNumId="1">
    <w:nsid w:val="BCAC7691"/>
    <w:multiLevelType w:val="singleLevel"/>
    <w:tmpl w:val="BCAC7691"/>
    <w:lvl w:ilvl="0" w:tentative="0">
      <w:start w:val="2"/>
      <w:numFmt w:val="chineseCounting"/>
      <w:suff w:val="nothing"/>
      <w:lvlText w:val="（%1）"/>
      <w:lvlJc w:val="left"/>
      <w:rPr>
        <w:rFonts w:hint="eastAsia" w:cs="Times New Roman"/>
      </w:rPr>
    </w:lvl>
  </w:abstractNum>
  <w:abstractNum w:abstractNumId="2">
    <w:nsid w:val="F2408FF3"/>
    <w:multiLevelType w:val="singleLevel"/>
    <w:tmpl w:val="F2408FF3"/>
    <w:lvl w:ilvl="0" w:tentative="0">
      <w:start w:val="1"/>
      <w:numFmt w:val="decimal"/>
      <w:suff w:val="nothing"/>
      <w:lvlText w:val="%1、"/>
      <w:lvlJc w:val="left"/>
      <w:rPr>
        <w:rFonts w:cs="Times New Roman"/>
      </w:rPr>
    </w:lvl>
  </w:abstractNum>
  <w:abstractNum w:abstractNumId="3">
    <w:nsid w:val="0E3BECCD"/>
    <w:multiLevelType w:val="singleLevel"/>
    <w:tmpl w:val="0E3BECCD"/>
    <w:lvl w:ilvl="0" w:tentative="0">
      <w:start w:val="1"/>
      <w:numFmt w:val="decimal"/>
      <w:suff w:val="nothing"/>
      <w:lvlText w:val="%1、"/>
      <w:lvlJc w:val="left"/>
      <w:rPr>
        <w:rFonts w:cs="Times New Roman"/>
      </w:rPr>
    </w:lvl>
  </w:abstractNum>
  <w:abstractNum w:abstractNumId="4">
    <w:nsid w:val="437CE11B"/>
    <w:multiLevelType w:val="singleLevel"/>
    <w:tmpl w:val="437CE11B"/>
    <w:lvl w:ilvl="0" w:tentative="0">
      <w:start w:val="3"/>
      <w:numFmt w:val="chineseCounting"/>
      <w:suff w:val="nothing"/>
      <w:lvlText w:val="%1、"/>
      <w:lvlJc w:val="left"/>
      <w:rPr>
        <w:rFonts w:hint="eastAsia"/>
      </w:rPr>
    </w:lvl>
  </w:abstractNum>
  <w:abstractNum w:abstractNumId="5">
    <w:nsid w:val="58DF894B"/>
    <w:multiLevelType w:val="singleLevel"/>
    <w:tmpl w:val="58DF894B"/>
    <w:lvl w:ilvl="0" w:tentative="0">
      <w:start w:val="2"/>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NWEyZmUxMjE3MDhhNWY4NTNjYjg4MzlkYmY1MGEifQ=="/>
  </w:docVars>
  <w:rsids>
    <w:rsidRoot w:val="00966A9D"/>
    <w:rsid w:val="00040B2A"/>
    <w:rsid w:val="000433CF"/>
    <w:rsid w:val="000844E8"/>
    <w:rsid w:val="000B1DF1"/>
    <w:rsid w:val="000D1D7B"/>
    <w:rsid w:val="000E03A5"/>
    <w:rsid w:val="001706EC"/>
    <w:rsid w:val="001717CE"/>
    <w:rsid w:val="001D0151"/>
    <w:rsid w:val="002002D8"/>
    <w:rsid w:val="00212340"/>
    <w:rsid w:val="00216177"/>
    <w:rsid w:val="002A5DDC"/>
    <w:rsid w:val="002C00CE"/>
    <w:rsid w:val="002D08D8"/>
    <w:rsid w:val="002D330E"/>
    <w:rsid w:val="002F5BF7"/>
    <w:rsid w:val="00303E41"/>
    <w:rsid w:val="003A3F10"/>
    <w:rsid w:val="003C00B9"/>
    <w:rsid w:val="003E00BC"/>
    <w:rsid w:val="003E2CBE"/>
    <w:rsid w:val="0053241D"/>
    <w:rsid w:val="00545212"/>
    <w:rsid w:val="00596930"/>
    <w:rsid w:val="005D41C5"/>
    <w:rsid w:val="005D6D51"/>
    <w:rsid w:val="005E7C88"/>
    <w:rsid w:val="00604B42"/>
    <w:rsid w:val="0062194C"/>
    <w:rsid w:val="006411BD"/>
    <w:rsid w:val="00642C38"/>
    <w:rsid w:val="00710C50"/>
    <w:rsid w:val="00722AC9"/>
    <w:rsid w:val="00777B2F"/>
    <w:rsid w:val="007C789A"/>
    <w:rsid w:val="007D0828"/>
    <w:rsid w:val="00820AC9"/>
    <w:rsid w:val="00834FD0"/>
    <w:rsid w:val="0084360E"/>
    <w:rsid w:val="0088311E"/>
    <w:rsid w:val="008D3580"/>
    <w:rsid w:val="00924E74"/>
    <w:rsid w:val="00966A9D"/>
    <w:rsid w:val="009744D1"/>
    <w:rsid w:val="00A215BD"/>
    <w:rsid w:val="00A27123"/>
    <w:rsid w:val="00A53CDA"/>
    <w:rsid w:val="00A71A1F"/>
    <w:rsid w:val="00AA52F4"/>
    <w:rsid w:val="00AC2EAF"/>
    <w:rsid w:val="00AC55A0"/>
    <w:rsid w:val="00B3300E"/>
    <w:rsid w:val="00B96F03"/>
    <w:rsid w:val="00BB4E12"/>
    <w:rsid w:val="00C3536B"/>
    <w:rsid w:val="00CB0A9F"/>
    <w:rsid w:val="00CC18B7"/>
    <w:rsid w:val="00CE6280"/>
    <w:rsid w:val="00CE6EC9"/>
    <w:rsid w:val="00D222EC"/>
    <w:rsid w:val="00D83EFB"/>
    <w:rsid w:val="00D848B7"/>
    <w:rsid w:val="00DB0F5E"/>
    <w:rsid w:val="00DB1392"/>
    <w:rsid w:val="00DD1457"/>
    <w:rsid w:val="00DD3BB6"/>
    <w:rsid w:val="00DF06A4"/>
    <w:rsid w:val="00E27331"/>
    <w:rsid w:val="00E46DBD"/>
    <w:rsid w:val="00EA47DE"/>
    <w:rsid w:val="00EF48B3"/>
    <w:rsid w:val="00F1062F"/>
    <w:rsid w:val="00F60F9B"/>
    <w:rsid w:val="00F81B5C"/>
    <w:rsid w:val="00FA6817"/>
    <w:rsid w:val="01B12933"/>
    <w:rsid w:val="03A148E7"/>
    <w:rsid w:val="04484240"/>
    <w:rsid w:val="07655CA0"/>
    <w:rsid w:val="14221F92"/>
    <w:rsid w:val="15886824"/>
    <w:rsid w:val="18413B17"/>
    <w:rsid w:val="1A0E27C8"/>
    <w:rsid w:val="2BA718EB"/>
    <w:rsid w:val="2D320954"/>
    <w:rsid w:val="382F1972"/>
    <w:rsid w:val="3B4645EF"/>
    <w:rsid w:val="401E63B5"/>
    <w:rsid w:val="472E058F"/>
    <w:rsid w:val="5B244827"/>
    <w:rsid w:val="7010740A"/>
    <w:rsid w:val="7087754B"/>
    <w:rsid w:val="71B02FE4"/>
    <w:rsid w:val="7C0970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autoRedefine/>
    <w:semiHidden/>
    <w:qFormat/>
    <w:uiPriority w:val="99"/>
    <w:rPr>
      <w:rFonts w:cs="Times New Roman"/>
      <w:color w:val="0000FF"/>
      <w:u w:val="single"/>
    </w:rPr>
  </w:style>
  <w:style w:type="character" w:customStyle="1" w:styleId="9">
    <w:name w:val="Footer Char"/>
    <w:basedOn w:val="7"/>
    <w:link w:val="3"/>
    <w:autoRedefine/>
    <w:qFormat/>
    <w:locked/>
    <w:uiPriority w:val="99"/>
    <w:rPr>
      <w:rFonts w:cs="Times New Roman"/>
      <w:sz w:val="18"/>
      <w:szCs w:val="18"/>
    </w:rPr>
  </w:style>
  <w:style w:type="character" w:customStyle="1" w:styleId="10">
    <w:name w:val="Header Char"/>
    <w:basedOn w:val="7"/>
    <w:link w:val="4"/>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Pages>
  <Words>1779</Words>
  <Characters>1884</Characters>
  <Lines>0</Lines>
  <Paragraphs>0</Paragraphs>
  <TotalTime>12</TotalTime>
  <ScaleCrop>false</ScaleCrop>
  <LinksUpToDate>false</LinksUpToDate>
  <CharactersWithSpaces>1936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2023-02-06T07:34:00Z</dcterms:created>
  <dc:creator>Administrator</dc:creator>
  <cp:lastModifiedBy>Administrator</cp:lastModifiedBy>
  <cp:lastPrinted>2024-04-24T09:23:00Z</cp:lastPrinted>
  <dcterms:modified xsi:type="dcterms:W3CDTF">2024-09-27T05:20:00Z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C67627418B6345DC9AD0FAF9CD0A98F0_13</vt:lpwstr>
  </property>
</Properties>
</file>