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辰溪县档案馆 2021年度部门</w:t>
      </w:r>
      <w:r>
        <w:rPr>
          <w:rFonts w:hint="eastAsia" w:ascii="华文中宋" w:hAnsi="华文中宋" w:eastAsia="华文中宋" w:cs="华文中宋"/>
          <w:sz w:val="44"/>
          <w:szCs w:val="44"/>
        </w:rPr>
        <w:t>整体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绩效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评价</w:t>
      </w:r>
      <w:r>
        <w:rPr>
          <w:rFonts w:hint="eastAsia" w:ascii="华文中宋" w:hAnsi="华文中宋" w:eastAsia="华文中宋" w:cs="华文中宋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为提高部门整体支出绩效评价质量，强化绩效管理。根据《预算法》和</w:t>
      </w:r>
      <w:r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</w:rPr>
        <w:t>辰溪县财政局关于开展2021年度部门预算绩效自评工作的通知</w:t>
      </w:r>
      <w:r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  <w:lang w:eastAsia="zh-CN"/>
        </w:rPr>
        <w:t>》（</w:t>
      </w:r>
      <w:r>
        <w:rPr>
          <w:rFonts w:hint="eastAsia" w:ascii="仿宋" w:hAnsi="仿宋" w:eastAsia="仿宋"/>
          <w:color w:val="333333"/>
          <w:sz w:val="32"/>
          <w:szCs w:val="32"/>
        </w:rPr>
        <w:t>辰财绩〔2022〕1号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认真组织开展自评，现将20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年度部门预算整体绩效评价工作情况报告如下：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现有全额拨款事业编制数18名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年12月底，在职在编人员1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人，提前退休1人，正式退休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人，属财政全额拨款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公益一类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部门职能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贯彻执行国家和省市有关档案工作的法律、法规、规章和方针、政策，制定和实施辰溪县档案馆档案管理制度。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收集和接收本馆保管范围内按规定移交进馆的各类档案资料，征集散存在社会上的对国家和社会有保存价值的珍贵档案资料。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保管档案，维护档案的完整与安全。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对馆藏档案严格按照规定进行科学整理、编目、鉴定、数字化、技术保护及开发利用。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采取各种形式开发档案资源，利用档案向社会公众开展革命传统教育、爱国主义教育、科学文化知识教育及历史与县情教育，为社会利用档案资源提供服务。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承担县档案馆数字化建设维护工作，接收、保管县直各单位和其他组织按规定移交的电子档案，并对外提供利用服务。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承办县委办交办的其他事项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县档案馆</w:t>
      </w:r>
      <w:r>
        <w:rPr>
          <w:rFonts w:hint="eastAsia" w:ascii="仿宋_GB2312" w:hAnsi="仿宋_GB2312" w:eastAsia="仿宋_GB2312" w:cs="仿宋_GB2312"/>
          <w:sz w:val="32"/>
          <w:szCs w:val="32"/>
        </w:rPr>
        <w:t>内设机构包括：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室、管理利用室（县现行文件查询中心、县档案寄存中心）、征集编研室3个科室。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（三）年度总体工作任务和重点工作任务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仿宋"/>
          <w:b w:val="0"/>
          <w:bCs w:val="0"/>
          <w:sz w:val="32"/>
          <w:szCs w:val="32"/>
        </w:rPr>
        <w:t>坚持服务大局。</w:t>
      </w:r>
      <w:r>
        <w:rPr>
          <w:rFonts w:hint="eastAsia" w:ascii="华文仿宋" w:hAnsi="华文仿宋" w:eastAsia="华文仿宋" w:cs="仿宋"/>
          <w:sz w:val="32"/>
          <w:szCs w:val="32"/>
        </w:rPr>
        <w:t>坚持把档案工作主动融入县委、县政府的工作部署和发展战略，从全局的高度，以开阔的视野，跳出档案抓档案，不断开辟档案工作的“源头活水”，激发档案工作的生机和活力。做好精准扶贫工作档案资料的收集、整理、归档和移交工作，确保扶贫档案的完整。紧紧围绕县里开展的文明创建、综治民调、新时代文明实践活动等中心工作，及时做好相关档案的收集整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华文仿宋" w:hAnsi="华文仿宋" w:eastAsia="华文仿宋" w:cs="仿宋"/>
          <w:b w:val="0"/>
          <w:bCs w:val="0"/>
          <w:sz w:val="32"/>
          <w:szCs w:val="32"/>
        </w:rPr>
        <w:t>坚持以民为本。</w:t>
      </w:r>
      <w:r>
        <w:rPr>
          <w:rFonts w:hint="eastAsia" w:ascii="华文仿宋" w:hAnsi="华文仿宋" w:eastAsia="华文仿宋" w:cs="仿宋"/>
          <w:sz w:val="32"/>
          <w:szCs w:val="32"/>
        </w:rPr>
        <w:t>对人民群众最关心的就业、就医、社保、住房、社区、家庭、婚姻、退伍、知青下放等各类民生档案要积极争取移交进馆，从而更好地服务民生。同时也要“挖掘”自身资源，把库内凡是涉及到人民群众利益的档案都“清查”出来，为群众所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华文仿宋" w:hAnsi="华文仿宋" w:eastAsia="华文仿宋" w:cs="仿宋"/>
          <w:b w:val="0"/>
          <w:bCs w:val="0"/>
          <w:sz w:val="32"/>
          <w:szCs w:val="32"/>
        </w:rPr>
        <w:t>加强资源建设。</w:t>
      </w:r>
      <w:r>
        <w:rPr>
          <w:rFonts w:hint="eastAsia" w:ascii="华文仿宋" w:hAnsi="华文仿宋" w:eastAsia="华文仿宋" w:cs="仿宋"/>
          <w:sz w:val="32"/>
          <w:szCs w:val="32"/>
        </w:rPr>
        <w:t>不断丰富馆藏资源，优化馆藏结构，确保立档单位应建尽建，所有档案应归尽归。加大征集力度，改变“坐等”的状态，经常走出去，积极关注新闻媒介发布的信息和各种社会动态信息。拓宽渠道，通过复制、捐赠、寄存等方式广泛加大对民间文化、涉及民生、反映本县地方特色、先进人物和具有代表意义家庭档案等资料的收集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华文仿宋" w:hAnsi="华文仿宋" w:eastAsia="华文仿宋" w:cs="仿宋"/>
          <w:b w:val="0"/>
          <w:bCs w:val="0"/>
          <w:sz w:val="32"/>
          <w:szCs w:val="32"/>
        </w:rPr>
        <w:t>加强信息化建设</w:t>
      </w: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>。</w:t>
      </w:r>
      <w:r>
        <w:rPr>
          <w:rFonts w:hint="eastAsia" w:ascii="华文仿宋" w:hAnsi="华文仿宋" w:eastAsia="华文仿宋" w:cs="仿宋"/>
          <w:sz w:val="32"/>
          <w:szCs w:val="32"/>
        </w:rPr>
        <w:t>将档案数字化建设经费列入财政预算，为信息化建设提供经费保障，加快现有馆藏档案目录数据库和部分全文数据库建设，尤其是加快对一些重要的、容易受损的、利用频率高的档案的数字化进程，以提高档案利用率。抓好电子档案的接收工作，保证归档电子文件真实、完整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华文仿宋" w:hAnsi="华文仿宋" w:eastAsia="华文仿宋" w:cs="仿宋"/>
          <w:b w:val="0"/>
          <w:bCs w:val="0"/>
          <w:sz w:val="32"/>
          <w:szCs w:val="32"/>
        </w:rPr>
        <w:t>启动馆库建设前期工作。</w:t>
      </w:r>
      <w:r>
        <w:rPr>
          <w:rFonts w:hint="eastAsia" w:ascii="华文仿宋" w:hAnsi="华文仿宋" w:eastAsia="华文仿宋" w:cs="仿宋"/>
          <w:sz w:val="32"/>
          <w:szCs w:val="32"/>
        </w:rPr>
        <w:t>按照国家《中西部地区县级综合档案馆建设规划》，积极向上级汇报和争取，尽快启动前期工作，推动我县综合档案馆建设项目迈入实质性工作。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（四）部门年度整体收支情况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支出全部为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一般公共预算财政拨款收入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1.收入支出预算安排情况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年一般公共预算财政拨款收入预算总额为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（不包括上年结转）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，收入预算总额较20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公用经费和人员经费增加（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调入2人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年一般公共预算财政拨款支出预算总额为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（不包括上年结转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基本支出年初预算数为2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/>
          <w:sz w:val="32"/>
          <w:szCs w:val="32"/>
        </w:rPr>
        <w:t>0.29万元，是指为保障单位机构正常运转、完成日常工作任务而发生的各项支出。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Fonts w:ascii="华文仿宋" w:hAnsi="华文仿宋" w:eastAsia="华文仿宋" w:cs="仿宋_GB2312"/>
          <w:color w:val="000000"/>
          <w:sz w:val="32"/>
          <w:szCs w:val="32"/>
          <w:shd w:val="clear" w:color="auto" w:fill="FFFFFF"/>
        </w:rPr>
        <w:t>其中：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  <w:shd w:val="clear" w:color="auto" w:fill="FFFFFF"/>
          <w:lang w:eastAsia="zh-CN"/>
        </w:rPr>
        <w:t>人员</w:t>
      </w:r>
      <w:r>
        <w:rPr>
          <w:rFonts w:ascii="华文仿宋" w:hAnsi="华文仿宋" w:eastAsia="华文仿宋" w:cs="仿宋_GB2312"/>
          <w:color w:val="000000"/>
          <w:sz w:val="32"/>
          <w:szCs w:val="32"/>
          <w:shd w:val="clear" w:color="auto" w:fill="FFFFFF"/>
        </w:rPr>
        <w:t>支出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  <w:shd w:val="clear" w:color="auto" w:fill="FFFFFF"/>
          <w:lang w:val="en-US" w:eastAsia="zh-CN"/>
        </w:rPr>
        <w:t>195</w:t>
      </w:r>
      <w:r>
        <w:rPr>
          <w:rFonts w:ascii="华文仿宋" w:hAnsi="华文仿宋" w:eastAsia="华文仿宋" w:cs="仿宋_GB2312"/>
          <w:color w:val="000000"/>
          <w:sz w:val="32"/>
          <w:szCs w:val="32"/>
          <w:shd w:val="clear" w:color="auto" w:fill="FFFFFF"/>
        </w:rPr>
        <w:t>万元、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  <w:shd w:val="clear" w:color="auto" w:fill="FFFFFF"/>
          <w:lang w:eastAsia="zh-CN"/>
        </w:rPr>
        <w:t>公用</w:t>
      </w:r>
      <w:r>
        <w:rPr>
          <w:rFonts w:ascii="华文仿宋" w:hAnsi="华文仿宋" w:eastAsia="华文仿宋" w:cs="仿宋_GB2312"/>
          <w:color w:val="000000"/>
          <w:sz w:val="32"/>
          <w:szCs w:val="32"/>
          <w:shd w:val="clear" w:color="auto" w:fill="FFFFFF"/>
        </w:rPr>
        <w:t>支出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  <w:shd w:val="clear" w:color="auto" w:fill="FFFFFF"/>
          <w:lang w:val="en-US" w:eastAsia="zh-CN"/>
        </w:rPr>
        <w:t>55.29</w:t>
      </w:r>
      <w:r>
        <w:rPr>
          <w:rFonts w:ascii="华文仿宋" w:hAnsi="华文仿宋" w:eastAsia="华文仿宋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2.收入支出预算执行情况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年一般公共预算财政拨款收入决算总额为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234.99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（不包括上年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结转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。收入决算总额较20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4.48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增加率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%，主要是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公用经费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和人员经费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增加（调入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年一般公共预算财政拨款支出决算总额为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234.99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全部为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234.99万元（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其中档案数字化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8.55万元）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。其中人员经费支出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%；公用经费支出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财政拨款支出主要用于我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的正常运转、完成日常工作任务以及承担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业务开展相关工作。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234.99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万元，日常公用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万元，是用于保障我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日常支出，包括基本工资、津贴补贴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社会保障缴费</w:t>
      </w:r>
      <w:r>
        <w:rPr>
          <w:rFonts w:hint="eastAsia" w:ascii="仿宋_GB2312" w:hAnsi="仿宋_GB2312" w:eastAsia="仿宋_GB2312" w:cs="仿宋_GB2312"/>
          <w:sz w:val="32"/>
          <w:szCs w:val="32"/>
        </w:rPr>
        <w:t>等人员经费以及办公费、印刷费、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差旅</w:t>
      </w:r>
      <w:r>
        <w:rPr>
          <w:rFonts w:hint="eastAsia" w:ascii="仿宋_GB2312" w:hAnsi="仿宋_GB2312" w:eastAsia="仿宋_GB2312" w:cs="仿宋_GB2312"/>
          <w:sz w:val="32"/>
          <w:szCs w:val="32"/>
        </w:rPr>
        <w:t>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公务接待</w:t>
      </w:r>
      <w:r>
        <w:rPr>
          <w:rFonts w:hint="eastAsia" w:ascii="仿宋_GB2312" w:hAnsi="仿宋_GB2312" w:eastAsia="仿宋_GB2312" w:cs="仿宋_GB2312"/>
          <w:sz w:val="32"/>
          <w:szCs w:val="32"/>
        </w:rPr>
        <w:t>等日常公用经费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以及对馆藏档案数字化、档案修复抢救、消毒除尘等业务工作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“三公”经费具体情况说明。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“三公”经费年初预算为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年12月31日，本单位共有车辆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辆。年度公务用车运行维护费支出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万元，公务接待费支出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万元，国内公务接待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批次，共接待人数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人，未发生因公出国（境）费用支出。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二、部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门整体支出绩效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绩效目标任务完成情况：一是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提高政治站位，深化思想认识。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二是健全组织结构，夯实党建基础。三是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加强党风廉政建设，推进全面从严治党。四是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加强疫情防控管理，落实疫情接种工作。五是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夯实基础业务建设，促进规范管理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六是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强抓馆务建设，提升服务水平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。七是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积极组织档案法律法规培训，深入开展法制宣传活动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。八是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加强档案安全管理工作，保障安全利用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（一）产出指标完成情况分析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1、数量指标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财政供养人员控制率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是三公经费控制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修复抢救馆藏重点档案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960余卷。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2、质量指标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政府采购执行率100%。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二是公务卡刷卡率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确保馆藏12万余卷安全完整。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3、时效指标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所有工作均在20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年12月底前完成，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4、成本指标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为积极贯彻“过紧日子”的思想，达到勤俭节约、不奢侈浪费的要求，全部按指标要求完成。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（二）效益指标完成情况分析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1、经济效益。免费为广大群众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提供免费查阅服务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社会效益指标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依据和凭证作用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可持续影响指标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为县委、县政府中心工作、编史修志以及民生工作服务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（三）满意度指标情况分析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广大群众对查阅档案服务的满意度达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做好年度财政资金的预算编制工作，按照政府采购目录及采购限额标准编制政府采购预算，做到应编尽编。在资金使用和管理方面，进一步强化资金统筹，优化资金结构，明确开支范围，细化资金用途，确保部门职责任务顺利完成。全年基本支出保证了部门的正常运行和日常工作的正常开展，达到预期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（二）存在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1.绩效目标设立不够明确、细化和量化。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2.资金使用效益有待进一步提高。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、下一步改进措施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</w:rPr>
        <w:t>学合理编制预算并严格执行预算。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</w:rPr>
        <w:t>规范账务处理，提高财务信息质量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</w:rPr>
        <w:t>完善管理制度，加强资产管理。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</w:rPr>
        <w:t>、加强业务培训和会计制度及预算法学习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机关运行经费支出情况。本部门20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年度机关运行经费支出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政府采购支出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国有资产占用情况。截至20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年12月31日，本单位共有车辆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辆；单位价值50万元以上通用设备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台（套）；单位价值100万元以上专用设备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E6EFA"/>
    <w:multiLevelType w:val="singleLevel"/>
    <w:tmpl w:val="6EDE6E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OGU2NWY5ZWU0NTk2YmVmYTkxOWEyZWRjYWYzNWEifQ=="/>
  </w:docVars>
  <w:rsids>
    <w:rsidRoot w:val="00000000"/>
    <w:rsid w:val="04423926"/>
    <w:rsid w:val="08C52D3F"/>
    <w:rsid w:val="0BA261B6"/>
    <w:rsid w:val="0D1A49DD"/>
    <w:rsid w:val="155003FF"/>
    <w:rsid w:val="17F51D7A"/>
    <w:rsid w:val="23673F3E"/>
    <w:rsid w:val="24B75D47"/>
    <w:rsid w:val="299D5FD5"/>
    <w:rsid w:val="2BF912E2"/>
    <w:rsid w:val="310A5C13"/>
    <w:rsid w:val="31502215"/>
    <w:rsid w:val="36C04E9A"/>
    <w:rsid w:val="3B3B40D4"/>
    <w:rsid w:val="4A6775F3"/>
    <w:rsid w:val="4A6B469C"/>
    <w:rsid w:val="50C24E9A"/>
    <w:rsid w:val="5834778F"/>
    <w:rsid w:val="6BAA60FA"/>
    <w:rsid w:val="6CA7632D"/>
    <w:rsid w:val="6F8E0A2B"/>
    <w:rsid w:val="769C236D"/>
    <w:rsid w:val="79CA12B0"/>
    <w:rsid w:val="7A761A33"/>
    <w:rsid w:val="7E34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2843</Words>
  <Characters>3026</Characters>
  <Lines>0</Lines>
  <Paragraphs>0</Paragraphs>
  <TotalTime>43</TotalTime>
  <ScaleCrop>false</ScaleCrop>
  <LinksUpToDate>false</LinksUpToDate>
  <CharactersWithSpaces>3065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2022-04-02T02:43:00Z</dcterms:created>
  <dc:creator>Administrator</dc:creator>
  <cp:lastModifiedBy>Administrator</cp:lastModifiedBy>
  <cp:lastPrinted>2022-04-18T03:39:00Z</cp:lastPrinted>
  <dcterms:modified xsi:type="dcterms:W3CDTF">2022-08-01T02:27:37Z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332B2468B0A44B8D9974960DEA42B5CF</vt:lpwstr>
  </property>
</Properties>
</file>