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rPr>
          <w:rFonts w:ascii="黑体" w:eastAsia="黑体"/>
          <w:sz w:val="44"/>
          <w:szCs w:val="44"/>
        </w:rPr>
      </w:pPr>
    </w:p>
    <w:p>
      <w:pPr>
        <w:ind w:firstLine="221" w:firstLineChar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辰溪县住房保障服务中心2019年部门整体支出绩效评价报告</w:t>
      </w:r>
    </w:p>
    <w:p>
      <w:pPr>
        <w:spacing w:line="560" w:lineRule="exact"/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为提高部门整体支出绩效评价质量，强化绩效管理。根据《辰溪县财政局关于加强部门预算绩效管理和绩效运行监控的通知》（辰财绩〔</w:t>
      </w:r>
      <w:r>
        <w:rPr>
          <w:rFonts w:ascii="仿宋" w:hAnsi="仿宋" w:eastAsia="仿宋"/>
          <w:sz w:val="30"/>
          <w:szCs w:val="30"/>
        </w:rPr>
        <w:t>2019</w:t>
      </w:r>
      <w:r>
        <w:rPr>
          <w:rFonts w:hint="eastAsia" w:ascii="仿宋" w:hAnsi="仿宋" w:eastAsia="仿宋"/>
          <w:sz w:val="30"/>
          <w:szCs w:val="30"/>
        </w:rPr>
        <w:t>〕153号）文件要求，我局认真组织开展自评，现将</w:t>
      </w:r>
      <w:r>
        <w:rPr>
          <w:rFonts w:ascii="仿宋" w:hAnsi="仿宋" w:eastAsia="仿宋"/>
          <w:sz w:val="30"/>
          <w:szCs w:val="30"/>
        </w:rPr>
        <w:t>2019</w:t>
      </w:r>
      <w:r>
        <w:rPr>
          <w:rFonts w:hint="eastAsia" w:ascii="仿宋" w:hAnsi="仿宋" w:eastAsia="仿宋"/>
          <w:sz w:val="30"/>
          <w:szCs w:val="30"/>
        </w:rPr>
        <w:t>年度部门预算整体绩效评价工作情况报告如下：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一、部门概况</w:t>
      </w:r>
    </w:p>
    <w:p>
      <w:pPr>
        <w:pStyle w:val="5"/>
        <w:shd w:val="clear" w:color="auto" w:fill="FFFFFF"/>
        <w:spacing w:before="0" w:beforeAutospacing="0" w:after="300" w:afterAutospacing="0" w:line="480" w:lineRule="atLeast"/>
        <w:ind w:firstLine="480"/>
        <w:rPr>
          <w:rFonts w:ascii="仿宋" w:hAnsi="仿宋" w:eastAsia="仿宋" w:cs="仿宋"/>
          <w:color w:val="313131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（一）部门职能概述 </w:t>
      </w:r>
      <w:r>
        <w:rPr>
          <w:rFonts w:hint="eastAsia" w:ascii="仿宋" w:hAnsi="仿宋" w:eastAsia="仿宋" w:cs="仿宋"/>
          <w:color w:val="313131"/>
          <w:sz w:val="30"/>
          <w:szCs w:val="30"/>
        </w:rPr>
        <w:t>1、是贯彻执行国家、省市住宅和房地产法律、法规、规章和政策，拟订城镇住房制度改革配套政策和改革方案，并组织实施，落实省、市县关于企事业单位集资建房的有关政策。2、负责房地产市场的管理和培育；负责商品房销售和预售管理工作；负责房地产咨询、评估、经纪等中介服务机构的监督管理。3、负责推动城市住房建设，指导全县住宅建设和住宅供应政策的实施；负责保障性安居工程建设管理工作；负责城乡危险房屋管理相关工作。4、负责县域内房屋白蚁防治监督管理工作。5、负责全县直管公房和公租房管理工作。6、负责全县房产执法监察工作，依法查处各类违反房产法律法规的行为。7、承办县委、县政府、县住建局交办的其他事项。</w:t>
      </w:r>
    </w:p>
    <w:p>
      <w:pPr>
        <w:pStyle w:val="5"/>
        <w:shd w:val="clear" w:color="auto" w:fill="FFFFFF"/>
        <w:spacing w:before="0" w:beforeAutospacing="0" w:after="300" w:afterAutospacing="0" w:line="480" w:lineRule="atLeast"/>
        <w:ind w:firstLine="48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（二）部门组织机构及人员情况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2019年度，我局在职工作人员46人，退休人员31人，</w:t>
      </w:r>
      <w:r>
        <w:rPr>
          <w:rFonts w:hint="eastAsia" w:ascii="仿宋" w:hAnsi="仿宋" w:eastAsia="仿宋" w:cs="仿宋"/>
          <w:color w:val="313131"/>
          <w:sz w:val="30"/>
          <w:szCs w:val="30"/>
          <w:shd w:val="clear" w:color="auto" w:fill="FFFFFF"/>
        </w:rPr>
        <w:t>内设机构为7个：即办公室、计划财务股、房管股、住房保障股、市场监管股、网签与信息办公室、危鉴与白蚁防治办公室。</w:t>
      </w:r>
    </w:p>
    <w:p>
      <w:pPr>
        <w:pStyle w:val="5"/>
        <w:shd w:val="clear" w:color="auto" w:fill="FFFFFF"/>
        <w:spacing w:before="0" w:beforeAutospacing="0" w:after="300" w:afterAutospacing="0" w:line="480" w:lineRule="atLeast"/>
        <w:ind w:firstLine="48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（三）2019年工作计划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指导思想是全面贯彻党的十九大精神以及中央、省委、市委、县委经济工作会议精神，打通去房地产库存和促进人口城镇化、棚户区改造的结合通道，加速规范房地产市场秩序，加大房地产市场监管力度，不断创新工作思路，进一步激活住房消费，加快建立我县房地产平稳健康发展的长效机制。</w:t>
      </w:r>
    </w:p>
    <w:p>
      <w:pPr>
        <w:spacing w:line="5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（四）固定资产情况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</w:t>
      </w:r>
      <w:r>
        <w:rPr>
          <w:rFonts w:ascii="仿宋" w:hAnsi="仿宋" w:eastAsia="仿宋"/>
          <w:sz w:val="30"/>
          <w:szCs w:val="30"/>
        </w:rPr>
        <w:t>2019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月底，我局固定资产期末账面数原值479万元，累计折旧243万元，净值236万元.其中：土地、房屋及构筑物325.9万元, 占68%；通用设备64.1万元，占13%；专用设备1.3万元；家具、用具、装具49.7万元，占10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。无形资产期末账面数原值38万元，累计折旧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万元，净值0万元。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二、部门整体支出管理及使用情况</w:t>
      </w:r>
    </w:p>
    <w:p>
      <w:pPr>
        <w:spacing w:line="560" w:lineRule="exact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（一）年度部门预算安排及支出情况</w:t>
      </w:r>
    </w:p>
    <w:p>
      <w:pPr>
        <w:spacing w:line="560" w:lineRule="exact"/>
        <w:ind w:firstLine="590" w:firstLineChars="196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1.收入支出预算安排情况</w:t>
      </w:r>
    </w:p>
    <w:p>
      <w:pPr>
        <w:widowControl/>
        <w:shd w:val="clear" w:color="auto" w:fill="FFFFFF"/>
        <w:spacing w:line="469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2019年一般公共预算财政拨款收入预算总额为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788.25</w:t>
      </w:r>
      <w:r>
        <w:rPr>
          <w:rFonts w:hint="eastAsia" w:ascii="仿宋" w:hAnsi="仿宋" w:eastAsia="仿宋" w:cs="仿宋"/>
          <w:sz w:val="30"/>
          <w:szCs w:val="30"/>
        </w:rPr>
        <w:t>万元，收入预算总额较2018年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减少147.8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主要是：收费项目取消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2019年一般公共预算财政拨款支出预算总额为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788.25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较2018年减少147.8万元，主要是工作人员减少。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</w:t>
      </w:r>
    </w:p>
    <w:p>
      <w:pPr>
        <w:spacing w:line="56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2.收入支出预算执行情况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2019年一般公共预算财政拨款收入决算总额为760.76万元，其中：当年财政拨款收入676.77万元，年初财政拨款结转376.64万元。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2019年一般公共预算财政拨款支出决算总额为829.2万元，全部为基本支出。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财政拨款支出主要用于我局正常运转、完成日常工作任务。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基本支出829.2万元，是用于我局日常支出，包括基本工资、津贴补贴等人员经费以及办公费、印刷费、水电费、办公设备购置等日常公用经费。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（二）资金收支及结余情况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2019年度收入760.76万元，上年度年末结转和结余231.77万元，2019年支出676.77万元，本年度年末结转和结余431.04万元。</w:t>
      </w:r>
    </w:p>
    <w:p>
      <w:pPr>
        <w:spacing w:line="56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hint="eastAsia" w:ascii="仿宋" w:hAnsi="仿宋" w:eastAsia="仿宋"/>
          <w:sz w:val="30"/>
          <w:szCs w:val="30"/>
        </w:rPr>
        <w:t>、部门职责履行情况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根据年初预算安排和实际工作开展情况，我局全面完成了各项工作，在三公经费支出方面较上年度比有大幅度下降，厉行节约，行政办公经费支出方面也有所下降，年终结转和结余资金较上年度也有所提高。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四、评价结论及建议</w:t>
      </w:r>
    </w:p>
    <w:p>
      <w:pPr>
        <w:ind w:firstLine="590" w:firstLineChars="196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（一）评价结论</w:t>
      </w:r>
    </w:p>
    <w:p>
      <w:pPr>
        <w:spacing w:line="560" w:lineRule="exact"/>
        <w:ind w:left="359" w:leftChars="171"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ascii="仿宋" w:hAnsi="仿宋" w:eastAsia="仿宋" w:cs="宋体"/>
          <w:bCs/>
          <w:sz w:val="30"/>
          <w:szCs w:val="30"/>
        </w:rPr>
        <w:t>2019</w:t>
      </w:r>
      <w:r>
        <w:rPr>
          <w:rFonts w:hint="eastAsia" w:ascii="仿宋" w:hAnsi="仿宋" w:eastAsia="仿宋" w:cs="宋体"/>
          <w:bCs/>
          <w:sz w:val="30"/>
          <w:szCs w:val="30"/>
        </w:rPr>
        <w:t>年，我局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。全年基本支出保证了部门的正常运行和日常工作的正常开展，达到预期绩效目标。</w:t>
      </w:r>
    </w:p>
    <w:p>
      <w:pPr>
        <w:spacing w:line="560" w:lineRule="exact"/>
        <w:ind w:firstLine="590" w:firstLineChars="196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（二）存在问题</w:t>
      </w:r>
    </w:p>
    <w:p>
      <w:pPr>
        <w:spacing w:line="560" w:lineRule="exact"/>
        <w:ind w:firstLine="885" w:firstLineChars="295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ascii="仿宋" w:hAnsi="仿宋" w:eastAsia="仿宋" w:cs="宋体"/>
          <w:bCs/>
          <w:sz w:val="30"/>
          <w:szCs w:val="30"/>
        </w:rPr>
        <w:t>1.</w:t>
      </w:r>
      <w:r>
        <w:rPr>
          <w:rFonts w:hint="eastAsia" w:ascii="仿宋" w:hAnsi="仿宋" w:eastAsia="仿宋" w:cs="宋体"/>
          <w:bCs/>
          <w:sz w:val="30"/>
          <w:szCs w:val="30"/>
        </w:rPr>
        <w:t>绩效目标设立不够明确、细化和量化。项目单位虽然设立了项目资金绩效目标，但目标不够明确、细化和量化。</w:t>
      </w:r>
    </w:p>
    <w:p>
      <w:pPr>
        <w:spacing w:line="560" w:lineRule="exact"/>
        <w:ind w:left="359" w:leftChars="171"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ascii="仿宋" w:hAnsi="仿宋" w:eastAsia="仿宋" w:cs="宋体"/>
          <w:bCs/>
          <w:sz w:val="30"/>
          <w:szCs w:val="30"/>
        </w:rPr>
        <w:t>2.</w:t>
      </w:r>
      <w:r>
        <w:rPr>
          <w:rFonts w:hint="eastAsia" w:ascii="仿宋" w:hAnsi="仿宋" w:eastAsia="仿宋" w:cs="宋体"/>
          <w:bCs/>
          <w:sz w:val="30"/>
          <w:szCs w:val="30"/>
        </w:rPr>
        <w:t>资金使用效益有待进一步提高。</w:t>
      </w:r>
    </w:p>
    <w:p>
      <w:pPr>
        <w:spacing w:line="560" w:lineRule="exact"/>
        <w:ind w:firstLine="590" w:firstLineChars="196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（三）改进建议</w:t>
      </w:r>
    </w:p>
    <w:p>
      <w:pPr>
        <w:spacing w:line="560" w:lineRule="exact"/>
        <w:ind w:left="359" w:leftChars="171"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ascii="仿宋" w:hAnsi="仿宋" w:eastAsia="仿宋" w:cs="宋体"/>
          <w:bCs/>
          <w:sz w:val="30"/>
          <w:szCs w:val="30"/>
        </w:rPr>
        <w:t>1.</w:t>
      </w:r>
      <w:r>
        <w:rPr>
          <w:rFonts w:hint="eastAsia" w:ascii="仿宋" w:hAnsi="仿宋" w:eastAsia="仿宋" w:cs="宋体"/>
          <w:bCs/>
          <w:sz w:val="30"/>
          <w:szCs w:val="30"/>
        </w:rPr>
        <w:t>加强单位预算编制工作，根据人员情况、业务开展需要，逐项做出预算计划，预算合理、不留缺口、不留空项。</w:t>
      </w:r>
    </w:p>
    <w:p>
      <w:pPr>
        <w:spacing w:line="560" w:lineRule="exact"/>
        <w:ind w:left="359" w:leftChars="171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加强业务培训，提高评价水平。部门整体绩效评价工作是一项长期性的工作，专业性强，工作量大，建议财政部门进一步加强开展部门领导及经办人员相关的政策、业务工作培训，组织开展部门之间、单位之间的经验交流，切实推进绩效评价工作的开展。</w:t>
      </w:r>
    </w:p>
    <w:p>
      <w:pPr>
        <w:spacing w:line="560" w:lineRule="exact"/>
        <w:ind w:left="359" w:leftChars="171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预算财务分析常态化，定期做好预算支出财务分析，做好部门整体支出预算评价工作。</w:t>
      </w:r>
    </w:p>
    <w:p>
      <w:pPr>
        <w:spacing w:line="560" w:lineRule="exact"/>
        <w:ind w:left="36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辰溪县住房保障服务中心</w:t>
      </w:r>
    </w:p>
    <w:p>
      <w:pPr>
        <w:spacing w:line="560" w:lineRule="exact"/>
        <w:ind w:left="359" w:leftChars="171"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月23日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01"/>
    <w:rsid w:val="00065887"/>
    <w:rsid w:val="00104170"/>
    <w:rsid w:val="001270DF"/>
    <w:rsid w:val="0013168B"/>
    <w:rsid w:val="00197432"/>
    <w:rsid w:val="001A407A"/>
    <w:rsid w:val="001D6D7B"/>
    <w:rsid w:val="00231DA2"/>
    <w:rsid w:val="00235474"/>
    <w:rsid w:val="002428E6"/>
    <w:rsid w:val="002716D4"/>
    <w:rsid w:val="002A38D4"/>
    <w:rsid w:val="002D1551"/>
    <w:rsid w:val="003611F8"/>
    <w:rsid w:val="003D31DF"/>
    <w:rsid w:val="0040647A"/>
    <w:rsid w:val="004378F0"/>
    <w:rsid w:val="00443070"/>
    <w:rsid w:val="00477D72"/>
    <w:rsid w:val="004B7337"/>
    <w:rsid w:val="004C072F"/>
    <w:rsid w:val="00503195"/>
    <w:rsid w:val="00561723"/>
    <w:rsid w:val="0056354C"/>
    <w:rsid w:val="00570C33"/>
    <w:rsid w:val="00580BBE"/>
    <w:rsid w:val="005F781E"/>
    <w:rsid w:val="00610938"/>
    <w:rsid w:val="00632FD7"/>
    <w:rsid w:val="00662241"/>
    <w:rsid w:val="00690136"/>
    <w:rsid w:val="0069312E"/>
    <w:rsid w:val="00695417"/>
    <w:rsid w:val="006F090C"/>
    <w:rsid w:val="00700BB3"/>
    <w:rsid w:val="00723F9A"/>
    <w:rsid w:val="0075021A"/>
    <w:rsid w:val="0075516A"/>
    <w:rsid w:val="00851796"/>
    <w:rsid w:val="008862D1"/>
    <w:rsid w:val="008A3D88"/>
    <w:rsid w:val="00906496"/>
    <w:rsid w:val="00926386"/>
    <w:rsid w:val="00937B4A"/>
    <w:rsid w:val="0094459E"/>
    <w:rsid w:val="00952583"/>
    <w:rsid w:val="00976CC1"/>
    <w:rsid w:val="00A42340"/>
    <w:rsid w:val="00A96085"/>
    <w:rsid w:val="00B41846"/>
    <w:rsid w:val="00B4271E"/>
    <w:rsid w:val="00B77F9A"/>
    <w:rsid w:val="00BF0605"/>
    <w:rsid w:val="00C8469A"/>
    <w:rsid w:val="00CA051A"/>
    <w:rsid w:val="00CE0232"/>
    <w:rsid w:val="00DA32D6"/>
    <w:rsid w:val="00DE7DF5"/>
    <w:rsid w:val="00E12A01"/>
    <w:rsid w:val="00E53E34"/>
    <w:rsid w:val="00E57B80"/>
    <w:rsid w:val="00E6529A"/>
    <w:rsid w:val="00EB4CDB"/>
    <w:rsid w:val="00EC76EB"/>
    <w:rsid w:val="00F62A85"/>
    <w:rsid w:val="00F738B7"/>
    <w:rsid w:val="00FA665F"/>
    <w:rsid w:val="00FA73B6"/>
    <w:rsid w:val="00FC6378"/>
    <w:rsid w:val="00FD3DB8"/>
    <w:rsid w:val="00FF537E"/>
    <w:rsid w:val="08201BE9"/>
    <w:rsid w:val="107A16F9"/>
    <w:rsid w:val="1C9E4DA0"/>
    <w:rsid w:val="4165317C"/>
    <w:rsid w:val="4FC02409"/>
    <w:rsid w:val="7AAA7FC4"/>
    <w:rsid w:val="7FC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288</Words>
  <Characters>1642</Characters>
  <Lines>13</Lines>
  <Paragraphs>3</Paragraphs>
  <TotalTime>123</TotalTime>
  <ScaleCrop>false</ScaleCrop>
  <LinksUpToDate>false</LinksUpToDate>
  <CharactersWithSpaces>1927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2020-09-25T03:56:00Z</dcterms:created>
  <dc:creator>Administrator</dc:creator>
  <cp:lastModifiedBy>Administrator</cp:lastModifiedBy>
  <cp:lastPrinted>2020-09-27T01:44:00Z</cp:lastPrinted>
  <dcterms:modified xsi:type="dcterms:W3CDTF">2020-09-29T08:46:35Z</dcterms:modified>
  <dc:title>老干局2015年部门整体支出绩效评价报告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