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highlight w:val="yellow"/>
        </w:rPr>
      </w:pPr>
    </w:p>
    <w:p>
      <w:pPr>
        <w:spacing w:line="248" w:lineRule="auto"/>
        <w:rPr>
          <w:rFonts w:ascii="Arial"/>
          <w:sz w:val="21"/>
          <w:highlight w:val="yellow"/>
        </w:rPr>
      </w:pPr>
    </w:p>
    <w:p>
      <w:pPr>
        <w:spacing w:line="248" w:lineRule="auto"/>
        <w:rPr>
          <w:rFonts w:ascii="Arial"/>
          <w:sz w:val="21"/>
          <w:highlight w:val="yellow"/>
        </w:rPr>
      </w:pPr>
    </w:p>
    <w:p>
      <w:pPr>
        <w:spacing w:line="248" w:lineRule="auto"/>
        <w:rPr>
          <w:rFonts w:ascii="Arial"/>
          <w:sz w:val="21"/>
          <w:highlight w:val="yellow"/>
        </w:rPr>
      </w:pPr>
    </w:p>
    <w:p>
      <w:pPr>
        <w:spacing w:line="248" w:lineRule="auto"/>
        <w:rPr>
          <w:rFonts w:ascii="Arial"/>
          <w:sz w:val="21"/>
          <w:highlight w:val="yellow"/>
        </w:rPr>
      </w:pPr>
    </w:p>
    <w:p>
      <w:pPr>
        <w:spacing w:line="249" w:lineRule="auto"/>
        <w:rPr>
          <w:rFonts w:ascii="Arial"/>
          <w:sz w:val="21"/>
          <w:highlight w:val="yellow"/>
        </w:rPr>
      </w:pPr>
    </w:p>
    <w:p>
      <w:pPr>
        <w:widowControl w:val="0"/>
        <w:kinsoku/>
        <w:autoSpaceDE/>
        <w:autoSpaceDN/>
        <w:adjustRightInd w:val="0"/>
        <w:snapToGrid w:val="0"/>
        <w:spacing w:before="192" w:beforeLines="80" w:line="240" w:lineRule="auto"/>
        <w:jc w:val="center"/>
        <w:textAlignment w:val="auto"/>
        <w:rPr>
          <w:rFonts w:ascii="Times New Roman" w:hAnsi="Times New Roman" w:eastAsia="仿宋" w:cs="Times New Roman"/>
          <w:b/>
          <w:bCs w:val="0"/>
          <w:snapToGrid/>
          <w:kern w:val="2"/>
          <w:sz w:val="72"/>
          <w:szCs w:val="72"/>
          <w:lang w:val="en-US" w:eastAsia="zh-CN" w:bidi="ar-SA"/>
        </w:rPr>
      </w:pPr>
      <w:bookmarkStart w:id="0" w:name="_Toc12026"/>
      <w:r>
        <w:rPr>
          <w:rFonts w:ascii="Times New Roman" w:hAnsi="Times New Roman" w:eastAsia="仿宋" w:cs="Times New Roman"/>
          <w:b/>
          <w:bCs w:val="0"/>
          <w:snapToGrid/>
          <w:kern w:val="2"/>
          <w:sz w:val="72"/>
          <w:szCs w:val="72"/>
          <w:lang w:val="en-US" w:eastAsia="zh-CN" w:bidi="ar-SA"/>
        </w:rPr>
        <w:t>建设项目环境影响报告表</w:t>
      </w:r>
      <w:bookmarkEnd w:id="0"/>
    </w:p>
    <w:p>
      <w:pPr>
        <w:widowControl w:val="0"/>
        <w:kinsoku/>
        <w:autoSpaceDE/>
        <w:autoSpaceDN/>
        <w:adjustRightInd w:val="0"/>
        <w:snapToGrid w:val="0"/>
        <w:spacing w:before="192" w:beforeLines="80" w:line="240" w:lineRule="auto"/>
        <w:jc w:val="center"/>
        <w:textAlignment w:val="auto"/>
        <w:rPr>
          <w:rFonts w:ascii="Times New Roman" w:hAnsi="Times New Roman" w:eastAsia="仿宋" w:cs="Times New Roman"/>
          <w:bCs/>
          <w:snapToGrid/>
          <w:kern w:val="2"/>
          <w:sz w:val="48"/>
          <w:szCs w:val="48"/>
          <w:lang w:val="en-US" w:eastAsia="zh-CN" w:bidi="ar-SA"/>
        </w:rPr>
      </w:pPr>
      <w:r>
        <w:rPr>
          <w:rFonts w:hint="eastAsia" w:ascii="Times New Roman" w:hAnsi="Times New Roman" w:eastAsia="仿宋" w:cs="Times New Roman"/>
          <w:bCs/>
          <w:snapToGrid/>
          <w:kern w:val="2"/>
          <w:sz w:val="48"/>
          <w:szCs w:val="48"/>
          <w:lang w:val="en-US" w:eastAsia="zh-CN" w:bidi="ar-SA"/>
        </w:rPr>
        <w:t>（</w:t>
      </w:r>
      <w:r>
        <w:rPr>
          <w:rFonts w:ascii="Times New Roman" w:hAnsi="Times New Roman" w:eastAsia="仿宋" w:cs="Times New Roman"/>
          <w:bCs/>
          <w:snapToGrid/>
          <w:kern w:val="2"/>
          <w:sz w:val="48"/>
          <w:szCs w:val="48"/>
          <w:lang w:val="en-US" w:eastAsia="zh-CN" w:bidi="ar-SA"/>
        </w:rPr>
        <w:t>污染影响类</w:t>
      </w:r>
      <w:r>
        <w:rPr>
          <w:rFonts w:hint="eastAsia" w:ascii="Times New Roman" w:hAnsi="Times New Roman" w:eastAsia="仿宋" w:cs="Times New Roman"/>
          <w:bCs/>
          <w:snapToGrid/>
          <w:kern w:val="2"/>
          <w:sz w:val="48"/>
          <w:szCs w:val="48"/>
          <w:lang w:val="en-US" w:eastAsia="zh-CN" w:bidi="ar-SA"/>
        </w:rPr>
        <w:t>）</w:t>
      </w:r>
    </w:p>
    <w:p>
      <w:pPr>
        <w:spacing w:line="251" w:lineRule="auto"/>
        <w:rPr>
          <w:rFonts w:ascii="Arial"/>
          <w:sz w:val="21"/>
          <w:highlight w:val="yellow"/>
        </w:rPr>
      </w:pPr>
    </w:p>
    <w:p>
      <w:pPr>
        <w:spacing w:line="251" w:lineRule="auto"/>
        <w:rPr>
          <w:rFonts w:ascii="Arial"/>
          <w:sz w:val="21"/>
          <w:highlight w:val="yellow"/>
        </w:rPr>
      </w:pPr>
    </w:p>
    <w:p>
      <w:pPr>
        <w:spacing w:line="251" w:lineRule="auto"/>
        <w:rPr>
          <w:rFonts w:ascii="Arial"/>
          <w:sz w:val="21"/>
          <w:highlight w:val="yellow"/>
        </w:rPr>
      </w:pPr>
    </w:p>
    <w:p>
      <w:pPr>
        <w:spacing w:line="251" w:lineRule="auto"/>
        <w:rPr>
          <w:rFonts w:ascii="Arial"/>
          <w:sz w:val="21"/>
          <w:highlight w:val="yellow"/>
        </w:rPr>
      </w:pPr>
    </w:p>
    <w:p>
      <w:pPr>
        <w:spacing w:line="251" w:lineRule="auto"/>
        <w:rPr>
          <w:rFonts w:ascii="Arial"/>
          <w:sz w:val="21"/>
          <w:highlight w:val="yellow"/>
        </w:rPr>
      </w:pPr>
    </w:p>
    <w:p>
      <w:pPr>
        <w:spacing w:line="251" w:lineRule="auto"/>
        <w:rPr>
          <w:rFonts w:ascii="Arial"/>
          <w:sz w:val="21"/>
          <w:highlight w:val="yellow"/>
        </w:rPr>
      </w:pPr>
    </w:p>
    <w:p>
      <w:pPr>
        <w:spacing w:line="251" w:lineRule="auto"/>
        <w:rPr>
          <w:rFonts w:ascii="Arial"/>
          <w:sz w:val="21"/>
          <w:highlight w:val="yellow"/>
        </w:rPr>
      </w:pPr>
    </w:p>
    <w:p>
      <w:pPr>
        <w:spacing w:line="252" w:lineRule="auto"/>
        <w:rPr>
          <w:rFonts w:ascii="Arial"/>
          <w:sz w:val="21"/>
          <w:highlight w:val="yellow"/>
        </w:rPr>
      </w:pPr>
    </w:p>
    <w:p>
      <w:pPr>
        <w:spacing w:line="252" w:lineRule="auto"/>
        <w:rPr>
          <w:rFonts w:ascii="Arial"/>
          <w:sz w:val="21"/>
          <w:highlight w:val="yellow"/>
        </w:rPr>
      </w:pPr>
    </w:p>
    <w:p>
      <w:pPr>
        <w:spacing w:line="252" w:lineRule="auto"/>
        <w:rPr>
          <w:rFonts w:ascii="Arial"/>
          <w:sz w:val="21"/>
          <w:highlight w:val="yellow"/>
        </w:rPr>
      </w:pPr>
    </w:p>
    <w:p>
      <w:pPr>
        <w:spacing w:line="252" w:lineRule="auto"/>
        <w:rPr>
          <w:rFonts w:ascii="Arial"/>
          <w:sz w:val="21"/>
          <w:highlight w:val="yellow"/>
        </w:rPr>
      </w:pPr>
    </w:p>
    <w:p>
      <w:pPr>
        <w:spacing w:line="252" w:lineRule="auto"/>
        <w:rPr>
          <w:rFonts w:ascii="Arial"/>
          <w:sz w:val="21"/>
          <w:highlight w:val="yellow"/>
        </w:rPr>
      </w:pPr>
    </w:p>
    <w:p>
      <w:pPr>
        <w:spacing w:line="252" w:lineRule="auto"/>
        <w:rPr>
          <w:rFonts w:ascii="Arial"/>
          <w:sz w:val="21"/>
          <w:highlight w:val="yellow"/>
        </w:rPr>
      </w:pPr>
    </w:p>
    <w:p>
      <w:pPr>
        <w:spacing w:line="252" w:lineRule="auto"/>
        <w:rPr>
          <w:rFonts w:ascii="Arial"/>
          <w:sz w:val="21"/>
          <w:highlight w:val="yellow"/>
        </w:rPr>
      </w:pPr>
    </w:p>
    <w:p>
      <w:pPr>
        <w:spacing w:before="101" w:line="224" w:lineRule="auto"/>
        <w:ind w:left="2"/>
        <w:rPr>
          <w:rFonts w:ascii="宋体" w:hAnsi="宋体" w:eastAsia="宋体" w:cs="宋体"/>
          <w:sz w:val="31"/>
          <w:szCs w:val="31"/>
          <w:highlight w:val="yellow"/>
        </w:rPr>
      </w:pPr>
      <w:r>
        <w:rPr>
          <w:rFonts w:ascii="Times New Roman" w:hAnsi="Times New Roman" w:eastAsia="仿宋" w:cs="Times New Roman"/>
          <w:snapToGrid/>
          <w:kern w:val="2"/>
          <w:sz w:val="36"/>
          <w:szCs w:val="36"/>
          <w:lang w:val="en-US" w:eastAsia="zh-CN" w:bidi="ar-SA"/>
        </w:rPr>
        <w:t>项目名称：</w:t>
      </w:r>
      <w:r>
        <w:rPr>
          <w:rFonts w:hint="default" w:ascii="Times New Roman" w:hAnsi="Times New Roman" w:eastAsia="仿宋" w:cs="Times New Roman"/>
          <w:snapToGrid/>
          <w:kern w:val="2"/>
          <w:sz w:val="36"/>
          <w:szCs w:val="36"/>
          <w:u w:val="single"/>
          <w:lang w:val="en-US" w:eastAsia="zh-CN" w:bidi="ar-SA"/>
        </w:rPr>
        <w:t>辰溪县鼎鸿建材有限公司商品混凝土搅拌站</w:t>
      </w:r>
    </w:p>
    <w:p>
      <w:pPr>
        <w:spacing w:before="247" w:line="225" w:lineRule="auto"/>
        <w:ind w:left="1"/>
        <w:rPr>
          <w:rFonts w:ascii="宋体" w:hAnsi="宋体" w:eastAsia="宋体" w:cs="宋体"/>
          <w:sz w:val="31"/>
          <w:szCs w:val="31"/>
          <w:highlight w:val="yellow"/>
        </w:rPr>
      </w:pPr>
      <w:r>
        <w:rPr>
          <w:rFonts w:ascii="Times New Roman" w:hAnsi="Times New Roman" w:eastAsia="仿宋" w:cs="Times New Roman"/>
          <w:snapToGrid/>
          <w:kern w:val="2"/>
          <w:sz w:val="36"/>
          <w:szCs w:val="36"/>
          <w:lang w:val="en-US" w:eastAsia="zh-CN" w:bidi="ar-SA"/>
        </w:rPr>
        <w:t>建设单位：</w:t>
      </w:r>
      <w:r>
        <w:rPr>
          <w:rFonts w:hint="default" w:ascii="Times New Roman" w:hAnsi="Times New Roman" w:eastAsia="仿宋" w:cs="Times New Roman"/>
          <w:snapToGrid/>
          <w:kern w:val="2"/>
          <w:sz w:val="36"/>
          <w:szCs w:val="36"/>
          <w:u w:val="single"/>
          <w:lang w:val="en-US" w:eastAsia="zh-CN" w:bidi="ar-SA"/>
        </w:rPr>
        <w:t xml:space="preserve">  </w:t>
      </w:r>
      <w:r>
        <w:rPr>
          <w:rFonts w:hint="eastAsia" w:ascii="Times New Roman" w:hAnsi="Times New Roman" w:eastAsia="仿宋" w:cs="Times New Roman"/>
          <w:snapToGrid/>
          <w:kern w:val="2"/>
          <w:sz w:val="36"/>
          <w:szCs w:val="36"/>
          <w:u w:val="single"/>
          <w:lang w:val="en-US" w:eastAsia="zh-CN" w:bidi="ar-SA"/>
        </w:rPr>
        <w:t xml:space="preserve">    </w:t>
      </w:r>
      <w:r>
        <w:rPr>
          <w:rFonts w:hint="default" w:ascii="Times New Roman" w:hAnsi="Times New Roman" w:eastAsia="仿宋" w:cs="Times New Roman"/>
          <w:snapToGrid/>
          <w:kern w:val="2"/>
          <w:sz w:val="36"/>
          <w:szCs w:val="36"/>
          <w:u w:val="single"/>
          <w:lang w:val="en-US" w:eastAsia="zh-CN" w:bidi="ar-SA"/>
        </w:rPr>
        <w:t xml:space="preserve">   </w:t>
      </w:r>
      <w:r>
        <w:rPr>
          <w:rFonts w:hint="eastAsia" w:ascii="Times New Roman" w:hAnsi="Times New Roman" w:eastAsia="仿宋" w:cs="Times New Roman"/>
          <w:snapToGrid/>
          <w:kern w:val="2"/>
          <w:sz w:val="36"/>
          <w:szCs w:val="36"/>
          <w:u w:val="single"/>
          <w:lang w:val="en-US" w:eastAsia="zh-CN" w:bidi="ar-SA"/>
        </w:rPr>
        <w:t xml:space="preserve">  </w:t>
      </w:r>
      <w:r>
        <w:rPr>
          <w:rFonts w:hint="default" w:ascii="Times New Roman" w:hAnsi="Times New Roman" w:eastAsia="仿宋" w:cs="Times New Roman"/>
          <w:snapToGrid/>
          <w:kern w:val="2"/>
          <w:sz w:val="36"/>
          <w:szCs w:val="36"/>
          <w:u w:val="single"/>
          <w:lang w:val="en-US" w:eastAsia="zh-CN" w:bidi="ar-SA"/>
        </w:rPr>
        <w:t xml:space="preserve"> </w:t>
      </w:r>
      <w:r>
        <w:rPr>
          <w:rFonts w:hint="eastAsia" w:ascii="Times New Roman" w:hAnsi="Times New Roman" w:eastAsia="仿宋" w:cs="Times New Roman"/>
          <w:snapToGrid/>
          <w:kern w:val="2"/>
          <w:sz w:val="36"/>
          <w:szCs w:val="36"/>
          <w:u w:val="single"/>
          <w:lang w:val="en-US" w:eastAsia="zh-CN" w:bidi="ar-SA"/>
        </w:rPr>
        <w:t xml:space="preserve"> </w:t>
      </w:r>
      <w:r>
        <w:rPr>
          <w:rFonts w:hint="default" w:ascii="Times New Roman" w:hAnsi="Times New Roman" w:eastAsia="仿宋" w:cs="Times New Roman"/>
          <w:snapToGrid/>
          <w:kern w:val="2"/>
          <w:sz w:val="36"/>
          <w:szCs w:val="36"/>
          <w:u w:val="single"/>
          <w:lang w:val="en-US" w:eastAsia="zh-CN" w:bidi="ar-SA"/>
        </w:rPr>
        <w:t xml:space="preserve">  辰溪县鼎鸿建材有限公司   </w:t>
      </w:r>
      <w:r>
        <w:rPr>
          <w:rFonts w:hint="eastAsia" w:ascii="Times New Roman" w:hAnsi="Times New Roman" w:eastAsia="仿宋" w:cs="Times New Roman"/>
          <w:snapToGrid/>
          <w:kern w:val="2"/>
          <w:sz w:val="36"/>
          <w:szCs w:val="36"/>
          <w:u w:val="single"/>
          <w:lang w:val="en-US" w:eastAsia="zh-CN" w:bidi="ar-SA"/>
        </w:rPr>
        <w:t xml:space="preserve">       </w:t>
      </w:r>
      <w:r>
        <w:rPr>
          <w:rFonts w:hint="default" w:ascii="Times New Roman" w:hAnsi="Times New Roman" w:eastAsia="仿宋" w:cs="Times New Roman"/>
          <w:snapToGrid/>
          <w:kern w:val="2"/>
          <w:sz w:val="36"/>
          <w:szCs w:val="36"/>
          <w:u w:val="single"/>
          <w:lang w:val="en-US" w:eastAsia="zh-CN" w:bidi="ar-SA"/>
        </w:rPr>
        <w:t xml:space="preserve">     </w:t>
      </w:r>
    </w:p>
    <w:p>
      <w:pPr>
        <w:spacing w:before="243" w:line="225" w:lineRule="auto"/>
        <w:rPr>
          <w:rFonts w:ascii="宋体" w:hAnsi="宋体" w:eastAsia="宋体" w:cs="宋体"/>
          <w:sz w:val="31"/>
          <w:szCs w:val="31"/>
          <w:highlight w:val="yellow"/>
        </w:rPr>
      </w:pPr>
      <w:r>
        <w:rPr>
          <w:rFonts w:ascii="Times New Roman" w:hAnsi="Times New Roman" w:eastAsia="仿宋" w:cs="Times New Roman"/>
          <w:snapToGrid/>
          <w:kern w:val="2"/>
          <w:sz w:val="36"/>
          <w:szCs w:val="36"/>
          <w:lang w:val="en-US" w:eastAsia="zh-CN" w:bidi="ar-SA"/>
        </w:rPr>
        <w:t>编制日期：</w:t>
      </w:r>
      <w:r>
        <w:rPr>
          <w:rFonts w:hint="default" w:ascii="Times New Roman" w:hAnsi="Times New Roman" w:eastAsia="仿宋" w:cs="Times New Roman"/>
          <w:snapToGrid/>
          <w:kern w:val="2"/>
          <w:sz w:val="36"/>
          <w:szCs w:val="36"/>
          <w:u w:val="single"/>
          <w:lang w:val="en-US" w:eastAsia="zh-CN" w:bidi="ar-SA"/>
        </w:rPr>
        <w:t xml:space="preserve">                               2022 年 </w:t>
      </w:r>
      <w:r>
        <w:rPr>
          <w:rFonts w:hint="eastAsia" w:ascii="Times New Roman" w:hAnsi="Times New Roman" w:eastAsia="仿宋" w:cs="Times New Roman"/>
          <w:snapToGrid/>
          <w:kern w:val="2"/>
          <w:sz w:val="36"/>
          <w:szCs w:val="36"/>
          <w:u w:val="single"/>
          <w:lang w:val="en-US" w:eastAsia="zh-CN" w:bidi="ar-SA"/>
        </w:rPr>
        <w:t>9</w:t>
      </w:r>
      <w:r>
        <w:rPr>
          <w:rFonts w:hint="default" w:ascii="Times New Roman" w:hAnsi="Times New Roman" w:eastAsia="仿宋" w:cs="Times New Roman"/>
          <w:snapToGrid/>
          <w:kern w:val="2"/>
          <w:sz w:val="36"/>
          <w:szCs w:val="36"/>
          <w:u w:val="single"/>
          <w:lang w:val="en-US" w:eastAsia="zh-CN" w:bidi="ar-SA"/>
        </w:rPr>
        <w:t xml:space="preserve"> 月        </w:t>
      </w:r>
      <w:r>
        <w:rPr>
          <w:rFonts w:hint="eastAsia" w:ascii="Times New Roman" w:hAnsi="Times New Roman" w:eastAsia="仿宋" w:cs="Times New Roman"/>
          <w:snapToGrid/>
          <w:kern w:val="2"/>
          <w:sz w:val="36"/>
          <w:szCs w:val="36"/>
          <w:u w:val="single"/>
          <w:lang w:val="en-US" w:eastAsia="zh-CN" w:bidi="ar-SA"/>
        </w:rPr>
        <w:t xml:space="preserve">     </w:t>
      </w:r>
      <w:r>
        <w:rPr>
          <w:rFonts w:hint="default" w:ascii="Times New Roman" w:hAnsi="Times New Roman" w:eastAsia="仿宋" w:cs="Times New Roman"/>
          <w:snapToGrid/>
          <w:kern w:val="2"/>
          <w:sz w:val="36"/>
          <w:szCs w:val="36"/>
          <w:u w:val="single"/>
          <w:lang w:val="en-US" w:eastAsia="zh-CN" w:bidi="ar-SA"/>
        </w:rPr>
        <w:t xml:space="preserve">         </w:t>
      </w:r>
    </w:p>
    <w:p>
      <w:pPr>
        <w:spacing w:line="279" w:lineRule="auto"/>
        <w:rPr>
          <w:rFonts w:ascii="Arial"/>
          <w:sz w:val="21"/>
          <w:highlight w:val="yellow"/>
        </w:rPr>
      </w:pPr>
    </w:p>
    <w:p>
      <w:pPr>
        <w:spacing w:line="279" w:lineRule="auto"/>
        <w:rPr>
          <w:rFonts w:ascii="Arial"/>
          <w:sz w:val="21"/>
          <w:highlight w:val="yellow"/>
        </w:rPr>
      </w:pPr>
    </w:p>
    <w:p>
      <w:pPr>
        <w:spacing w:line="280" w:lineRule="auto"/>
        <w:rPr>
          <w:rFonts w:ascii="Arial"/>
          <w:sz w:val="21"/>
          <w:highlight w:val="yellow"/>
        </w:rPr>
      </w:pPr>
    </w:p>
    <w:p>
      <w:pPr>
        <w:spacing w:line="280" w:lineRule="auto"/>
        <w:rPr>
          <w:rFonts w:ascii="Arial"/>
          <w:sz w:val="21"/>
          <w:highlight w:val="yellow"/>
        </w:rPr>
      </w:pPr>
    </w:p>
    <w:p>
      <w:pPr>
        <w:spacing w:line="280" w:lineRule="auto"/>
        <w:rPr>
          <w:rFonts w:ascii="Arial"/>
          <w:sz w:val="21"/>
          <w:highlight w:val="yellow"/>
        </w:rPr>
      </w:pPr>
    </w:p>
    <w:p>
      <w:pPr>
        <w:spacing w:line="280" w:lineRule="auto"/>
        <w:rPr>
          <w:rFonts w:ascii="Arial"/>
          <w:sz w:val="21"/>
          <w:highlight w:val="yellow"/>
        </w:rPr>
      </w:pPr>
    </w:p>
    <w:p>
      <w:pPr>
        <w:widowControl w:val="0"/>
        <w:kinsoku/>
        <w:autoSpaceDE/>
        <w:autoSpaceDN/>
        <w:adjustRightInd w:val="0"/>
        <w:snapToGrid w:val="0"/>
        <w:spacing w:before="192" w:beforeLines="80" w:line="240" w:lineRule="auto"/>
        <w:jc w:val="center"/>
        <w:textAlignment w:val="auto"/>
        <w:rPr>
          <w:rFonts w:ascii="Times New Roman" w:hAnsi="Times New Roman" w:eastAsia="仿宋" w:cs="Times New Roman"/>
          <w:bCs/>
          <w:snapToGrid/>
          <w:kern w:val="2"/>
          <w:sz w:val="36"/>
          <w:szCs w:val="36"/>
          <w:lang w:val="en-US" w:eastAsia="zh-CN" w:bidi="ar-SA"/>
        </w:rPr>
      </w:pPr>
      <w:bookmarkStart w:id="1" w:name="_Toc15853"/>
      <w:r>
        <w:rPr>
          <w:rFonts w:ascii="Times New Roman" w:hAnsi="Times New Roman" w:eastAsia="仿宋" w:cs="Times New Roman"/>
          <w:bCs/>
          <w:snapToGrid/>
          <w:kern w:val="2"/>
          <w:sz w:val="36"/>
          <w:szCs w:val="36"/>
          <w:lang w:val="en-US" w:eastAsia="zh-CN" w:bidi="ar-SA"/>
        </w:rPr>
        <w:t>中华人民共和国生态环境部制</w:t>
      </w:r>
      <w:bookmarkEnd w:id="1"/>
    </w:p>
    <w:p>
      <w:pPr>
        <w:rPr>
          <w:highlight w:val="yellow"/>
        </w:rPr>
        <w:sectPr>
          <w:pgSz w:w="11906" w:h="16839"/>
          <w:pgMar w:top="1431" w:right="1757" w:bottom="0" w:left="1502" w:header="0" w:footer="0" w:gutter="0"/>
          <w:pgBorders>
            <w:top w:val="none" w:sz="0" w:space="0"/>
            <w:left w:val="none" w:sz="0" w:space="0"/>
            <w:bottom w:val="none" w:sz="0" w:space="0"/>
            <w:right w:val="none" w:sz="0" w:space="0"/>
          </w:pgBorders>
          <w:cols w:space="720" w:num="1"/>
        </w:sectPr>
      </w:pPr>
    </w:p>
    <w:p>
      <w:pPr>
        <w:spacing w:line="316" w:lineRule="auto"/>
        <w:rPr>
          <w:rFonts w:ascii="Arial"/>
          <w:sz w:val="21"/>
          <w:highlight w:val="yellow"/>
        </w:rPr>
      </w:pPr>
    </w:p>
    <w:p>
      <w:pPr>
        <w:spacing w:line="317" w:lineRule="auto"/>
        <w:rPr>
          <w:rFonts w:ascii="Arial"/>
          <w:sz w:val="21"/>
          <w:highlight w:val="yellow"/>
        </w:rPr>
      </w:pPr>
    </w:p>
    <w:p>
      <w:pPr>
        <w:spacing w:line="360" w:lineRule="auto"/>
        <w:rPr>
          <w:rFonts w:ascii="Arial"/>
          <w:sz w:val="21"/>
          <w:highlight w:val="yellow"/>
        </w:rPr>
      </w:pPr>
    </w:p>
    <w:sdt>
      <w:sdtPr>
        <w:rPr>
          <w:rFonts w:hint="default" w:ascii="Times New Roman" w:hAnsi="Times New Roman" w:eastAsia="宋体" w:cs="Times New Roman"/>
          <w:snapToGrid w:val="0"/>
          <w:color w:val="000000"/>
          <w:kern w:val="0"/>
          <w:sz w:val="44"/>
          <w:szCs w:val="44"/>
        </w:rPr>
        <w:id w:val="147451383"/>
        <w15:color w:val="DBDBDB"/>
        <w:docPartObj>
          <w:docPartGallery w:val="Table of Contents"/>
          <w:docPartUnique/>
        </w:docPartObj>
      </w:sdtPr>
      <w:sdtEndPr>
        <w:rPr>
          <w:rFonts w:hint="default" w:ascii="Times New Roman" w:hAnsi="Times New Roman" w:eastAsia="宋体" w:cs="Times New Roman"/>
          <w:snapToGrid w:val="0"/>
          <w:color w:val="000000"/>
          <w:kern w:val="0"/>
          <w:sz w:val="44"/>
          <w:szCs w:val="44"/>
        </w:rPr>
      </w:sdtEndPr>
      <w:sdtContent>
        <w:p>
          <w:pPr>
            <w:spacing w:before="0" w:beforeLines="0" w:after="0" w:afterLines="0" w:line="360" w:lineRule="auto"/>
            <w:ind w:left="0" w:leftChars="0" w:right="0" w:rightChars="0" w:firstLine="0" w:firstLineChars="0"/>
            <w:jc w:val="center"/>
            <w:rPr>
              <w:rFonts w:hint="default" w:ascii="Times New Roman" w:hAnsi="Times New Roman" w:eastAsia="宋体" w:cs="Times New Roman"/>
              <w:sz w:val="44"/>
              <w:szCs w:val="44"/>
            </w:rPr>
          </w:pPr>
          <w:r>
            <w:rPr>
              <w:rFonts w:hint="default" w:ascii="Times New Roman" w:hAnsi="Times New Roman" w:eastAsia="宋体" w:cs="Times New Roman"/>
              <w:sz w:val="44"/>
              <w:szCs w:val="44"/>
            </w:rPr>
            <w:t>目录</w:t>
          </w:r>
        </w:p>
        <w:p>
          <w:pPr>
            <w:pStyle w:val="40"/>
            <w:tabs>
              <w:tab w:val="right" w:leader="dot" w:pos="9348"/>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"1-3" \h \u </w:instrText>
          </w:r>
          <w:r>
            <w:rPr>
              <w:rFonts w:hint="default" w:ascii="Times New Roman" w:hAnsi="Times New Roman" w:eastAsia="宋体" w:cs="Times New Roman"/>
              <w:sz w:val="24"/>
              <w:szCs w:val="24"/>
            </w:rPr>
            <w:fldChar w:fldCharType="separate"/>
          </w:r>
        </w:p>
        <w:p>
          <w:pPr>
            <w:pStyle w:val="40"/>
            <w:tabs>
              <w:tab w:val="right" w:leader="dot" w:pos="9348"/>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_Toc3650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pacing w:val="11"/>
              <w:sz w:val="28"/>
              <w:szCs w:val="28"/>
              <w:highlight w:val="none"/>
            </w:rPr>
            <w:t>一</w:t>
          </w:r>
          <w:r>
            <w:rPr>
              <w:rFonts w:hint="default" w:ascii="Times New Roman" w:hAnsi="Times New Roman" w:eastAsia="宋体" w:cs="Times New Roman"/>
              <w:spacing w:val="8"/>
              <w:sz w:val="28"/>
              <w:szCs w:val="28"/>
              <w:highlight w:val="none"/>
            </w:rPr>
            <w:t>、建设项目基本情况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_Toc3650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40"/>
            <w:tabs>
              <w:tab w:val="right" w:leader="dot" w:pos="9348"/>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_Toc30742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二、建设项目工程分析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_Toc30742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40"/>
            <w:tabs>
              <w:tab w:val="right" w:leader="dot" w:pos="9348"/>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_Toc17303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三、区域环境质量现状、环境保护目标及评价标准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_Toc17303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40"/>
            <w:tabs>
              <w:tab w:val="right" w:leader="dot" w:pos="9348"/>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_Toc16343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四、主要环境影响和保护措施</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_Toc16343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40"/>
            <w:tabs>
              <w:tab w:val="right" w:leader="dot" w:pos="9348"/>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_Toc29758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val="0"/>
              <w:snapToGrid w:val="0"/>
              <w:spacing w:val="7"/>
              <w:kern w:val="0"/>
              <w:sz w:val="28"/>
              <w:szCs w:val="28"/>
              <w:highlight w:val="none"/>
            </w:rPr>
            <w:t>五、环境保护措施监督检查清单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_Toc29758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40"/>
            <w:tabs>
              <w:tab w:val="right" w:leader="dot" w:pos="9348"/>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_Toc27324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pacing w:val="7"/>
              <w:sz w:val="28"/>
              <w:szCs w:val="28"/>
              <w:highlight w:val="none"/>
            </w:rPr>
            <w:t>六</w:t>
          </w:r>
          <w:r>
            <w:rPr>
              <w:rFonts w:hint="default" w:ascii="Times New Roman" w:hAnsi="Times New Roman" w:eastAsia="宋体" w:cs="Times New Roman"/>
              <w:spacing w:val="4"/>
              <w:sz w:val="28"/>
              <w:szCs w:val="28"/>
              <w:highlight w:val="none"/>
            </w:rPr>
            <w:t>、结论</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_Toc27324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40"/>
            <w:tabs>
              <w:tab w:val="right" w:leader="dot" w:pos="9348"/>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_Toc3473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rPr>
            <w:t>建设项目污染物排放量汇总表</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_Toc3473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spacing w:line="360" w:lineRule="auto"/>
            <w:rPr>
              <w:rFonts w:hint="default" w:ascii="Times New Roman" w:hAnsi="Times New Roman" w:eastAsia="宋体" w:cs="Times New Roman"/>
            </w:rPr>
          </w:pPr>
          <w:r>
            <w:rPr>
              <w:rFonts w:hint="default" w:ascii="Times New Roman" w:hAnsi="Times New Roman" w:eastAsia="宋体" w:cs="Times New Roman"/>
              <w:sz w:val="24"/>
              <w:szCs w:val="24"/>
            </w:rPr>
            <w:fldChar w:fldCharType="end"/>
          </w:r>
        </w:p>
      </w:sdtContent>
    </w:sdt>
    <w:p>
      <w:pPr>
        <w:spacing w:before="218" w:line="360" w:lineRule="auto"/>
        <w:ind w:left="21"/>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12"/>
          <w:sz w:val="28"/>
          <w:szCs w:val="28"/>
          <w:highlight w:val="none"/>
          <w14:textOutline w14:w="5103" w14:cap="sq" w14:cmpd="sng">
            <w14:solidFill>
              <w14:srgbClr w14:val="000000"/>
            </w14:solidFill>
            <w14:prstDash w14:val="solid"/>
            <w14:bevel/>
          </w14:textOutline>
        </w:rPr>
        <w:t>附</w:t>
      </w:r>
      <w:r>
        <w:rPr>
          <w:rFonts w:hint="default" w:ascii="Times New Roman" w:hAnsi="Times New Roman" w:eastAsia="宋体" w:cs="Times New Roman"/>
          <w:spacing w:val="-10"/>
          <w:sz w:val="28"/>
          <w:szCs w:val="28"/>
          <w:highlight w:val="none"/>
          <w14:textOutline w14:w="5103" w14:cap="sq" w14:cmpd="sng">
            <w14:solidFill>
              <w14:srgbClr w14:val="000000"/>
            </w14:solidFill>
            <w14:prstDash w14:val="solid"/>
            <w14:bevel/>
          </w14:textOutline>
        </w:rPr>
        <w:t>图：</w:t>
      </w:r>
    </w:p>
    <w:p>
      <w:pPr>
        <w:spacing w:before="28" w:line="360" w:lineRule="auto"/>
        <w:ind w:left="583"/>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4"/>
          <w:sz w:val="28"/>
          <w:szCs w:val="28"/>
          <w:highlight w:val="none"/>
        </w:rPr>
        <w:t>附图一</w:t>
      </w:r>
      <w:r>
        <w:rPr>
          <w:rFonts w:hint="default" w:ascii="Times New Roman" w:hAnsi="Times New Roman" w:eastAsia="宋体" w:cs="Times New Roman"/>
          <w:spacing w:val="-2"/>
          <w:sz w:val="28"/>
          <w:szCs w:val="28"/>
          <w:highlight w:val="none"/>
        </w:rPr>
        <w:t xml:space="preserve"> 项目地理位置示意图</w:t>
      </w:r>
    </w:p>
    <w:p>
      <w:pPr>
        <w:spacing w:line="360" w:lineRule="auto"/>
        <w:ind w:left="583"/>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5"/>
          <w:sz w:val="28"/>
          <w:szCs w:val="28"/>
          <w:highlight w:val="none"/>
        </w:rPr>
        <w:t>附</w:t>
      </w:r>
      <w:r>
        <w:rPr>
          <w:rFonts w:hint="default" w:ascii="Times New Roman" w:hAnsi="Times New Roman" w:eastAsia="宋体" w:cs="Times New Roman"/>
          <w:spacing w:val="-3"/>
          <w:sz w:val="28"/>
          <w:szCs w:val="28"/>
          <w:highlight w:val="none"/>
        </w:rPr>
        <w:t>图二 平面布置</w:t>
      </w:r>
      <w:r>
        <w:rPr>
          <w:rFonts w:hint="default" w:ascii="Times New Roman" w:hAnsi="Times New Roman" w:eastAsia="宋体" w:cs="Times New Roman"/>
          <w:spacing w:val="-3"/>
          <w:sz w:val="28"/>
          <w:szCs w:val="28"/>
          <w:highlight w:val="none"/>
          <w:lang w:val="en-US" w:eastAsia="zh-CN"/>
        </w:rPr>
        <w:t>示意</w:t>
      </w:r>
      <w:r>
        <w:rPr>
          <w:rFonts w:hint="default" w:ascii="Times New Roman" w:hAnsi="Times New Roman" w:eastAsia="宋体" w:cs="Times New Roman"/>
          <w:spacing w:val="-3"/>
          <w:sz w:val="28"/>
          <w:szCs w:val="28"/>
          <w:highlight w:val="none"/>
        </w:rPr>
        <w:t>图</w:t>
      </w:r>
    </w:p>
    <w:p>
      <w:pPr>
        <w:spacing w:before="28" w:line="360" w:lineRule="auto"/>
        <w:ind w:left="583"/>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4"/>
          <w:sz w:val="28"/>
          <w:szCs w:val="28"/>
          <w:highlight w:val="none"/>
        </w:rPr>
        <w:t>附图三</w:t>
      </w:r>
      <w:r>
        <w:rPr>
          <w:rFonts w:hint="default" w:ascii="Times New Roman" w:hAnsi="Times New Roman" w:eastAsia="宋体" w:cs="Times New Roman"/>
          <w:spacing w:val="-2"/>
          <w:sz w:val="28"/>
          <w:szCs w:val="28"/>
          <w:highlight w:val="none"/>
        </w:rPr>
        <w:t xml:space="preserve"> </w:t>
      </w:r>
      <w:r>
        <w:rPr>
          <w:rFonts w:hint="default" w:ascii="Times New Roman" w:hAnsi="Times New Roman" w:eastAsia="宋体" w:cs="Times New Roman"/>
          <w:spacing w:val="-2"/>
          <w:sz w:val="28"/>
          <w:szCs w:val="28"/>
          <w:highlight w:val="none"/>
          <w:lang w:val="en-US" w:eastAsia="zh-CN"/>
        </w:rPr>
        <w:t>项目污水流向示意图</w:t>
      </w:r>
    </w:p>
    <w:p>
      <w:pPr>
        <w:spacing w:before="28" w:line="360" w:lineRule="auto"/>
        <w:ind w:left="583"/>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2"/>
          <w:sz w:val="28"/>
          <w:szCs w:val="28"/>
          <w:highlight w:val="none"/>
        </w:rPr>
        <w:t>附图四 项目</w:t>
      </w:r>
      <w:r>
        <w:rPr>
          <w:rFonts w:hint="default" w:ascii="Times New Roman" w:hAnsi="Times New Roman" w:eastAsia="宋体" w:cs="Times New Roman"/>
          <w:spacing w:val="-2"/>
          <w:sz w:val="28"/>
          <w:szCs w:val="28"/>
          <w:highlight w:val="none"/>
          <w:lang w:val="en-US" w:eastAsia="zh-CN"/>
        </w:rPr>
        <w:t>环境保护目标分布图</w:t>
      </w:r>
    </w:p>
    <w:p>
      <w:pPr>
        <w:spacing w:before="28" w:line="360" w:lineRule="auto"/>
        <w:ind w:left="583"/>
        <w:rPr>
          <w:rFonts w:hint="default" w:ascii="Times New Roman" w:hAnsi="Times New Roman" w:eastAsia="宋体" w:cs="Times New Roman"/>
          <w:spacing w:val="-2"/>
          <w:sz w:val="28"/>
          <w:szCs w:val="28"/>
          <w:highlight w:val="none"/>
          <w:lang w:val="en-US" w:eastAsia="zh-CN"/>
        </w:rPr>
      </w:pPr>
      <w:r>
        <w:rPr>
          <w:rFonts w:hint="default" w:ascii="Times New Roman" w:hAnsi="Times New Roman" w:eastAsia="宋体" w:cs="Times New Roman"/>
          <w:spacing w:val="-2"/>
          <w:sz w:val="28"/>
          <w:szCs w:val="28"/>
          <w:highlight w:val="none"/>
          <w:lang w:val="en-US" w:eastAsia="zh-CN"/>
        </w:rPr>
        <w:t>附图五 项目与环境管控单元的位置关系</w:t>
      </w:r>
    </w:p>
    <w:p>
      <w:pPr>
        <w:spacing w:before="28" w:line="360" w:lineRule="auto"/>
        <w:ind w:left="583"/>
        <w:rPr>
          <w:rFonts w:hint="default" w:ascii="Times New Roman" w:hAnsi="Times New Roman" w:eastAsia="宋体" w:cs="Times New Roman"/>
          <w:color w:val="0000FF"/>
          <w:spacing w:val="-2"/>
          <w:sz w:val="28"/>
          <w:szCs w:val="28"/>
          <w:highlight w:val="none"/>
          <w:lang w:val="en-US" w:eastAsia="zh-CN"/>
        </w:rPr>
      </w:pPr>
      <w:r>
        <w:rPr>
          <w:rFonts w:hint="eastAsia" w:ascii="Times New Roman" w:hAnsi="Times New Roman" w:eastAsia="宋体" w:cs="Times New Roman"/>
          <w:color w:val="0000FF"/>
          <w:spacing w:val="-2"/>
          <w:sz w:val="28"/>
          <w:szCs w:val="28"/>
          <w:highlight w:val="none"/>
          <w:lang w:val="en-US" w:eastAsia="zh-CN"/>
        </w:rPr>
        <w:t>附图六 辰溪县预拌混凝土专项规划布点图</w:t>
      </w:r>
    </w:p>
    <w:p>
      <w:pPr>
        <w:spacing w:before="1" w:line="360" w:lineRule="auto"/>
        <w:ind w:left="583"/>
        <w:rPr>
          <w:rFonts w:hint="default" w:ascii="Times New Roman" w:hAnsi="Times New Roman" w:eastAsia="宋体" w:cs="Times New Roman"/>
          <w:sz w:val="28"/>
          <w:szCs w:val="28"/>
          <w:highlight w:val="none"/>
          <w:lang w:val="en-US" w:eastAsia="zh-CN"/>
        </w:rPr>
      </w:pPr>
    </w:p>
    <w:p>
      <w:pPr>
        <w:spacing w:before="28" w:line="360" w:lineRule="auto"/>
        <w:ind w:left="21"/>
        <w:rPr>
          <w:rFonts w:hint="default" w:ascii="Times New Roman" w:hAnsi="Times New Roman" w:eastAsia="宋体" w:cs="Times New Roman"/>
          <w:sz w:val="28"/>
          <w:szCs w:val="28"/>
          <w:highlight w:val="none"/>
        </w:rPr>
      </w:pPr>
      <w:r>
        <w:rPr>
          <w:rFonts w:hint="default" w:ascii="Times New Roman" w:hAnsi="Times New Roman" w:eastAsia="宋体" w:cs="Times New Roman"/>
          <w:spacing w:val="-12"/>
          <w:sz w:val="28"/>
          <w:szCs w:val="28"/>
          <w:highlight w:val="none"/>
          <w14:textOutline w14:w="5103" w14:cap="sq" w14:cmpd="sng">
            <w14:solidFill>
              <w14:srgbClr w14:val="000000"/>
            </w14:solidFill>
            <w14:prstDash w14:val="solid"/>
            <w14:bevel/>
          </w14:textOutline>
        </w:rPr>
        <w:t>附</w:t>
      </w:r>
      <w:r>
        <w:rPr>
          <w:rFonts w:hint="default" w:ascii="Times New Roman" w:hAnsi="Times New Roman" w:eastAsia="宋体" w:cs="Times New Roman"/>
          <w:spacing w:val="-10"/>
          <w:sz w:val="28"/>
          <w:szCs w:val="28"/>
          <w:highlight w:val="none"/>
          <w14:textOutline w14:w="5103" w14:cap="sq" w14:cmpd="sng">
            <w14:solidFill>
              <w14:srgbClr w14:val="000000"/>
            </w14:solidFill>
            <w14:prstDash w14:val="solid"/>
            <w14:bevel/>
          </w14:textOutline>
        </w:rPr>
        <w:t>件：</w:t>
      </w:r>
    </w:p>
    <w:p>
      <w:pPr>
        <w:spacing w:before="1" w:line="360" w:lineRule="auto"/>
        <w:ind w:left="583"/>
        <w:rPr>
          <w:rFonts w:hint="default" w:ascii="Times New Roman" w:hAnsi="Times New Roman" w:eastAsia="宋体" w:cs="Times New Roman"/>
          <w:spacing w:val="-3"/>
          <w:sz w:val="28"/>
          <w:szCs w:val="28"/>
          <w:highlight w:val="none"/>
          <w:lang w:val="en-US" w:eastAsia="zh-CN"/>
        </w:rPr>
      </w:pPr>
      <w:bookmarkStart w:id="2" w:name="_Toc3007"/>
      <w:r>
        <w:rPr>
          <w:rFonts w:hint="default" w:ascii="Times New Roman" w:hAnsi="Times New Roman" w:eastAsia="宋体" w:cs="Times New Roman"/>
          <w:spacing w:val="-3"/>
          <w:sz w:val="28"/>
          <w:szCs w:val="28"/>
          <w:highlight w:val="none"/>
        </w:rPr>
        <w:t>附件1  营业执照</w:t>
      </w:r>
      <w:bookmarkEnd w:id="2"/>
    </w:p>
    <w:p>
      <w:pPr>
        <w:spacing w:before="1" w:line="360" w:lineRule="auto"/>
        <w:ind w:left="583"/>
        <w:rPr>
          <w:rFonts w:hint="default" w:ascii="Times New Roman" w:hAnsi="Times New Roman" w:eastAsia="宋体" w:cs="Times New Roman"/>
          <w:spacing w:val="-3"/>
          <w:sz w:val="28"/>
          <w:szCs w:val="28"/>
          <w:highlight w:val="none"/>
        </w:rPr>
      </w:pPr>
      <w:bookmarkStart w:id="3" w:name="_Toc16440"/>
      <w:r>
        <w:rPr>
          <w:rFonts w:hint="default" w:ascii="Times New Roman" w:hAnsi="Times New Roman" w:eastAsia="宋体" w:cs="Times New Roman"/>
          <w:spacing w:val="-3"/>
          <w:sz w:val="28"/>
          <w:szCs w:val="28"/>
          <w:highlight w:val="none"/>
        </w:rPr>
        <w:t xml:space="preserve">附件2  </w:t>
      </w:r>
      <w:r>
        <w:rPr>
          <w:rFonts w:hint="default" w:ascii="Times New Roman" w:hAnsi="Times New Roman" w:eastAsia="宋体" w:cs="Times New Roman"/>
          <w:spacing w:val="-3"/>
          <w:sz w:val="28"/>
          <w:szCs w:val="28"/>
          <w:highlight w:val="none"/>
          <w:lang w:val="en-US" w:eastAsia="zh-CN"/>
        </w:rPr>
        <w:t>土地租赁合同</w:t>
      </w:r>
      <w:bookmarkEnd w:id="3"/>
    </w:p>
    <w:p>
      <w:pPr>
        <w:spacing w:before="1" w:line="360" w:lineRule="auto"/>
        <w:ind w:left="583"/>
        <w:rPr>
          <w:rFonts w:hint="default" w:ascii="Times New Roman" w:hAnsi="Times New Roman" w:eastAsia="宋体" w:cs="Times New Roman"/>
          <w:spacing w:val="-3"/>
          <w:sz w:val="28"/>
          <w:szCs w:val="28"/>
          <w:highlight w:val="none"/>
          <w:lang w:val="en-US" w:eastAsia="zh-CN"/>
        </w:rPr>
      </w:pPr>
      <w:bookmarkStart w:id="4" w:name="_Toc24366"/>
      <w:r>
        <w:rPr>
          <w:rFonts w:hint="default" w:ascii="Times New Roman" w:hAnsi="Times New Roman" w:eastAsia="宋体" w:cs="Times New Roman"/>
          <w:spacing w:val="-3"/>
          <w:sz w:val="28"/>
          <w:szCs w:val="28"/>
          <w:highlight w:val="none"/>
        </w:rPr>
        <w:t xml:space="preserve">附件3  </w:t>
      </w:r>
      <w:r>
        <w:rPr>
          <w:rFonts w:hint="default" w:ascii="Times New Roman" w:hAnsi="Times New Roman" w:eastAsia="宋体" w:cs="Times New Roman"/>
          <w:spacing w:val="-3"/>
          <w:sz w:val="28"/>
          <w:szCs w:val="28"/>
          <w:highlight w:val="none"/>
          <w:lang w:val="en-US" w:eastAsia="zh-CN"/>
        </w:rPr>
        <w:t>环评批复</w:t>
      </w:r>
      <w:bookmarkEnd w:id="4"/>
    </w:p>
    <w:p>
      <w:pPr>
        <w:spacing w:before="1" w:line="360" w:lineRule="auto"/>
        <w:ind w:left="583"/>
        <w:rPr>
          <w:rFonts w:hint="default" w:ascii="Times New Roman" w:hAnsi="Times New Roman" w:eastAsia="宋体" w:cs="Times New Roman"/>
          <w:spacing w:val="-3"/>
          <w:sz w:val="28"/>
          <w:szCs w:val="28"/>
          <w:highlight w:val="none"/>
        </w:rPr>
      </w:pPr>
      <w:bookmarkStart w:id="5" w:name="_Toc19099"/>
      <w:r>
        <w:rPr>
          <w:rFonts w:hint="default" w:ascii="Times New Roman" w:hAnsi="Times New Roman" w:eastAsia="宋体" w:cs="Times New Roman"/>
          <w:spacing w:val="-3"/>
          <w:sz w:val="28"/>
          <w:szCs w:val="28"/>
          <w:highlight w:val="none"/>
        </w:rPr>
        <w:t xml:space="preserve">附件4  </w:t>
      </w:r>
      <w:r>
        <w:rPr>
          <w:rFonts w:hint="default" w:ascii="Times New Roman" w:hAnsi="Times New Roman" w:eastAsia="宋体" w:cs="Times New Roman"/>
          <w:spacing w:val="-3"/>
          <w:sz w:val="28"/>
          <w:szCs w:val="28"/>
          <w:highlight w:val="none"/>
          <w:lang w:val="en-US" w:eastAsia="zh-CN"/>
        </w:rPr>
        <w:t>备案证明</w:t>
      </w:r>
      <w:bookmarkEnd w:id="5"/>
    </w:p>
    <w:p>
      <w:pPr>
        <w:spacing w:before="1" w:line="360" w:lineRule="auto"/>
        <w:ind w:left="583"/>
        <w:rPr>
          <w:rFonts w:hint="default" w:ascii="Times New Roman" w:hAnsi="Times New Roman" w:eastAsia="宋体" w:cs="Times New Roman"/>
          <w:highlight w:val="yellow"/>
        </w:rPr>
        <w:sectPr>
          <w:headerReference r:id="rId5" w:type="default"/>
          <w:pgSz w:w="11906" w:h="16839"/>
          <w:pgMar w:top="400" w:right="1132" w:bottom="0" w:left="1426" w:header="0" w:footer="0" w:gutter="0"/>
          <w:pgBorders>
            <w:top w:val="none" w:sz="0" w:space="0"/>
            <w:left w:val="none" w:sz="0" w:space="0"/>
            <w:bottom w:val="none" w:sz="0" w:space="0"/>
            <w:right w:val="none" w:sz="0" w:space="0"/>
          </w:pgBorders>
          <w:cols w:space="720" w:num="1"/>
        </w:sectPr>
      </w:pPr>
      <w:bookmarkStart w:id="6" w:name="_Toc30488"/>
      <w:r>
        <w:rPr>
          <w:rFonts w:hint="default" w:ascii="Times New Roman" w:hAnsi="Times New Roman" w:eastAsia="宋体" w:cs="Times New Roman"/>
          <w:spacing w:val="-3"/>
          <w:sz w:val="28"/>
          <w:szCs w:val="28"/>
          <w:highlight w:val="none"/>
          <w:lang w:val="en-US" w:eastAsia="zh-CN"/>
        </w:rPr>
        <w:t xml:space="preserve">附件5 </w:t>
      </w:r>
      <w:r>
        <w:rPr>
          <w:rFonts w:hint="eastAsia" w:ascii="Times New Roman" w:hAnsi="Times New Roman" w:eastAsia="宋体" w:cs="Times New Roman"/>
          <w:spacing w:val="-3"/>
          <w:sz w:val="28"/>
          <w:szCs w:val="28"/>
          <w:highlight w:val="none"/>
          <w:lang w:val="en-US" w:eastAsia="zh-CN"/>
        </w:rPr>
        <w:t xml:space="preserve"> </w:t>
      </w:r>
      <w:r>
        <w:rPr>
          <w:rFonts w:hint="default" w:ascii="Times New Roman" w:hAnsi="Times New Roman" w:eastAsia="宋体" w:cs="Times New Roman"/>
          <w:spacing w:val="-3"/>
          <w:sz w:val="28"/>
          <w:szCs w:val="28"/>
          <w:highlight w:val="none"/>
          <w:lang w:val="en-US" w:eastAsia="zh-CN"/>
        </w:rPr>
        <w:t>监测报告</w:t>
      </w:r>
      <w:bookmarkEnd w:id="6"/>
    </w:p>
    <w:p>
      <w:pPr>
        <w:rPr>
          <w:rFonts w:hint="default" w:ascii="Times New Roman" w:hAnsi="Times New Roman" w:eastAsia="宋体" w:cs="Times New Roman"/>
          <w:sz w:val="21"/>
          <w:highlight w:val="yellow"/>
        </w:rPr>
      </w:pPr>
    </w:p>
    <w:p>
      <w:pPr>
        <w:spacing w:before="95" w:line="219" w:lineRule="auto"/>
        <w:ind w:left="3240"/>
        <w:outlineLvl w:val="0"/>
        <w:rPr>
          <w:rFonts w:hint="default" w:ascii="Times New Roman" w:hAnsi="Times New Roman" w:eastAsia="宋体" w:cs="Times New Roman"/>
          <w:sz w:val="30"/>
          <w:szCs w:val="30"/>
          <w:highlight w:val="none"/>
        </w:rPr>
      </w:pPr>
      <w:bookmarkStart w:id="7" w:name="_Toc3650"/>
      <w:r>
        <w:rPr>
          <w:rFonts w:hint="default" w:ascii="Times New Roman" w:hAnsi="Times New Roman" w:eastAsia="宋体" w:cs="Times New Roman"/>
          <w:spacing w:val="11"/>
          <w:sz w:val="30"/>
          <w:szCs w:val="30"/>
          <w:highlight w:val="none"/>
        </w:rPr>
        <w:t>一</w:t>
      </w:r>
      <w:r>
        <w:rPr>
          <w:rFonts w:hint="default" w:ascii="Times New Roman" w:hAnsi="Times New Roman" w:eastAsia="宋体" w:cs="Times New Roman"/>
          <w:spacing w:val="8"/>
          <w:sz w:val="30"/>
          <w:szCs w:val="30"/>
          <w:highlight w:val="none"/>
        </w:rPr>
        <w:t>、建设项目基本情况</w:t>
      </w:r>
      <w:bookmarkEnd w:id="7"/>
    </w:p>
    <w:tbl>
      <w:tblPr>
        <w:tblStyle w:val="20"/>
        <w:tblW w:w="94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82"/>
        <w:gridCol w:w="1975"/>
        <w:gridCol w:w="1545"/>
        <w:gridCol w:w="3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82" w:type="dxa"/>
            <w:tcBorders>
              <w:tl2br w:val="nil"/>
              <w:tr2bl w:val="nil"/>
            </w:tcBorders>
            <w:vAlign w:val="top"/>
          </w:tcPr>
          <w:p>
            <w:pPr>
              <w:spacing w:before="76" w:line="240" w:lineRule="auto"/>
              <w:ind w:left="24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8"/>
                <w:sz w:val="24"/>
                <w:szCs w:val="24"/>
                <w:highlight w:val="none"/>
              </w:rPr>
              <w:t>建设项目名</w:t>
            </w:r>
            <w:r>
              <w:rPr>
                <w:rFonts w:hint="default" w:ascii="Times New Roman" w:hAnsi="Times New Roman" w:eastAsia="宋体" w:cs="Times New Roman"/>
                <w:spacing w:val="7"/>
                <w:sz w:val="24"/>
                <w:szCs w:val="24"/>
                <w:highlight w:val="none"/>
              </w:rPr>
              <w:t>称</w:t>
            </w:r>
          </w:p>
        </w:tc>
        <w:tc>
          <w:tcPr>
            <w:tcW w:w="7441" w:type="dxa"/>
            <w:gridSpan w:val="3"/>
            <w:tcBorders>
              <w:tl2br w:val="nil"/>
              <w:tr2bl w:val="nil"/>
            </w:tcBorders>
            <w:vAlign w:val="top"/>
          </w:tcPr>
          <w:p>
            <w:pPr>
              <w:spacing w:before="76" w:line="240" w:lineRule="auto"/>
              <w:ind w:left="145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辰溪县鼎鸿建材有限公司商品混凝土搅拌站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982" w:type="dxa"/>
            <w:tcBorders>
              <w:tl2br w:val="nil"/>
              <w:tr2bl w:val="nil"/>
            </w:tcBorders>
            <w:vAlign w:val="top"/>
          </w:tcPr>
          <w:p>
            <w:pPr>
              <w:spacing w:before="56" w:line="240" w:lineRule="auto"/>
              <w:ind w:left="490"/>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8"/>
                <w:sz w:val="24"/>
                <w:szCs w:val="24"/>
                <w:highlight w:val="none"/>
              </w:rPr>
              <w:t>项</w:t>
            </w:r>
            <w:r>
              <w:rPr>
                <w:rFonts w:hint="default" w:ascii="Times New Roman" w:hAnsi="Times New Roman" w:eastAsia="宋体" w:cs="Times New Roman"/>
                <w:spacing w:val="6"/>
                <w:sz w:val="24"/>
                <w:szCs w:val="24"/>
                <w:highlight w:val="none"/>
              </w:rPr>
              <w:t>目代码</w:t>
            </w:r>
          </w:p>
        </w:tc>
        <w:tc>
          <w:tcPr>
            <w:tcW w:w="7441" w:type="dxa"/>
            <w:gridSpan w:val="3"/>
            <w:tcBorders>
              <w:tl2br w:val="nil"/>
              <w:tr2bl w:val="nil"/>
            </w:tcBorders>
            <w:vAlign w:val="top"/>
          </w:tcPr>
          <w:p>
            <w:pPr>
              <w:spacing w:before="94"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
                <w:sz w:val="24"/>
                <w:szCs w:val="24"/>
                <w:highlight w:val="none"/>
                <w:lang w:val="en-US" w:eastAsia="zh-CN"/>
              </w:rPr>
              <w:t>2112-431223-04-01-790321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982" w:type="dxa"/>
            <w:tcBorders>
              <w:tl2br w:val="nil"/>
              <w:tr2bl w:val="nil"/>
            </w:tcBorders>
            <w:vAlign w:val="top"/>
          </w:tcPr>
          <w:p>
            <w:pPr>
              <w:spacing w:before="54" w:line="240" w:lineRule="auto"/>
              <w:ind w:left="12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9"/>
                <w:sz w:val="24"/>
                <w:szCs w:val="24"/>
                <w:highlight w:val="none"/>
              </w:rPr>
              <w:t>建</w:t>
            </w:r>
            <w:r>
              <w:rPr>
                <w:rFonts w:hint="default" w:ascii="Times New Roman" w:hAnsi="Times New Roman" w:eastAsia="宋体" w:cs="Times New Roman"/>
                <w:spacing w:val="8"/>
                <w:sz w:val="24"/>
                <w:szCs w:val="24"/>
                <w:highlight w:val="none"/>
              </w:rPr>
              <w:t>设单位联系人</w:t>
            </w:r>
          </w:p>
        </w:tc>
        <w:tc>
          <w:tcPr>
            <w:tcW w:w="1975" w:type="dxa"/>
            <w:tcBorders>
              <w:tl2br w:val="nil"/>
              <w:tr2bl w:val="nil"/>
            </w:tcBorders>
            <w:vAlign w:val="top"/>
          </w:tcPr>
          <w:p>
            <w:pPr>
              <w:spacing w:before="54" w:line="24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pacing w:val="7"/>
                <w:sz w:val="24"/>
                <w:szCs w:val="24"/>
                <w:highlight w:val="none"/>
                <w:lang w:val="en-US" w:eastAsia="zh-CN"/>
              </w:rPr>
              <w:t>刘勇</w:t>
            </w:r>
          </w:p>
        </w:tc>
        <w:tc>
          <w:tcPr>
            <w:tcW w:w="1545" w:type="dxa"/>
            <w:tcBorders>
              <w:tl2br w:val="nil"/>
              <w:tr2bl w:val="nil"/>
            </w:tcBorders>
            <w:vAlign w:val="top"/>
          </w:tcPr>
          <w:p>
            <w:pPr>
              <w:spacing w:before="54"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8"/>
                <w:sz w:val="24"/>
                <w:szCs w:val="24"/>
                <w:highlight w:val="none"/>
              </w:rPr>
              <w:t>联</w:t>
            </w:r>
            <w:r>
              <w:rPr>
                <w:rFonts w:hint="default" w:ascii="Times New Roman" w:hAnsi="Times New Roman" w:eastAsia="宋体" w:cs="Times New Roman"/>
                <w:spacing w:val="7"/>
                <w:sz w:val="24"/>
                <w:szCs w:val="24"/>
                <w:highlight w:val="none"/>
              </w:rPr>
              <w:t>系方式</w:t>
            </w:r>
          </w:p>
        </w:tc>
        <w:tc>
          <w:tcPr>
            <w:tcW w:w="3921" w:type="dxa"/>
            <w:tcBorders>
              <w:tl2br w:val="nil"/>
              <w:tr2bl w:val="nil"/>
            </w:tcBorders>
            <w:vAlign w:val="top"/>
          </w:tcPr>
          <w:p>
            <w:pPr>
              <w:spacing w:before="94" w:line="240" w:lineRule="auto"/>
              <w:ind w:left="806"/>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
                <w:sz w:val="24"/>
                <w:szCs w:val="24"/>
                <w:highlight w:val="none"/>
              </w:rPr>
              <w:t>13467941166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trPr>
        <w:tc>
          <w:tcPr>
            <w:tcW w:w="1982" w:type="dxa"/>
            <w:tcBorders>
              <w:tl2br w:val="nil"/>
              <w:tr2bl w:val="nil"/>
            </w:tcBorders>
            <w:vAlign w:val="top"/>
          </w:tcPr>
          <w:p>
            <w:pPr>
              <w:spacing w:before="55" w:line="240" w:lineRule="auto"/>
              <w:ind w:left="48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7"/>
                <w:sz w:val="24"/>
                <w:szCs w:val="24"/>
                <w:highlight w:val="none"/>
              </w:rPr>
              <w:t>建设地</w:t>
            </w:r>
            <w:r>
              <w:rPr>
                <w:rFonts w:hint="default" w:ascii="Times New Roman" w:hAnsi="Times New Roman" w:eastAsia="宋体" w:cs="Times New Roman"/>
                <w:spacing w:val="6"/>
                <w:sz w:val="24"/>
                <w:szCs w:val="24"/>
                <w:highlight w:val="none"/>
              </w:rPr>
              <w:t>点</w:t>
            </w:r>
          </w:p>
        </w:tc>
        <w:tc>
          <w:tcPr>
            <w:tcW w:w="7441" w:type="dxa"/>
            <w:gridSpan w:val="3"/>
            <w:tcBorders>
              <w:tl2br w:val="nil"/>
              <w:tr2bl w:val="nil"/>
            </w:tcBorders>
            <w:vAlign w:val="top"/>
          </w:tcPr>
          <w:p>
            <w:pPr>
              <w:spacing w:before="54"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7"/>
                <w:sz w:val="24"/>
                <w:szCs w:val="24"/>
                <w:highlight w:val="none"/>
                <w:lang w:val="en-US" w:eastAsia="zh-CN"/>
              </w:rPr>
              <w:t>辰溪县辰阳镇煤炭湾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982" w:type="dxa"/>
            <w:tcBorders>
              <w:tl2br w:val="nil"/>
              <w:tr2bl w:val="nil"/>
            </w:tcBorders>
            <w:vAlign w:val="top"/>
          </w:tcPr>
          <w:p>
            <w:pPr>
              <w:spacing w:before="54" w:line="240" w:lineRule="auto"/>
              <w:ind w:left="486"/>
              <w:rPr>
                <w:rFonts w:hint="default" w:ascii="Times New Roman" w:hAnsi="Times New Roman" w:eastAsia="宋体" w:cs="Times New Roman"/>
                <w:spacing w:val="9"/>
                <w:sz w:val="24"/>
                <w:szCs w:val="24"/>
                <w:highlight w:val="none"/>
              </w:rPr>
            </w:pPr>
            <w:r>
              <w:rPr>
                <w:rFonts w:hint="default" w:ascii="Times New Roman" w:hAnsi="Times New Roman" w:eastAsia="宋体" w:cs="Times New Roman"/>
                <w:spacing w:val="9"/>
                <w:sz w:val="24"/>
                <w:szCs w:val="24"/>
                <w:highlight w:val="none"/>
              </w:rPr>
              <w:t>地理坐标</w:t>
            </w:r>
          </w:p>
        </w:tc>
        <w:tc>
          <w:tcPr>
            <w:tcW w:w="7441" w:type="dxa"/>
            <w:gridSpan w:val="3"/>
            <w:tcBorders>
              <w:tl2br w:val="nil"/>
              <w:tr2bl w:val="nil"/>
            </w:tcBorders>
            <w:vAlign w:val="top"/>
          </w:tcPr>
          <w:p>
            <w:pPr>
              <w:spacing w:before="54" w:line="240" w:lineRule="auto"/>
              <w:ind w:left="1464"/>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6"/>
                <w:sz w:val="24"/>
                <w:szCs w:val="24"/>
                <w:highlight w:val="none"/>
              </w:rPr>
              <w:t>东经：110.21403909</w:t>
            </w:r>
            <w:r>
              <w:rPr>
                <w:rFonts w:hint="default" w:ascii="Times New Roman" w:hAnsi="Times New Roman" w:eastAsia="宋体" w:cs="Times New Roman"/>
                <w:spacing w:val="3"/>
                <w:sz w:val="24"/>
                <w:szCs w:val="24"/>
                <w:highlight w:val="none"/>
              </w:rPr>
              <w:t>，北纬：28.04395532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2" w:type="dxa"/>
            <w:tcBorders>
              <w:tl2br w:val="nil"/>
              <w:tr2bl w:val="nil"/>
            </w:tcBorders>
            <w:vAlign w:val="center"/>
          </w:tcPr>
          <w:p>
            <w:pPr>
              <w:spacing w:before="54" w:line="240" w:lineRule="auto"/>
              <w:ind w:left="486"/>
              <w:rPr>
                <w:rFonts w:hint="default" w:ascii="Times New Roman" w:hAnsi="Times New Roman" w:eastAsia="宋体" w:cs="Times New Roman"/>
                <w:spacing w:val="9"/>
                <w:sz w:val="24"/>
                <w:szCs w:val="24"/>
                <w:highlight w:val="none"/>
              </w:rPr>
            </w:pPr>
            <w:r>
              <w:rPr>
                <w:rFonts w:hint="default" w:ascii="Times New Roman" w:hAnsi="Times New Roman" w:eastAsia="宋体" w:cs="Times New Roman"/>
                <w:spacing w:val="9"/>
                <w:sz w:val="24"/>
                <w:szCs w:val="24"/>
                <w:highlight w:val="none"/>
              </w:rPr>
              <w:t>国民经济</w:t>
            </w:r>
          </w:p>
          <w:p>
            <w:pPr>
              <w:spacing w:before="54" w:line="240" w:lineRule="auto"/>
              <w:ind w:left="486"/>
              <w:rPr>
                <w:rFonts w:hint="default" w:ascii="Times New Roman" w:hAnsi="Times New Roman" w:eastAsia="宋体" w:cs="Times New Roman"/>
                <w:spacing w:val="9"/>
                <w:sz w:val="24"/>
                <w:szCs w:val="24"/>
                <w:highlight w:val="none"/>
              </w:rPr>
            </w:pPr>
            <w:r>
              <w:rPr>
                <w:rFonts w:hint="default" w:ascii="Times New Roman" w:hAnsi="Times New Roman" w:eastAsia="宋体" w:cs="Times New Roman"/>
                <w:spacing w:val="9"/>
                <w:sz w:val="24"/>
                <w:szCs w:val="24"/>
                <w:highlight w:val="none"/>
              </w:rPr>
              <w:t>行业类别</w:t>
            </w:r>
          </w:p>
        </w:tc>
        <w:tc>
          <w:tcPr>
            <w:tcW w:w="1975" w:type="dxa"/>
            <w:tcBorders>
              <w:tl2br w:val="nil"/>
              <w:tr2bl w:val="nil"/>
            </w:tcBorders>
            <w:vAlign w:val="center"/>
          </w:tcPr>
          <w:p>
            <w:pPr>
              <w:spacing w:before="74" w:line="240" w:lineRule="auto"/>
              <w:ind w:left="1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7"/>
                <w:sz w:val="24"/>
                <w:szCs w:val="24"/>
                <w:highlight w:val="none"/>
                <w:lang w:val="en-US" w:eastAsia="zh-CN"/>
              </w:rPr>
              <w:t>C30</w:t>
            </w:r>
            <w:r>
              <w:rPr>
                <w:rFonts w:hint="eastAsia" w:ascii="Times New Roman" w:hAnsi="Times New Roman" w:eastAsia="宋体" w:cs="Times New Roman"/>
                <w:color w:val="auto"/>
                <w:spacing w:val="7"/>
                <w:sz w:val="24"/>
                <w:szCs w:val="24"/>
                <w:highlight w:val="none"/>
                <w:lang w:val="en-US" w:eastAsia="zh-CN"/>
              </w:rPr>
              <w:t>29</w:t>
            </w:r>
            <w:r>
              <w:rPr>
                <w:rFonts w:hint="default" w:ascii="Times New Roman" w:hAnsi="Times New Roman" w:eastAsia="宋体" w:cs="Times New Roman"/>
                <w:color w:val="auto"/>
                <w:spacing w:val="7"/>
                <w:sz w:val="24"/>
                <w:szCs w:val="24"/>
                <w:highlight w:val="none"/>
                <w:lang w:val="en-US" w:eastAsia="zh-CN"/>
              </w:rPr>
              <w:t>其他</w:t>
            </w:r>
            <w:r>
              <w:rPr>
                <w:rFonts w:hint="eastAsia" w:ascii="Times New Roman" w:hAnsi="Times New Roman" w:eastAsia="宋体" w:cs="Times New Roman"/>
                <w:color w:val="auto"/>
                <w:spacing w:val="7"/>
                <w:sz w:val="24"/>
                <w:szCs w:val="24"/>
                <w:highlight w:val="none"/>
                <w:lang w:val="en-US" w:eastAsia="zh-CN"/>
              </w:rPr>
              <w:t>水泥类似制品</w:t>
            </w:r>
            <w:r>
              <w:rPr>
                <w:rFonts w:hint="default" w:ascii="Times New Roman" w:hAnsi="Times New Roman" w:eastAsia="宋体" w:cs="Times New Roman"/>
                <w:color w:val="auto"/>
                <w:spacing w:val="7"/>
                <w:sz w:val="24"/>
                <w:szCs w:val="24"/>
                <w:highlight w:val="none"/>
                <w:lang w:val="en-US" w:eastAsia="zh-CN"/>
              </w:rPr>
              <w:t>制造</w:t>
            </w:r>
          </w:p>
        </w:tc>
        <w:tc>
          <w:tcPr>
            <w:tcW w:w="1545" w:type="dxa"/>
            <w:tcBorders>
              <w:tl2br w:val="nil"/>
              <w:tr2bl w:val="nil"/>
            </w:tcBorders>
            <w:vAlign w:val="center"/>
          </w:tcPr>
          <w:p>
            <w:pPr>
              <w:spacing w:before="54" w:line="240" w:lineRule="auto"/>
              <w:jc w:val="center"/>
              <w:rPr>
                <w:rFonts w:hint="default" w:ascii="Times New Roman" w:hAnsi="Times New Roman" w:eastAsia="宋体" w:cs="Times New Roman"/>
                <w:color w:val="auto"/>
                <w:spacing w:val="9"/>
                <w:sz w:val="24"/>
                <w:szCs w:val="24"/>
                <w:highlight w:val="none"/>
              </w:rPr>
            </w:pPr>
            <w:r>
              <w:rPr>
                <w:rFonts w:hint="default" w:ascii="Times New Roman" w:hAnsi="Times New Roman" w:eastAsia="宋体" w:cs="Times New Roman"/>
                <w:color w:val="auto"/>
                <w:spacing w:val="9"/>
                <w:sz w:val="24"/>
                <w:szCs w:val="24"/>
                <w:highlight w:val="none"/>
              </w:rPr>
              <w:t>建设项目行业类别</w:t>
            </w:r>
          </w:p>
        </w:tc>
        <w:tc>
          <w:tcPr>
            <w:tcW w:w="3921" w:type="dxa"/>
            <w:tcBorders>
              <w:tl2br w:val="nil"/>
              <w:tr2bl w:val="nil"/>
            </w:tcBorders>
            <w:vAlign w:val="center"/>
          </w:tcPr>
          <w:p>
            <w:pPr>
              <w:spacing w:before="74" w:line="240" w:lineRule="auto"/>
              <w:ind w:left="130"/>
              <w:jc w:val="both"/>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7"/>
                <w:sz w:val="24"/>
                <w:szCs w:val="24"/>
                <w:highlight w:val="none"/>
                <w:lang w:val="en-US" w:eastAsia="zh-CN"/>
              </w:rPr>
              <w:t>二十七、非金属矿物制品业 30 石膏、水泥制品及类 似制品制造 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1982" w:type="dxa"/>
            <w:tcBorders>
              <w:tl2br w:val="nil"/>
              <w:tr2bl w:val="nil"/>
            </w:tcBorders>
            <w:vAlign w:val="center"/>
          </w:tcPr>
          <w:p>
            <w:pPr>
              <w:spacing w:before="75"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7"/>
                <w:sz w:val="24"/>
                <w:szCs w:val="24"/>
                <w:highlight w:val="none"/>
              </w:rPr>
              <w:t>建设性</w:t>
            </w:r>
            <w:r>
              <w:rPr>
                <w:rFonts w:hint="default" w:ascii="Times New Roman" w:hAnsi="Times New Roman" w:eastAsia="宋体" w:cs="Times New Roman"/>
                <w:spacing w:val="6"/>
                <w:sz w:val="24"/>
                <w:szCs w:val="24"/>
                <w:highlight w:val="none"/>
              </w:rPr>
              <w:t>质</w:t>
            </w:r>
          </w:p>
        </w:tc>
        <w:tc>
          <w:tcPr>
            <w:tcW w:w="1975" w:type="dxa"/>
            <w:tcBorders>
              <w:tl2br w:val="nil"/>
              <w:tr2bl w:val="nil"/>
            </w:tcBorders>
            <w:vAlign w:val="top"/>
          </w:tcPr>
          <w:p>
            <w:pPr>
              <w:spacing w:before="54" w:line="240" w:lineRule="auto"/>
              <w:rPr>
                <w:rFonts w:hint="default" w:ascii="Times New Roman" w:hAnsi="Times New Roman" w:eastAsia="宋体" w:cs="Times New Roman"/>
                <w:spacing w:val="5"/>
                <w:sz w:val="24"/>
                <w:szCs w:val="24"/>
                <w:highlight w:val="none"/>
                <w:lang w:eastAsia="zh-CN"/>
              </w:rPr>
            </w:pPr>
            <w:r>
              <w:rPr>
                <w:rFonts w:hint="default" w:ascii="Times New Roman" w:hAnsi="Times New Roman" w:eastAsia="宋体" w:cs="Times New Roman"/>
                <w:spacing w:val="6"/>
                <w:sz w:val="24"/>
                <w:szCs w:val="24"/>
                <w:highlight w:val="none"/>
                <w:lang w:eastAsia="zh-CN"/>
              </w:rPr>
              <w:t>☑</w:t>
            </w:r>
            <w:r>
              <w:rPr>
                <w:rFonts w:hint="default" w:ascii="Times New Roman" w:hAnsi="Times New Roman" w:eastAsia="宋体" w:cs="Times New Roman"/>
                <w:spacing w:val="5"/>
                <w:sz w:val="24"/>
                <w:szCs w:val="24"/>
                <w:highlight w:val="none"/>
              </w:rPr>
              <w:t>新建</w:t>
            </w:r>
            <w:r>
              <w:rPr>
                <w:rFonts w:hint="default" w:ascii="Times New Roman" w:hAnsi="Times New Roman" w:eastAsia="宋体" w:cs="Times New Roman"/>
                <w:spacing w:val="5"/>
                <w:sz w:val="24"/>
                <w:szCs w:val="24"/>
                <w:highlight w:val="none"/>
                <w:lang w:eastAsia="zh-CN"/>
              </w:rPr>
              <w:t>（</w:t>
            </w:r>
            <w:r>
              <w:rPr>
                <w:rFonts w:hint="default" w:ascii="Times New Roman" w:hAnsi="Times New Roman" w:eastAsia="宋体" w:cs="Times New Roman"/>
                <w:spacing w:val="5"/>
                <w:sz w:val="24"/>
                <w:szCs w:val="24"/>
                <w:highlight w:val="none"/>
              </w:rPr>
              <w:t>迁建</w:t>
            </w:r>
            <w:r>
              <w:rPr>
                <w:rFonts w:hint="default" w:ascii="Times New Roman" w:hAnsi="Times New Roman" w:eastAsia="宋体" w:cs="Times New Roman"/>
                <w:spacing w:val="5"/>
                <w:sz w:val="24"/>
                <w:szCs w:val="24"/>
                <w:highlight w:val="none"/>
                <w:lang w:eastAsia="zh-CN"/>
              </w:rPr>
              <w:t>）</w:t>
            </w:r>
          </w:p>
          <w:p>
            <w:pPr>
              <w:spacing w:before="54" w:line="24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14"/>
                <w:sz w:val="24"/>
                <w:szCs w:val="24"/>
                <w:highlight w:val="none"/>
                <w:lang w:eastAsia="zh-CN"/>
              </w:rPr>
              <w:t>□</w:t>
            </w:r>
            <w:r>
              <w:rPr>
                <w:rFonts w:hint="default" w:ascii="Times New Roman" w:hAnsi="Times New Roman" w:eastAsia="宋体" w:cs="Times New Roman"/>
                <w:spacing w:val="-12"/>
                <w:sz w:val="24"/>
                <w:szCs w:val="24"/>
                <w:highlight w:val="none"/>
              </w:rPr>
              <w:t>改建</w:t>
            </w:r>
          </w:p>
          <w:p>
            <w:pPr>
              <w:spacing w:before="28" w:line="24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4"/>
                <w:sz w:val="24"/>
                <w:szCs w:val="24"/>
                <w:highlight w:val="none"/>
                <w:lang w:eastAsia="zh-CN"/>
              </w:rPr>
              <w:t>□</w:t>
            </w:r>
            <w:r>
              <w:rPr>
                <w:rFonts w:hint="default" w:ascii="Times New Roman" w:hAnsi="Times New Roman" w:eastAsia="宋体" w:cs="Times New Roman"/>
                <w:spacing w:val="2"/>
                <w:sz w:val="24"/>
                <w:szCs w:val="24"/>
                <w:highlight w:val="none"/>
              </w:rPr>
              <w:t>扩建</w:t>
            </w:r>
          </w:p>
          <w:p>
            <w:pPr>
              <w:spacing w:before="26" w:line="24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8"/>
                <w:sz w:val="24"/>
                <w:szCs w:val="24"/>
                <w:highlight w:val="none"/>
                <w:lang w:eastAsia="zh-CN"/>
              </w:rPr>
              <w:t>□</w:t>
            </w:r>
            <w:r>
              <w:rPr>
                <w:rFonts w:hint="default" w:ascii="Times New Roman" w:hAnsi="Times New Roman" w:eastAsia="宋体" w:cs="Times New Roman"/>
                <w:spacing w:val="5"/>
                <w:sz w:val="24"/>
                <w:szCs w:val="24"/>
                <w:highlight w:val="none"/>
              </w:rPr>
              <w:t>技术改造</w:t>
            </w:r>
          </w:p>
        </w:tc>
        <w:tc>
          <w:tcPr>
            <w:tcW w:w="1545" w:type="dxa"/>
            <w:tcBorders>
              <w:tl2br w:val="nil"/>
              <w:tr2bl w:val="nil"/>
            </w:tcBorders>
            <w:vAlign w:val="top"/>
          </w:tcPr>
          <w:p>
            <w:pPr>
              <w:spacing w:before="54" w:line="240" w:lineRule="auto"/>
              <w:jc w:val="center"/>
              <w:rPr>
                <w:rFonts w:hint="default" w:ascii="Times New Roman" w:hAnsi="Times New Roman" w:eastAsia="宋体" w:cs="Times New Roman"/>
                <w:spacing w:val="9"/>
                <w:sz w:val="24"/>
                <w:szCs w:val="24"/>
                <w:highlight w:val="none"/>
              </w:rPr>
            </w:pPr>
          </w:p>
          <w:p>
            <w:pPr>
              <w:spacing w:before="54" w:line="240" w:lineRule="auto"/>
              <w:jc w:val="center"/>
              <w:rPr>
                <w:rFonts w:hint="default" w:ascii="Times New Roman" w:hAnsi="Times New Roman" w:eastAsia="宋体" w:cs="Times New Roman"/>
                <w:spacing w:val="9"/>
                <w:sz w:val="24"/>
                <w:szCs w:val="24"/>
                <w:highlight w:val="none"/>
              </w:rPr>
            </w:pPr>
            <w:r>
              <w:rPr>
                <w:rFonts w:hint="default" w:ascii="Times New Roman" w:hAnsi="Times New Roman" w:eastAsia="宋体" w:cs="Times New Roman"/>
                <w:spacing w:val="9"/>
                <w:sz w:val="24"/>
                <w:szCs w:val="24"/>
                <w:highlight w:val="none"/>
              </w:rPr>
              <w:t>建设项目申报情形</w:t>
            </w:r>
          </w:p>
        </w:tc>
        <w:tc>
          <w:tcPr>
            <w:tcW w:w="3921" w:type="dxa"/>
            <w:tcBorders>
              <w:tl2br w:val="nil"/>
              <w:tr2bl w:val="nil"/>
            </w:tcBorders>
            <w:vAlign w:val="top"/>
          </w:tcPr>
          <w:p>
            <w:pPr>
              <w:spacing w:before="54" w:line="240" w:lineRule="auto"/>
              <w:ind w:left="26"/>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9"/>
                <w:sz w:val="24"/>
                <w:szCs w:val="24"/>
                <w:highlight w:val="none"/>
                <w:lang w:eastAsia="zh-CN"/>
              </w:rPr>
              <w:t>□</w:t>
            </w:r>
            <w:r>
              <w:rPr>
                <w:rFonts w:hint="default" w:ascii="Times New Roman" w:hAnsi="Times New Roman" w:eastAsia="宋体" w:cs="Times New Roman"/>
                <w:spacing w:val="7"/>
                <w:sz w:val="24"/>
                <w:szCs w:val="24"/>
                <w:highlight w:val="none"/>
              </w:rPr>
              <w:t>首次申报项目</w:t>
            </w:r>
          </w:p>
          <w:p>
            <w:pPr>
              <w:spacing w:before="26" w:line="240" w:lineRule="auto"/>
              <w:ind w:left="24"/>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10"/>
                <w:sz w:val="24"/>
                <w:szCs w:val="24"/>
                <w:highlight w:val="none"/>
                <w:lang w:eastAsia="zh-CN"/>
              </w:rPr>
              <w:t>□</w:t>
            </w:r>
            <w:r>
              <w:rPr>
                <w:rFonts w:hint="default" w:ascii="Times New Roman" w:hAnsi="Times New Roman" w:eastAsia="宋体" w:cs="Times New Roman"/>
                <w:spacing w:val="8"/>
                <w:sz w:val="24"/>
                <w:szCs w:val="24"/>
                <w:highlight w:val="none"/>
              </w:rPr>
              <w:t>不予批准后再次申报项目</w:t>
            </w:r>
          </w:p>
          <w:p>
            <w:pPr>
              <w:spacing w:before="29" w:line="240" w:lineRule="auto"/>
              <w:ind w:left="24"/>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8"/>
                <w:sz w:val="24"/>
                <w:szCs w:val="24"/>
                <w:highlight w:val="none"/>
                <w:lang w:eastAsia="zh-CN"/>
              </w:rPr>
              <w:t>□</w:t>
            </w:r>
            <w:r>
              <w:rPr>
                <w:rFonts w:hint="default" w:ascii="Times New Roman" w:hAnsi="Times New Roman" w:eastAsia="宋体" w:cs="Times New Roman"/>
                <w:spacing w:val="8"/>
                <w:sz w:val="24"/>
                <w:szCs w:val="24"/>
                <w:highlight w:val="none"/>
              </w:rPr>
              <w:t>超五年重新审核项</w:t>
            </w:r>
            <w:r>
              <w:rPr>
                <w:rFonts w:hint="default" w:ascii="Times New Roman" w:hAnsi="Times New Roman" w:eastAsia="宋体" w:cs="Times New Roman"/>
                <w:spacing w:val="6"/>
                <w:sz w:val="24"/>
                <w:szCs w:val="24"/>
                <w:highlight w:val="none"/>
              </w:rPr>
              <w:t>目</w:t>
            </w:r>
          </w:p>
          <w:p>
            <w:pPr>
              <w:spacing w:before="26" w:line="240" w:lineRule="auto"/>
              <w:ind w:left="24"/>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8"/>
                <w:sz w:val="24"/>
                <w:szCs w:val="24"/>
                <w:highlight w:val="none"/>
                <w:lang w:eastAsia="zh-CN"/>
              </w:rPr>
              <w:t>☑</w:t>
            </w:r>
            <w:r>
              <w:rPr>
                <w:rFonts w:hint="default" w:ascii="Times New Roman" w:hAnsi="Times New Roman" w:eastAsia="宋体" w:cs="Times New Roman"/>
                <w:spacing w:val="8"/>
                <w:sz w:val="24"/>
                <w:szCs w:val="24"/>
                <w:highlight w:val="none"/>
              </w:rPr>
              <w:t>重大变动重新报批项目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82" w:type="dxa"/>
            <w:tcBorders>
              <w:tl2br w:val="nil"/>
              <w:tr2bl w:val="nil"/>
            </w:tcBorders>
            <w:vAlign w:val="top"/>
          </w:tcPr>
          <w:p>
            <w:pPr>
              <w:spacing w:before="13" w:line="240" w:lineRule="auto"/>
              <w:ind w:left="16" w:firstLine="76"/>
              <w:jc w:val="center"/>
              <w:rPr>
                <w:rFonts w:hint="default" w:ascii="Times New Roman" w:hAnsi="Times New Roman" w:eastAsia="宋体" w:cs="Times New Roman"/>
                <w:spacing w:val="-4"/>
                <w:sz w:val="24"/>
                <w:szCs w:val="24"/>
                <w:highlight w:val="none"/>
              </w:rPr>
            </w:pPr>
            <w:r>
              <w:rPr>
                <w:rFonts w:hint="default" w:ascii="Times New Roman" w:hAnsi="Times New Roman" w:eastAsia="宋体" w:cs="Times New Roman"/>
                <w:spacing w:val="-2"/>
                <w:sz w:val="24"/>
                <w:szCs w:val="24"/>
                <w:highlight w:val="none"/>
              </w:rPr>
              <w:t>项目审</w:t>
            </w:r>
            <w:r>
              <w:rPr>
                <w:rFonts w:hint="default" w:ascii="Times New Roman" w:hAnsi="Times New Roman" w:eastAsia="宋体" w:cs="Times New Roman"/>
                <w:spacing w:val="-1"/>
                <w:sz w:val="24"/>
                <w:szCs w:val="24"/>
                <w:highlight w:val="none"/>
              </w:rPr>
              <w:t>批</w:t>
            </w:r>
            <w:r>
              <w:rPr>
                <w:rFonts w:hint="default" w:ascii="Times New Roman" w:hAnsi="Times New Roman" w:eastAsia="宋体" w:cs="Times New Roman"/>
                <w:spacing w:val="-1"/>
                <w:sz w:val="24"/>
                <w:szCs w:val="24"/>
                <w:highlight w:val="none"/>
                <w:lang w:eastAsia="zh-CN"/>
              </w:rPr>
              <w:t>（</w:t>
            </w:r>
            <w:r>
              <w:rPr>
                <w:rFonts w:hint="default" w:ascii="Times New Roman" w:hAnsi="Times New Roman" w:eastAsia="宋体" w:cs="Times New Roman"/>
                <w:spacing w:val="-1"/>
                <w:sz w:val="24"/>
                <w:szCs w:val="24"/>
                <w:highlight w:val="none"/>
              </w:rPr>
              <w:t>核准/</w:t>
            </w:r>
            <w:r>
              <w:rPr>
                <w:rFonts w:hint="default" w:ascii="Times New Roman" w:hAnsi="Times New Roman" w:eastAsia="宋体" w:cs="Times New Roman"/>
                <w:spacing w:val="-4"/>
                <w:sz w:val="24"/>
                <w:szCs w:val="24"/>
                <w:highlight w:val="none"/>
              </w:rPr>
              <w:t>备案</w:t>
            </w:r>
            <w:r>
              <w:rPr>
                <w:rFonts w:hint="default" w:ascii="Times New Roman" w:hAnsi="Times New Roman" w:eastAsia="宋体" w:cs="Times New Roman"/>
                <w:spacing w:val="-4"/>
                <w:sz w:val="24"/>
                <w:szCs w:val="24"/>
                <w:highlight w:val="none"/>
                <w:lang w:eastAsia="zh-CN"/>
              </w:rPr>
              <w:t>）</w:t>
            </w:r>
            <w:r>
              <w:rPr>
                <w:rFonts w:hint="default" w:ascii="Times New Roman" w:hAnsi="Times New Roman" w:eastAsia="宋体" w:cs="Times New Roman"/>
                <w:spacing w:val="-4"/>
                <w:sz w:val="24"/>
                <w:szCs w:val="24"/>
                <w:highlight w:val="none"/>
              </w:rPr>
              <w:t>部门</w:t>
            </w:r>
          </w:p>
          <w:p>
            <w:pPr>
              <w:spacing w:before="13" w:line="240" w:lineRule="auto"/>
              <w:ind w:left="16" w:firstLine="76"/>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4"/>
                <w:sz w:val="24"/>
                <w:szCs w:val="24"/>
                <w:highlight w:val="none"/>
                <w:lang w:eastAsia="zh-CN"/>
              </w:rPr>
              <w:t>（</w:t>
            </w:r>
            <w:r>
              <w:rPr>
                <w:rFonts w:hint="default" w:ascii="Times New Roman" w:hAnsi="Times New Roman" w:eastAsia="宋体" w:cs="Times New Roman"/>
                <w:spacing w:val="-4"/>
                <w:sz w:val="24"/>
                <w:szCs w:val="24"/>
                <w:highlight w:val="none"/>
              </w:rPr>
              <w:t>选填</w:t>
            </w:r>
            <w:r>
              <w:rPr>
                <w:rFonts w:hint="default" w:ascii="Times New Roman" w:hAnsi="Times New Roman" w:eastAsia="宋体" w:cs="Times New Roman"/>
                <w:spacing w:val="-4"/>
                <w:sz w:val="24"/>
                <w:szCs w:val="24"/>
                <w:highlight w:val="none"/>
                <w:lang w:eastAsia="zh-CN"/>
              </w:rPr>
              <w:t>）</w:t>
            </w:r>
          </w:p>
        </w:tc>
        <w:tc>
          <w:tcPr>
            <w:tcW w:w="1975" w:type="dxa"/>
            <w:tcBorders>
              <w:tl2br w:val="nil"/>
              <w:tr2bl w:val="nil"/>
            </w:tcBorders>
            <w:vAlign w:val="center"/>
          </w:tcPr>
          <w:p>
            <w:pPr>
              <w:spacing w:before="75"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7"/>
                <w:sz w:val="24"/>
                <w:szCs w:val="24"/>
                <w:highlight w:val="none"/>
                <w:lang w:val="en-US" w:eastAsia="zh-CN"/>
              </w:rPr>
              <w:t>辰溪县发展和改革局</w:t>
            </w:r>
          </w:p>
        </w:tc>
        <w:tc>
          <w:tcPr>
            <w:tcW w:w="1545" w:type="dxa"/>
            <w:tcBorders>
              <w:tl2br w:val="nil"/>
              <w:tr2bl w:val="nil"/>
            </w:tcBorders>
            <w:vAlign w:val="center"/>
          </w:tcPr>
          <w:p>
            <w:pPr>
              <w:spacing w:before="13"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7"/>
                <w:sz w:val="24"/>
                <w:szCs w:val="24"/>
                <w:highlight w:val="none"/>
              </w:rPr>
              <w:t>项</w:t>
            </w:r>
            <w:r>
              <w:rPr>
                <w:rFonts w:hint="default" w:ascii="Times New Roman" w:hAnsi="Times New Roman" w:eastAsia="宋体" w:cs="Times New Roman"/>
                <w:spacing w:val="5"/>
                <w:sz w:val="24"/>
                <w:szCs w:val="24"/>
                <w:highlight w:val="none"/>
              </w:rPr>
              <w:t>目审批</w:t>
            </w:r>
            <w:r>
              <w:rPr>
                <w:rFonts w:hint="default" w:ascii="Times New Roman" w:hAnsi="Times New Roman" w:eastAsia="宋体" w:cs="Times New Roman"/>
                <w:spacing w:val="5"/>
                <w:sz w:val="24"/>
                <w:szCs w:val="24"/>
                <w:highlight w:val="none"/>
                <w:lang w:eastAsia="zh-CN"/>
              </w:rPr>
              <w:t>（</w:t>
            </w:r>
            <w:r>
              <w:rPr>
                <w:rFonts w:hint="default" w:ascii="Times New Roman" w:hAnsi="Times New Roman" w:eastAsia="宋体" w:cs="Times New Roman"/>
                <w:spacing w:val="5"/>
                <w:sz w:val="24"/>
                <w:szCs w:val="24"/>
                <w:highlight w:val="none"/>
              </w:rPr>
              <w:t>核准/</w:t>
            </w:r>
            <w:r>
              <w:rPr>
                <w:rFonts w:hint="default" w:ascii="Times New Roman" w:hAnsi="Times New Roman" w:eastAsia="宋体" w:cs="Times New Roman"/>
                <w:spacing w:val="6"/>
                <w:sz w:val="24"/>
                <w:szCs w:val="24"/>
                <w:highlight w:val="none"/>
              </w:rPr>
              <w:t>备案</w:t>
            </w:r>
            <w:r>
              <w:rPr>
                <w:rFonts w:hint="default" w:ascii="Times New Roman" w:hAnsi="Times New Roman" w:eastAsia="宋体" w:cs="Times New Roman"/>
                <w:spacing w:val="6"/>
                <w:sz w:val="24"/>
                <w:szCs w:val="24"/>
                <w:highlight w:val="none"/>
                <w:lang w:eastAsia="zh-CN"/>
              </w:rPr>
              <w:t>）</w:t>
            </w:r>
            <w:r>
              <w:rPr>
                <w:rFonts w:hint="default" w:ascii="Times New Roman" w:hAnsi="Times New Roman" w:eastAsia="宋体" w:cs="Times New Roman"/>
                <w:spacing w:val="3"/>
                <w:sz w:val="24"/>
                <w:szCs w:val="24"/>
                <w:highlight w:val="none"/>
              </w:rPr>
              <w:t>文号</w:t>
            </w:r>
            <w:r>
              <w:rPr>
                <w:rFonts w:hint="default" w:ascii="Times New Roman" w:hAnsi="Times New Roman" w:eastAsia="宋体" w:cs="Times New Roman"/>
                <w:spacing w:val="3"/>
                <w:sz w:val="24"/>
                <w:szCs w:val="24"/>
                <w:highlight w:val="none"/>
                <w:lang w:eastAsia="zh-CN"/>
              </w:rPr>
              <w:t>（</w:t>
            </w:r>
            <w:r>
              <w:rPr>
                <w:rFonts w:hint="default" w:ascii="Times New Roman" w:hAnsi="Times New Roman" w:eastAsia="宋体" w:cs="Times New Roman"/>
                <w:spacing w:val="3"/>
                <w:sz w:val="24"/>
                <w:szCs w:val="24"/>
                <w:highlight w:val="none"/>
              </w:rPr>
              <w:t>选填</w:t>
            </w:r>
            <w:r>
              <w:rPr>
                <w:rFonts w:hint="default" w:ascii="Times New Roman" w:hAnsi="Times New Roman" w:eastAsia="宋体" w:cs="Times New Roman"/>
                <w:spacing w:val="3"/>
                <w:sz w:val="24"/>
                <w:szCs w:val="24"/>
                <w:highlight w:val="none"/>
                <w:lang w:eastAsia="zh-CN"/>
              </w:rPr>
              <w:t>）</w:t>
            </w:r>
          </w:p>
        </w:tc>
        <w:tc>
          <w:tcPr>
            <w:tcW w:w="3921" w:type="dxa"/>
            <w:tcBorders>
              <w:tl2br w:val="nil"/>
              <w:tr2bl w:val="nil"/>
            </w:tcBorders>
            <w:vAlign w:val="center"/>
          </w:tcPr>
          <w:p>
            <w:pPr>
              <w:spacing w:before="75"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7"/>
                <w:sz w:val="24"/>
                <w:szCs w:val="24"/>
                <w:highlight w:val="none"/>
                <w:lang w:val="en-US" w:eastAsia="zh-CN"/>
              </w:rPr>
              <w:t>辰发改工备〔2022〕17号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982" w:type="dxa"/>
            <w:tcBorders>
              <w:tl2br w:val="nil"/>
              <w:tr2bl w:val="nil"/>
            </w:tcBorders>
            <w:vAlign w:val="center"/>
          </w:tcPr>
          <w:p>
            <w:pPr>
              <w:spacing w:before="55" w:line="240" w:lineRule="auto"/>
              <w:ind w:left="133"/>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9"/>
                <w:sz w:val="24"/>
                <w:szCs w:val="24"/>
                <w:highlight w:val="none"/>
              </w:rPr>
              <w:t>总</w:t>
            </w:r>
            <w:r>
              <w:rPr>
                <w:rFonts w:hint="default" w:ascii="Times New Roman" w:hAnsi="Times New Roman" w:eastAsia="宋体" w:cs="Times New Roman"/>
                <w:spacing w:val="5"/>
                <w:sz w:val="24"/>
                <w:szCs w:val="24"/>
                <w:highlight w:val="none"/>
              </w:rPr>
              <w:t>投资</w:t>
            </w:r>
            <w:r>
              <w:rPr>
                <w:rFonts w:hint="default" w:ascii="Times New Roman" w:hAnsi="Times New Roman" w:eastAsia="宋体" w:cs="Times New Roman"/>
                <w:spacing w:val="5"/>
                <w:sz w:val="24"/>
                <w:szCs w:val="24"/>
                <w:highlight w:val="none"/>
                <w:lang w:eastAsia="zh-CN"/>
              </w:rPr>
              <w:t>（</w:t>
            </w:r>
            <w:r>
              <w:rPr>
                <w:rFonts w:hint="default" w:ascii="Times New Roman" w:hAnsi="Times New Roman" w:eastAsia="宋体" w:cs="Times New Roman"/>
                <w:spacing w:val="5"/>
                <w:sz w:val="24"/>
                <w:szCs w:val="24"/>
                <w:highlight w:val="none"/>
              </w:rPr>
              <w:t>万元</w:t>
            </w:r>
            <w:r>
              <w:rPr>
                <w:rFonts w:hint="default" w:ascii="Times New Roman" w:hAnsi="Times New Roman" w:eastAsia="宋体" w:cs="Times New Roman"/>
                <w:spacing w:val="5"/>
                <w:sz w:val="24"/>
                <w:szCs w:val="24"/>
                <w:highlight w:val="none"/>
                <w:lang w:eastAsia="zh-CN"/>
              </w:rPr>
              <w:t>）</w:t>
            </w:r>
          </w:p>
        </w:tc>
        <w:tc>
          <w:tcPr>
            <w:tcW w:w="1975" w:type="dxa"/>
            <w:tcBorders>
              <w:tl2br w:val="nil"/>
              <w:tr2bl w:val="nil"/>
            </w:tcBorders>
            <w:vAlign w:val="center"/>
          </w:tcPr>
          <w:p>
            <w:pPr>
              <w:spacing w:before="96"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pacing w:val="-1"/>
                <w:sz w:val="24"/>
                <w:szCs w:val="24"/>
                <w:highlight w:val="none"/>
                <w:lang w:val="en-US" w:eastAsia="zh-CN"/>
              </w:rPr>
              <w:t>4900</w:t>
            </w:r>
          </w:p>
        </w:tc>
        <w:tc>
          <w:tcPr>
            <w:tcW w:w="1545" w:type="dxa"/>
            <w:tcBorders>
              <w:tl2br w:val="nil"/>
              <w:tr2bl w:val="nil"/>
            </w:tcBorders>
            <w:vAlign w:val="center"/>
          </w:tcPr>
          <w:p>
            <w:pPr>
              <w:spacing w:before="55" w:line="240" w:lineRule="auto"/>
              <w:jc w:val="center"/>
              <w:rPr>
                <w:rFonts w:hint="default" w:ascii="Times New Roman" w:hAnsi="Times New Roman" w:eastAsia="宋体" w:cs="Times New Roman"/>
                <w:spacing w:val="6"/>
                <w:sz w:val="24"/>
                <w:szCs w:val="24"/>
                <w:highlight w:val="none"/>
              </w:rPr>
            </w:pPr>
            <w:r>
              <w:rPr>
                <w:rFonts w:hint="default" w:ascii="Times New Roman" w:hAnsi="Times New Roman" w:eastAsia="宋体" w:cs="Times New Roman"/>
                <w:spacing w:val="12"/>
                <w:sz w:val="24"/>
                <w:szCs w:val="24"/>
                <w:highlight w:val="none"/>
              </w:rPr>
              <w:t>环</w:t>
            </w:r>
            <w:r>
              <w:rPr>
                <w:rFonts w:hint="default" w:ascii="Times New Roman" w:hAnsi="Times New Roman" w:eastAsia="宋体" w:cs="Times New Roman"/>
                <w:spacing w:val="6"/>
                <w:sz w:val="24"/>
                <w:szCs w:val="24"/>
                <w:highlight w:val="none"/>
              </w:rPr>
              <w:t>保投资</w:t>
            </w:r>
          </w:p>
          <w:p>
            <w:pPr>
              <w:spacing w:before="55"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6"/>
                <w:sz w:val="24"/>
                <w:szCs w:val="24"/>
                <w:highlight w:val="none"/>
                <w:lang w:eastAsia="zh-CN"/>
              </w:rPr>
              <w:t>（</w:t>
            </w:r>
            <w:r>
              <w:rPr>
                <w:rFonts w:hint="default" w:ascii="Times New Roman" w:hAnsi="Times New Roman" w:eastAsia="宋体" w:cs="Times New Roman"/>
                <w:spacing w:val="6"/>
                <w:sz w:val="24"/>
                <w:szCs w:val="24"/>
                <w:highlight w:val="none"/>
              </w:rPr>
              <w:t>万元</w:t>
            </w:r>
            <w:r>
              <w:rPr>
                <w:rFonts w:hint="default" w:ascii="Times New Roman" w:hAnsi="Times New Roman" w:eastAsia="宋体" w:cs="Times New Roman"/>
                <w:spacing w:val="6"/>
                <w:sz w:val="24"/>
                <w:szCs w:val="24"/>
                <w:highlight w:val="none"/>
                <w:lang w:eastAsia="zh-CN"/>
              </w:rPr>
              <w:t>）</w:t>
            </w:r>
          </w:p>
        </w:tc>
        <w:tc>
          <w:tcPr>
            <w:tcW w:w="3921" w:type="dxa"/>
            <w:tcBorders>
              <w:tl2br w:val="nil"/>
              <w:tr2bl w:val="nil"/>
            </w:tcBorders>
            <w:vAlign w:val="center"/>
          </w:tcPr>
          <w:p>
            <w:pPr>
              <w:spacing w:before="96"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pacing w:val="-6"/>
                <w:sz w:val="24"/>
                <w:szCs w:val="24"/>
                <w:highlight w:val="none"/>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982" w:type="dxa"/>
            <w:tcBorders>
              <w:tl2br w:val="nil"/>
              <w:tr2bl w:val="nil"/>
            </w:tcBorders>
            <w:vAlign w:val="center"/>
          </w:tcPr>
          <w:p>
            <w:pPr>
              <w:spacing w:before="12" w:line="240" w:lineRule="auto"/>
              <w:ind w:left="13"/>
              <w:jc w:val="center"/>
              <w:rPr>
                <w:rFonts w:hint="default" w:ascii="Times New Roman" w:hAnsi="Times New Roman" w:eastAsia="宋体" w:cs="Times New Roman"/>
                <w:position w:val="1"/>
                <w:sz w:val="24"/>
                <w:szCs w:val="24"/>
                <w:highlight w:val="none"/>
              </w:rPr>
            </w:pPr>
            <w:r>
              <w:rPr>
                <w:rFonts w:hint="default" w:ascii="Times New Roman" w:hAnsi="Times New Roman" w:eastAsia="宋体" w:cs="Times New Roman"/>
                <w:spacing w:val="1"/>
                <w:position w:val="1"/>
                <w:sz w:val="24"/>
                <w:szCs w:val="24"/>
                <w:highlight w:val="none"/>
              </w:rPr>
              <w:t>环</w:t>
            </w:r>
            <w:r>
              <w:rPr>
                <w:rFonts w:hint="default" w:ascii="Times New Roman" w:hAnsi="Times New Roman" w:eastAsia="宋体" w:cs="Times New Roman"/>
                <w:position w:val="1"/>
                <w:sz w:val="24"/>
                <w:szCs w:val="24"/>
                <w:highlight w:val="none"/>
              </w:rPr>
              <w:t>保投资占比</w:t>
            </w:r>
          </w:p>
          <w:p>
            <w:pPr>
              <w:spacing w:before="12" w:line="240" w:lineRule="auto"/>
              <w:ind w:left="13"/>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position w:val="1"/>
                <w:sz w:val="24"/>
                <w:szCs w:val="24"/>
                <w:highlight w:val="none"/>
                <w:lang w:eastAsia="zh-CN"/>
              </w:rPr>
              <w:t>（</w:t>
            </w:r>
            <w:r>
              <w:rPr>
                <w:rFonts w:hint="default" w:ascii="Times New Roman" w:hAnsi="Times New Roman" w:eastAsia="宋体" w:cs="Times New Roman"/>
                <w:position w:val="1"/>
                <w:sz w:val="24"/>
                <w:szCs w:val="24"/>
                <w:highlight w:val="none"/>
              </w:rPr>
              <w:t>%</w:t>
            </w:r>
            <w:r>
              <w:rPr>
                <w:rFonts w:hint="eastAsia" w:ascii="Times New Roman" w:hAnsi="Times New Roman" w:eastAsia="宋体" w:cs="Times New Roman"/>
                <w:position w:val="1"/>
                <w:sz w:val="24"/>
                <w:szCs w:val="24"/>
                <w:highlight w:val="none"/>
                <w:lang w:eastAsia="zh-CN"/>
              </w:rPr>
              <w:t>）</w:t>
            </w:r>
          </w:p>
        </w:tc>
        <w:tc>
          <w:tcPr>
            <w:tcW w:w="1975" w:type="dxa"/>
            <w:tcBorders>
              <w:tl2br w:val="nil"/>
              <w:tr2bl w:val="nil"/>
            </w:tcBorders>
            <w:vAlign w:val="center"/>
          </w:tcPr>
          <w:p>
            <w:pPr>
              <w:spacing w:before="98" w:line="24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pacing w:val="2"/>
                <w:sz w:val="24"/>
                <w:szCs w:val="24"/>
                <w:highlight w:val="none"/>
                <w:lang w:val="en-US" w:eastAsia="zh-CN"/>
              </w:rPr>
              <w:t>1</w:t>
            </w:r>
          </w:p>
        </w:tc>
        <w:tc>
          <w:tcPr>
            <w:tcW w:w="1545" w:type="dxa"/>
            <w:tcBorders>
              <w:tl2br w:val="nil"/>
              <w:tr2bl w:val="nil"/>
            </w:tcBorders>
            <w:vAlign w:val="center"/>
          </w:tcPr>
          <w:p>
            <w:pPr>
              <w:spacing w:before="55" w:line="240" w:lineRule="auto"/>
              <w:jc w:val="center"/>
              <w:rPr>
                <w:rFonts w:hint="default" w:ascii="Times New Roman" w:hAnsi="Times New Roman" w:eastAsia="宋体" w:cs="Times New Roman"/>
                <w:spacing w:val="8"/>
                <w:sz w:val="24"/>
                <w:szCs w:val="24"/>
                <w:highlight w:val="none"/>
              </w:rPr>
            </w:pPr>
            <w:r>
              <w:rPr>
                <w:rFonts w:hint="default" w:ascii="Times New Roman" w:hAnsi="Times New Roman" w:eastAsia="宋体" w:cs="Times New Roman"/>
                <w:spacing w:val="8"/>
                <w:sz w:val="24"/>
                <w:szCs w:val="24"/>
                <w:highlight w:val="none"/>
              </w:rPr>
              <w:t>施工工期</w:t>
            </w:r>
          </w:p>
        </w:tc>
        <w:tc>
          <w:tcPr>
            <w:tcW w:w="3921" w:type="dxa"/>
            <w:tcBorders>
              <w:tl2br w:val="nil"/>
              <w:tr2bl w:val="nil"/>
            </w:tcBorders>
            <w:vAlign w:val="center"/>
          </w:tcPr>
          <w:p>
            <w:pPr>
              <w:spacing w:before="55"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5"/>
                <w:sz w:val="24"/>
                <w:szCs w:val="24"/>
                <w:highlight w:val="none"/>
              </w:rPr>
              <w:t>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982" w:type="dxa"/>
            <w:tcBorders>
              <w:tl2br w:val="nil"/>
              <w:tr2bl w:val="nil"/>
            </w:tcBorders>
            <w:vAlign w:val="top"/>
          </w:tcPr>
          <w:p>
            <w:pPr>
              <w:spacing w:before="221" w:line="240" w:lineRule="auto"/>
              <w:jc w:val="center"/>
              <w:rPr>
                <w:rFonts w:hint="default" w:ascii="Times New Roman" w:hAnsi="Times New Roman" w:eastAsia="宋体" w:cs="Times New Roman"/>
                <w:spacing w:val="7"/>
                <w:sz w:val="24"/>
                <w:szCs w:val="24"/>
                <w:highlight w:val="none"/>
              </w:rPr>
            </w:pPr>
            <w:r>
              <w:rPr>
                <w:rFonts w:hint="default" w:ascii="Times New Roman" w:hAnsi="Times New Roman" w:eastAsia="宋体" w:cs="Times New Roman"/>
                <w:spacing w:val="7"/>
                <w:sz w:val="24"/>
                <w:szCs w:val="24"/>
                <w:highlight w:val="none"/>
              </w:rPr>
              <w:t>是否开工建设</w:t>
            </w:r>
          </w:p>
        </w:tc>
        <w:tc>
          <w:tcPr>
            <w:tcW w:w="1975" w:type="dxa"/>
            <w:tcBorders>
              <w:tl2br w:val="nil"/>
              <w:tr2bl w:val="nil"/>
            </w:tcBorders>
            <w:vAlign w:val="top"/>
          </w:tcPr>
          <w:p>
            <w:pPr>
              <w:spacing w:before="65" w:line="240" w:lineRule="auto"/>
              <w:ind w:left="13" w:firstLine="484"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1"/>
                <w:position w:val="5"/>
                <w:sz w:val="24"/>
                <w:szCs w:val="24"/>
                <w:highlight w:val="none"/>
              </w:rPr>
              <w:t>☑</w:t>
            </w:r>
            <w:r>
              <w:rPr>
                <w:rFonts w:hint="default" w:ascii="Times New Roman" w:hAnsi="Times New Roman" w:eastAsia="宋体" w:cs="Times New Roman"/>
                <w:position w:val="5"/>
                <w:sz w:val="24"/>
                <w:szCs w:val="24"/>
                <w:highlight w:val="none"/>
              </w:rPr>
              <w:t>否</w:t>
            </w:r>
          </w:p>
          <w:p>
            <w:pPr>
              <w:spacing w:line="240" w:lineRule="auto"/>
              <w:ind w:left="11" w:firstLine="476"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1"/>
                <w:sz w:val="24"/>
                <w:szCs w:val="24"/>
                <w:highlight w:val="none"/>
                <w:lang w:eastAsia="zh-CN"/>
              </w:rPr>
              <w:t>□</w:t>
            </w:r>
            <w:r>
              <w:rPr>
                <w:rFonts w:hint="default" w:ascii="Times New Roman" w:hAnsi="Times New Roman" w:eastAsia="宋体" w:cs="Times New Roman"/>
                <w:spacing w:val="-1"/>
                <w:sz w:val="24"/>
                <w:szCs w:val="24"/>
                <w:highlight w:val="none"/>
              </w:rPr>
              <w:t>是</w:t>
            </w:r>
          </w:p>
        </w:tc>
        <w:tc>
          <w:tcPr>
            <w:tcW w:w="1545" w:type="dxa"/>
            <w:tcBorders>
              <w:tl2br w:val="nil"/>
              <w:tr2bl w:val="nil"/>
            </w:tcBorders>
            <w:vAlign w:val="top"/>
          </w:tcPr>
          <w:p>
            <w:pPr>
              <w:spacing w:before="55" w:line="240" w:lineRule="auto"/>
              <w:jc w:val="center"/>
              <w:rPr>
                <w:rFonts w:hint="default" w:ascii="Times New Roman" w:hAnsi="Times New Roman" w:eastAsia="宋体" w:cs="Times New Roman"/>
                <w:spacing w:val="8"/>
                <w:sz w:val="24"/>
                <w:szCs w:val="24"/>
                <w:highlight w:val="none"/>
              </w:rPr>
            </w:pPr>
            <w:r>
              <w:rPr>
                <w:rFonts w:hint="default" w:ascii="Times New Roman" w:hAnsi="Times New Roman" w:eastAsia="宋体" w:cs="Times New Roman"/>
                <w:spacing w:val="8"/>
                <w:sz w:val="24"/>
                <w:szCs w:val="24"/>
                <w:highlight w:val="none"/>
              </w:rPr>
              <w:t>用地面积</w:t>
            </w:r>
          </w:p>
          <w:p>
            <w:pPr>
              <w:spacing w:before="55" w:line="240" w:lineRule="auto"/>
              <w:jc w:val="center"/>
              <w:rPr>
                <w:rFonts w:hint="eastAsia" w:ascii="Times New Roman" w:hAnsi="Times New Roman" w:eastAsia="宋体" w:cs="Times New Roman"/>
                <w:spacing w:val="8"/>
                <w:sz w:val="24"/>
                <w:szCs w:val="24"/>
                <w:highlight w:val="none"/>
                <w:lang w:eastAsia="zh-CN"/>
              </w:rPr>
            </w:pPr>
            <w:r>
              <w:rPr>
                <w:rFonts w:hint="eastAsia" w:ascii="Times New Roman" w:hAnsi="Times New Roman" w:eastAsia="宋体" w:cs="Times New Roman"/>
                <w:spacing w:val="8"/>
                <w:sz w:val="24"/>
                <w:szCs w:val="24"/>
                <w:highlight w:val="none"/>
                <w:lang w:eastAsia="zh-CN"/>
              </w:rPr>
              <w:t>（</w:t>
            </w:r>
            <w:r>
              <w:rPr>
                <w:rFonts w:hint="default" w:ascii="Times New Roman" w:hAnsi="Times New Roman" w:eastAsia="宋体" w:cs="Times New Roman"/>
                <w:spacing w:val="8"/>
                <w:sz w:val="24"/>
                <w:szCs w:val="24"/>
                <w:highlight w:val="none"/>
                <w:lang w:val="en-US" w:eastAsia="zh-CN"/>
              </w:rPr>
              <w:t>m</w:t>
            </w:r>
            <w:r>
              <w:rPr>
                <w:rFonts w:hint="default" w:ascii="Times New Roman" w:hAnsi="Times New Roman" w:eastAsia="宋体" w:cs="Times New Roman"/>
                <w:spacing w:val="8"/>
                <w:sz w:val="24"/>
                <w:szCs w:val="24"/>
                <w:highlight w:val="none"/>
                <w:vertAlign w:val="superscript"/>
              </w:rPr>
              <w:t>2</w:t>
            </w:r>
            <w:r>
              <w:rPr>
                <w:rFonts w:hint="eastAsia" w:ascii="Times New Roman" w:hAnsi="Times New Roman" w:eastAsia="宋体" w:cs="Times New Roman"/>
                <w:spacing w:val="8"/>
                <w:sz w:val="24"/>
                <w:szCs w:val="24"/>
                <w:highlight w:val="none"/>
                <w:lang w:eastAsia="zh-CN"/>
              </w:rPr>
              <w:t>）</w:t>
            </w:r>
          </w:p>
        </w:tc>
        <w:tc>
          <w:tcPr>
            <w:tcW w:w="3921" w:type="dxa"/>
            <w:tcBorders>
              <w:tl2br w:val="nil"/>
              <w:tr2bl w:val="nil"/>
            </w:tcBorders>
            <w:vAlign w:val="top"/>
          </w:tcPr>
          <w:p>
            <w:pPr>
              <w:spacing w:before="262"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highlight w:val="none"/>
                <w:lang w:val="en-US" w:eastAsia="zh-CN"/>
              </w:rPr>
              <w:t>29703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82" w:type="dxa"/>
            <w:tcBorders>
              <w:tl2br w:val="nil"/>
              <w:tr2bl w:val="nil"/>
            </w:tcBorders>
            <w:vAlign w:val="center"/>
          </w:tcPr>
          <w:p>
            <w:pPr>
              <w:spacing w:before="221" w:line="228" w:lineRule="auto"/>
              <w:jc w:val="center"/>
              <w:rPr>
                <w:rFonts w:hint="default" w:ascii="Times New Roman" w:hAnsi="Times New Roman" w:eastAsia="宋体" w:cs="Times New Roman"/>
                <w:spacing w:val="7"/>
                <w:sz w:val="24"/>
                <w:szCs w:val="24"/>
                <w:highlight w:val="none"/>
              </w:rPr>
            </w:pPr>
            <w:r>
              <w:rPr>
                <w:rFonts w:hint="default" w:ascii="Times New Roman" w:hAnsi="Times New Roman" w:eastAsia="宋体" w:cs="Times New Roman"/>
                <w:spacing w:val="7"/>
                <w:sz w:val="24"/>
                <w:szCs w:val="24"/>
                <w:highlight w:val="none"/>
              </w:rPr>
              <w:t>专项评价设置情况</w:t>
            </w:r>
          </w:p>
        </w:tc>
        <w:tc>
          <w:tcPr>
            <w:tcW w:w="7441" w:type="dxa"/>
            <w:gridSpan w:val="3"/>
            <w:tcBorders>
              <w:tl2br w:val="nil"/>
              <w:tr2bl w:val="nil"/>
            </w:tcBorders>
            <w:vAlign w:val="top"/>
          </w:tcPr>
          <w:p>
            <w:pPr>
              <w:pStyle w:val="21"/>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pacing w:val="-62"/>
                <w:sz w:val="21"/>
                <w:szCs w:val="21"/>
                <w:highlight w:val="none"/>
              </w:rPr>
              <w:t xml:space="preserve"> </w:t>
            </w: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t>专项评价设置原则表</w:t>
            </w:r>
          </w:p>
          <w:tbl>
            <w:tblPr>
              <w:tblStyle w:val="15"/>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708"/>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pct"/>
                  <w:noWrap w:val="0"/>
                  <w:vAlign w:val="center"/>
                </w:tcPr>
                <w:p>
                  <w:pPr>
                    <w:pStyle w:val="13"/>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专项评价的类别</w:t>
                  </w:r>
                </w:p>
              </w:tc>
              <w:tc>
                <w:tcPr>
                  <w:tcW w:w="1880" w:type="pct"/>
                  <w:noWrap w:val="0"/>
                  <w:vAlign w:val="center"/>
                </w:tcPr>
                <w:p>
                  <w:pPr>
                    <w:pStyle w:val="13"/>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设置原则</w:t>
                  </w:r>
                </w:p>
              </w:tc>
              <w:tc>
                <w:tcPr>
                  <w:tcW w:w="2343" w:type="pct"/>
                  <w:noWrap w:val="0"/>
                  <w:vAlign w:val="center"/>
                </w:tcPr>
                <w:p>
                  <w:pPr>
                    <w:pStyle w:val="13"/>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pct"/>
                  <w:noWrap w:val="0"/>
                  <w:vAlign w:val="center"/>
                </w:tcPr>
                <w:p>
                  <w:pPr>
                    <w:pStyle w:val="2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w:t>
                  </w:r>
                </w:p>
              </w:tc>
              <w:tc>
                <w:tcPr>
                  <w:tcW w:w="1880" w:type="pct"/>
                  <w:noWrap w:val="0"/>
                  <w:vAlign w:val="center"/>
                </w:tcPr>
                <w:p>
                  <w:pPr>
                    <w:pStyle w:val="22"/>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排放废气含有毒有害污染物</w:t>
                  </w:r>
                  <w:r>
                    <w:rPr>
                      <w:rFonts w:hint="default" w:ascii="Times New Roman" w:hAnsi="Times New Roman" w:eastAsia="宋体" w:cs="Times New Roman"/>
                      <w:color w:val="auto"/>
                      <w:sz w:val="21"/>
                      <w:szCs w:val="21"/>
                      <w:highlight w:val="none"/>
                      <w:vertAlign w:val="superscript"/>
                    </w:rPr>
                    <w:t>1</w:t>
                  </w:r>
                  <w:r>
                    <w:rPr>
                      <w:rFonts w:hint="default" w:ascii="Times New Roman" w:hAnsi="Times New Roman" w:eastAsia="宋体" w:cs="Times New Roman"/>
                      <w:color w:val="auto"/>
                      <w:sz w:val="21"/>
                      <w:szCs w:val="21"/>
                      <w:highlight w:val="none"/>
                    </w:rPr>
                    <w:t>、二噁英、苯并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芘、氰化物、氯气且厂界外500米范围内有环境空气保护目标</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的建设项目</w:t>
                  </w:r>
                </w:p>
              </w:tc>
              <w:tc>
                <w:tcPr>
                  <w:tcW w:w="2343" w:type="pct"/>
                  <w:noWrap w:val="0"/>
                  <w:vAlign w:val="center"/>
                </w:tcPr>
                <w:p>
                  <w:pPr>
                    <w:pStyle w:val="22"/>
                    <w:keepNext w:val="0"/>
                    <w:keepLines w:val="0"/>
                    <w:widowControl/>
                    <w:suppressLineNumbers w:val="0"/>
                    <w:spacing w:before="0" w:beforeAutospacing="0" w:after="0" w:afterAutospacing="0"/>
                    <w:ind w:left="0" w:right="0"/>
                    <w:jc w:val="left"/>
                    <w:rPr>
                      <w:rStyle w:val="23"/>
                      <w:rFonts w:hint="default" w:ascii="Times New Roman" w:hAnsi="Times New Roman" w:eastAsia="宋体" w:cs="Times New Roman"/>
                      <w:bCs w:val="0"/>
                      <w:color w:val="auto"/>
                      <w:sz w:val="21"/>
                      <w:szCs w:val="21"/>
                      <w:highlight w:val="none"/>
                    </w:rPr>
                  </w:pPr>
                  <w:r>
                    <w:rPr>
                      <w:rStyle w:val="23"/>
                      <w:rFonts w:hint="default" w:ascii="Times New Roman" w:hAnsi="Times New Roman" w:eastAsia="宋体" w:cs="Times New Roman"/>
                      <w:bCs w:val="0"/>
                      <w:color w:val="auto"/>
                      <w:sz w:val="21"/>
                      <w:szCs w:val="21"/>
                      <w:highlight w:val="none"/>
                    </w:rPr>
                    <w:t>本项目废气中不含</w:t>
                  </w:r>
                  <w:r>
                    <w:rPr>
                      <w:rFonts w:hint="default" w:ascii="Times New Roman" w:hAnsi="Times New Roman" w:eastAsia="宋体" w:cs="Times New Roman"/>
                      <w:color w:val="auto"/>
                      <w:sz w:val="21"/>
                      <w:szCs w:val="21"/>
                      <w:highlight w:val="none"/>
                    </w:rPr>
                    <w:t>有毒有害污染物</w:t>
                  </w:r>
                  <w:r>
                    <w:rPr>
                      <w:rFonts w:hint="default" w:ascii="Times New Roman" w:hAnsi="Times New Roman" w:eastAsia="宋体" w:cs="Times New Roman"/>
                      <w:color w:val="auto"/>
                      <w:sz w:val="21"/>
                      <w:szCs w:val="21"/>
                      <w:highlight w:val="none"/>
                      <w:vertAlign w:val="superscript"/>
                    </w:rPr>
                    <w:t>1</w:t>
                  </w:r>
                  <w:r>
                    <w:rPr>
                      <w:rFonts w:hint="default" w:ascii="Times New Roman" w:hAnsi="Times New Roman" w:eastAsia="宋体" w:cs="Times New Roman"/>
                      <w:color w:val="auto"/>
                      <w:sz w:val="21"/>
                      <w:szCs w:val="21"/>
                      <w:highlight w:val="none"/>
                    </w:rPr>
                    <w:t>、二噁英、苯并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芘、氰化物、氯气等</w:t>
                  </w:r>
                  <w:r>
                    <w:rPr>
                      <w:rStyle w:val="23"/>
                      <w:rFonts w:hint="default" w:ascii="Times New Roman" w:hAnsi="Times New Roman" w:eastAsia="宋体" w:cs="Times New Roman"/>
                      <w:bCs w:val="0"/>
                      <w:color w:val="auto"/>
                      <w:sz w:val="21"/>
                      <w:szCs w:val="21"/>
                      <w:highlight w:val="none"/>
                    </w:rPr>
                    <w:t>，废气主要为</w:t>
                  </w:r>
                  <w:r>
                    <w:rPr>
                      <w:rStyle w:val="23"/>
                      <w:rFonts w:hint="default" w:ascii="Times New Roman" w:hAnsi="Times New Roman" w:eastAsia="宋体" w:cs="Times New Roman"/>
                      <w:bCs w:val="0"/>
                      <w:color w:val="auto"/>
                      <w:sz w:val="21"/>
                      <w:szCs w:val="21"/>
                      <w:highlight w:val="none"/>
                      <w:lang w:val="en-US" w:eastAsia="zh-CN"/>
                    </w:rPr>
                    <w:t>颗粒物</w:t>
                  </w:r>
                  <w:r>
                    <w:rPr>
                      <w:rStyle w:val="23"/>
                      <w:rFonts w:hint="default" w:ascii="Times New Roman" w:hAnsi="Times New Roman" w:eastAsia="宋体" w:cs="Times New Roman"/>
                      <w:bCs w:val="0"/>
                      <w:color w:val="auto"/>
                      <w:sz w:val="21"/>
                      <w:szCs w:val="21"/>
                      <w:highlight w:val="none"/>
                    </w:rPr>
                    <w:t>，故本项目无需开展大气专项评价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pct"/>
                  <w:noWrap w:val="0"/>
                  <w:vAlign w:val="center"/>
                </w:tcPr>
                <w:p>
                  <w:pPr>
                    <w:pStyle w:val="2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w:t>
                  </w:r>
                </w:p>
              </w:tc>
              <w:tc>
                <w:tcPr>
                  <w:tcW w:w="1880" w:type="pct"/>
                  <w:noWrap w:val="0"/>
                  <w:vAlign w:val="center"/>
                </w:tcPr>
                <w:p>
                  <w:pPr>
                    <w:pStyle w:val="22"/>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新增工业废水直排建设项目（槽罐车外送污水处理厂的除外）；新增废水直排的污水集中处理厂</w:t>
                  </w:r>
                </w:p>
              </w:tc>
              <w:tc>
                <w:tcPr>
                  <w:tcW w:w="2343" w:type="pct"/>
                  <w:noWrap w:val="0"/>
                  <w:vAlign w:val="center"/>
                </w:tcPr>
                <w:p>
                  <w:pPr>
                    <w:pStyle w:val="13"/>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废水经处理后回用于工业环节，不排放</w:t>
                  </w:r>
                  <w:r>
                    <w:rPr>
                      <w:rFonts w:hint="default" w:ascii="Times New Roman" w:hAnsi="Times New Roman" w:eastAsia="宋体" w:cs="Times New Roman"/>
                      <w:color w:val="auto"/>
                      <w:sz w:val="21"/>
                      <w:szCs w:val="21"/>
                      <w:highlight w:val="none"/>
                    </w:rPr>
                    <w:t>，故本项目无需开展地表水专项评价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pct"/>
                  <w:noWrap w:val="0"/>
                  <w:vAlign w:val="center"/>
                </w:tcPr>
                <w:p>
                  <w:pPr>
                    <w:pStyle w:val="13"/>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w:t>
                  </w:r>
                </w:p>
              </w:tc>
              <w:tc>
                <w:tcPr>
                  <w:tcW w:w="1880" w:type="pct"/>
                  <w:noWrap w:val="0"/>
                  <w:vAlign w:val="center"/>
                </w:tcPr>
                <w:p>
                  <w:pPr>
                    <w:pStyle w:val="13"/>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有毒有害和易燃易爆危险物质存储量超过临界量</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的建设项目</w:t>
                  </w:r>
                </w:p>
              </w:tc>
              <w:tc>
                <w:tcPr>
                  <w:tcW w:w="2343" w:type="pct"/>
                  <w:noWrap w:val="0"/>
                  <w:vAlign w:val="center"/>
                </w:tcPr>
                <w:p>
                  <w:pPr>
                    <w:pStyle w:val="13"/>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sz w:val="21"/>
                      <w:szCs w:val="21"/>
                      <w:highlight w:val="none"/>
                    </w:rPr>
                    <w:t>项目Q＜1，有毒有害和易燃易爆危险物质存储量未超过临界量，无需设置环境风险专项评价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pct"/>
                  <w:noWrap w:val="0"/>
                  <w:vAlign w:val="center"/>
                </w:tcPr>
                <w:p>
                  <w:pPr>
                    <w:pStyle w:val="2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w:t>
                  </w:r>
                </w:p>
              </w:tc>
              <w:tc>
                <w:tcPr>
                  <w:tcW w:w="1880" w:type="pct"/>
                  <w:noWrap w:val="0"/>
                  <w:vAlign w:val="center"/>
                </w:tcPr>
                <w:p>
                  <w:pPr>
                    <w:pStyle w:val="22"/>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取水口下游500米范围内有重要水生生物的自然产卵场、索饵场、越冬场和洄游通道的新增河道取水的污染类建设项目</w:t>
                  </w:r>
                </w:p>
              </w:tc>
              <w:tc>
                <w:tcPr>
                  <w:tcW w:w="2343" w:type="pct"/>
                  <w:noWrap w:val="0"/>
                  <w:vAlign w:val="center"/>
                </w:tcPr>
                <w:p>
                  <w:pPr>
                    <w:pStyle w:val="22"/>
                    <w:keepNext w:val="0"/>
                    <w:keepLines w:val="0"/>
                    <w:widowControl/>
                    <w:suppressLineNumbers w:val="0"/>
                    <w:spacing w:before="0" w:beforeAutospacing="0" w:after="0" w:afterAutospacing="0"/>
                    <w:ind w:left="0" w:right="0"/>
                    <w:jc w:val="left"/>
                    <w:rPr>
                      <w:rStyle w:val="23"/>
                      <w:rFonts w:hint="default" w:ascii="Times New Roman" w:hAnsi="Times New Roman" w:eastAsia="宋体" w:cs="Times New Roman"/>
                      <w:bCs w:val="0"/>
                      <w:color w:val="auto"/>
                      <w:sz w:val="21"/>
                      <w:szCs w:val="21"/>
                      <w:highlight w:val="none"/>
                    </w:rPr>
                  </w:pPr>
                  <w:r>
                    <w:rPr>
                      <w:rStyle w:val="23"/>
                      <w:rFonts w:hint="default" w:ascii="Times New Roman" w:hAnsi="Times New Roman" w:eastAsia="宋体" w:cs="Times New Roman"/>
                      <w:bCs w:val="0"/>
                      <w:color w:val="auto"/>
                      <w:sz w:val="21"/>
                      <w:szCs w:val="21"/>
                      <w:highlight w:val="none"/>
                    </w:rPr>
                    <w:t>本项目不属于</w:t>
                  </w:r>
                  <w:r>
                    <w:rPr>
                      <w:rFonts w:hint="default" w:ascii="Times New Roman" w:hAnsi="Times New Roman" w:eastAsia="宋体" w:cs="Times New Roman"/>
                      <w:color w:val="auto"/>
                      <w:sz w:val="21"/>
                      <w:szCs w:val="21"/>
                      <w:highlight w:val="none"/>
                    </w:rPr>
                    <w:t>新增河道取水的污染类建设项目</w:t>
                  </w:r>
                  <w:r>
                    <w:rPr>
                      <w:rStyle w:val="23"/>
                      <w:rFonts w:hint="default" w:ascii="Times New Roman" w:hAnsi="Times New Roman" w:eastAsia="宋体" w:cs="Times New Roman"/>
                      <w:bCs w:val="0"/>
                      <w:color w:val="auto"/>
                      <w:sz w:val="21"/>
                      <w:szCs w:val="21"/>
                      <w:highlight w:val="none"/>
                    </w:rPr>
                    <w:t>，故本项目无需开展生态专项评价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pct"/>
                  <w:noWrap w:val="0"/>
                  <w:vAlign w:val="center"/>
                </w:tcPr>
                <w:p>
                  <w:pPr>
                    <w:pStyle w:val="2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海洋</w:t>
                  </w:r>
                </w:p>
              </w:tc>
              <w:tc>
                <w:tcPr>
                  <w:tcW w:w="1880" w:type="pct"/>
                  <w:noWrap w:val="0"/>
                  <w:vAlign w:val="center"/>
                </w:tcPr>
                <w:p>
                  <w:pPr>
                    <w:pStyle w:val="22"/>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直接向海排放污染物的海洋工程建设项目</w:t>
                  </w:r>
                </w:p>
              </w:tc>
              <w:tc>
                <w:tcPr>
                  <w:tcW w:w="2343" w:type="pct"/>
                  <w:noWrap w:val="0"/>
                  <w:vAlign w:val="center"/>
                </w:tcPr>
                <w:p>
                  <w:pPr>
                    <w:pStyle w:val="22"/>
                    <w:keepNext w:val="0"/>
                    <w:keepLines w:val="0"/>
                    <w:widowControl/>
                    <w:suppressLineNumbers w:val="0"/>
                    <w:spacing w:before="0" w:beforeAutospacing="0" w:after="0" w:afterAutospacing="0"/>
                    <w:ind w:left="0" w:right="0"/>
                    <w:jc w:val="left"/>
                    <w:rPr>
                      <w:rStyle w:val="23"/>
                      <w:rFonts w:hint="default" w:ascii="Times New Roman" w:hAnsi="Times New Roman" w:eastAsia="宋体" w:cs="Times New Roman"/>
                      <w:bCs w:val="0"/>
                      <w:color w:val="auto"/>
                      <w:sz w:val="21"/>
                      <w:szCs w:val="21"/>
                      <w:highlight w:val="none"/>
                    </w:rPr>
                  </w:pPr>
                  <w:r>
                    <w:rPr>
                      <w:rStyle w:val="23"/>
                      <w:rFonts w:hint="default" w:ascii="Times New Roman" w:hAnsi="Times New Roman" w:eastAsia="宋体" w:cs="Times New Roman"/>
                      <w:bCs w:val="0"/>
                      <w:color w:val="auto"/>
                      <w:sz w:val="21"/>
                      <w:szCs w:val="21"/>
                      <w:highlight w:val="none"/>
                    </w:rPr>
                    <w:t>本项目不属于海洋工程建设项目，故本项目无需开展海洋专项评价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5" w:type="pct"/>
                  <w:noWrap w:val="0"/>
                  <w:vAlign w:val="center"/>
                </w:tcPr>
                <w:p>
                  <w:pPr>
                    <w:pStyle w:val="2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地下水</w:t>
                  </w:r>
                </w:p>
              </w:tc>
              <w:tc>
                <w:tcPr>
                  <w:tcW w:w="1880" w:type="pct"/>
                  <w:noWrap w:val="0"/>
                  <w:vAlign w:val="center"/>
                </w:tcPr>
                <w:p>
                  <w:pPr>
                    <w:pStyle w:val="22"/>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涉及集中式饮用水水源和热水、矿泉水、温泉等特殊地下水资源保护区</w:t>
                  </w:r>
                </w:p>
              </w:tc>
              <w:tc>
                <w:tcPr>
                  <w:tcW w:w="2343" w:type="pct"/>
                  <w:noWrap w:val="0"/>
                  <w:vAlign w:val="center"/>
                </w:tcPr>
                <w:p>
                  <w:pPr>
                    <w:pStyle w:val="22"/>
                    <w:keepNext w:val="0"/>
                    <w:keepLines w:val="0"/>
                    <w:widowControl/>
                    <w:suppressLineNumbers w:val="0"/>
                    <w:spacing w:before="0" w:beforeAutospacing="0" w:after="0" w:afterAutospacing="0"/>
                    <w:ind w:left="0" w:right="0"/>
                    <w:jc w:val="left"/>
                    <w:rPr>
                      <w:rStyle w:val="23"/>
                      <w:rFonts w:hint="default" w:ascii="Times New Roman" w:hAnsi="Times New Roman" w:eastAsia="宋体" w:cs="Times New Roman"/>
                      <w:bCs w:val="0"/>
                      <w:color w:val="auto"/>
                      <w:sz w:val="21"/>
                      <w:szCs w:val="21"/>
                      <w:highlight w:val="none"/>
                    </w:rPr>
                  </w:pPr>
                  <w:r>
                    <w:rPr>
                      <w:rStyle w:val="23"/>
                      <w:rFonts w:hint="default" w:ascii="Times New Roman" w:hAnsi="Times New Roman" w:eastAsia="宋体" w:cs="Times New Roman"/>
                      <w:bCs w:val="0"/>
                      <w:color w:val="auto"/>
                      <w:sz w:val="21"/>
                      <w:szCs w:val="21"/>
                      <w:highlight w:val="none"/>
                    </w:rPr>
                    <w:t>本项目不涉及集中式饮用水水源和热水、矿泉水、温泉等特殊地下水资源保护区，故本项目无需开展地下水专项评价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3"/>
                  <w:noWrap w:val="0"/>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注：1.废气中有毒有害污染物</w:t>
                  </w:r>
                  <w:r>
                    <w:rPr>
                      <w:rFonts w:hint="default" w:ascii="Times New Roman" w:hAnsi="Times New Roman" w:eastAsia="宋体" w:cs="Times New Roman"/>
                      <w:color w:val="auto"/>
                      <w:sz w:val="21"/>
                      <w:szCs w:val="21"/>
                      <w:highlight w:val="none"/>
                      <w:lang w:eastAsia="zh-CN"/>
                    </w:rPr>
                    <w:t>指标</w:t>
                  </w:r>
                  <w:r>
                    <w:rPr>
                      <w:rFonts w:hint="default" w:ascii="Times New Roman" w:hAnsi="Times New Roman" w:eastAsia="宋体" w:cs="Times New Roman"/>
                      <w:color w:val="auto"/>
                      <w:sz w:val="21"/>
                      <w:szCs w:val="21"/>
                      <w:highlight w:val="none"/>
                    </w:rPr>
                    <w:t>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169）附录B、附录C。</w:t>
                  </w:r>
                </w:p>
              </w:tc>
            </w:tr>
          </w:tbl>
          <w:p>
            <w:pPr>
              <w:spacing w:before="38" w:line="238" w:lineRule="auto"/>
              <w:ind w:left="1336" w:right="95" w:hanging="1230"/>
              <w:rPr>
                <w:rFonts w:hint="default" w:ascii="Times New Roman" w:hAnsi="Times New Roman" w:eastAsia="宋体" w:cs="Times New Roman"/>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982" w:type="dxa"/>
            <w:tcBorders>
              <w:tl2br w:val="nil"/>
              <w:tr2bl w:val="nil"/>
            </w:tcBorders>
            <w:vAlign w:val="center"/>
          </w:tcPr>
          <w:p>
            <w:pPr>
              <w:spacing w:before="12" w:line="240" w:lineRule="auto"/>
              <w:ind w:left="13"/>
              <w:jc w:val="center"/>
              <w:rPr>
                <w:rFonts w:hint="default" w:ascii="Times New Roman" w:hAnsi="Times New Roman" w:eastAsia="宋体" w:cs="Times New Roman"/>
                <w:position w:val="1"/>
                <w:sz w:val="24"/>
                <w:szCs w:val="24"/>
                <w:highlight w:val="none"/>
              </w:rPr>
            </w:pPr>
            <w:r>
              <w:rPr>
                <w:rFonts w:hint="default" w:ascii="Times New Roman" w:hAnsi="Times New Roman" w:eastAsia="宋体" w:cs="Times New Roman"/>
                <w:position w:val="1"/>
                <w:sz w:val="24"/>
                <w:szCs w:val="24"/>
                <w:highlight w:val="none"/>
              </w:rPr>
              <w:t>规划情况</w:t>
            </w:r>
          </w:p>
        </w:tc>
        <w:tc>
          <w:tcPr>
            <w:tcW w:w="7441" w:type="dxa"/>
            <w:gridSpan w:val="3"/>
            <w:tcBorders>
              <w:tl2br w:val="nil"/>
              <w:tr2bl w:val="nil"/>
            </w:tcBorders>
            <w:vAlign w:val="center"/>
          </w:tcPr>
          <w:p>
            <w:pPr>
              <w:spacing w:before="68" w:line="221" w:lineRule="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规划名称：《</w:t>
            </w:r>
            <w:r>
              <w:rPr>
                <w:rFonts w:hint="default" w:ascii="Times New Roman" w:hAnsi="Times New Roman" w:eastAsia="宋体" w:cs="Times New Roman"/>
                <w:color w:val="0000FF"/>
                <w:sz w:val="24"/>
                <w:szCs w:val="24"/>
                <w:lang w:val="en-US" w:eastAsia="zh-CN"/>
              </w:rPr>
              <w:t>辰溪县预拌混凝土搅拌站专项规划</w:t>
            </w:r>
            <w:r>
              <w:rPr>
                <w:rFonts w:hint="eastAsia" w:ascii="Times New Roman" w:hAnsi="Times New Roman" w:eastAsia="宋体" w:cs="Times New Roman"/>
                <w:color w:val="0000FF"/>
                <w:sz w:val="24"/>
                <w:szCs w:val="24"/>
                <w:lang w:val="en-US" w:eastAsia="zh-CN"/>
              </w:rPr>
              <w:t>》（2021-2035年）</w:t>
            </w:r>
          </w:p>
          <w:p>
            <w:pPr>
              <w:spacing w:before="68" w:line="221" w:lineRule="auto"/>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发布单位：</w:t>
            </w:r>
            <w:r>
              <w:rPr>
                <w:rFonts w:hint="default" w:ascii="Times New Roman" w:hAnsi="Times New Roman" w:eastAsia="宋体" w:cs="Times New Roman"/>
                <w:color w:val="0000FF"/>
                <w:sz w:val="24"/>
                <w:szCs w:val="24"/>
                <w:lang w:val="en-US" w:eastAsia="zh-CN"/>
              </w:rPr>
              <w:t>辰溪县自然资源局</w:t>
            </w:r>
          </w:p>
          <w:p>
            <w:pPr>
              <w:spacing w:before="68" w:line="221"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color w:val="0000FF"/>
                <w:sz w:val="24"/>
                <w:szCs w:val="24"/>
                <w:lang w:val="en-US" w:eastAsia="zh-CN"/>
              </w:rPr>
              <w:t>发布时间：2021年6月8日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82" w:type="dxa"/>
            <w:tcBorders>
              <w:tl2br w:val="nil"/>
              <w:tr2bl w:val="nil"/>
            </w:tcBorders>
            <w:vAlign w:val="center"/>
          </w:tcPr>
          <w:p>
            <w:pPr>
              <w:spacing w:before="12" w:line="240" w:lineRule="auto"/>
              <w:ind w:left="13"/>
              <w:jc w:val="center"/>
              <w:rPr>
                <w:rFonts w:hint="default" w:ascii="Times New Roman" w:hAnsi="Times New Roman" w:eastAsia="宋体" w:cs="Times New Roman"/>
                <w:position w:val="1"/>
                <w:sz w:val="24"/>
                <w:szCs w:val="24"/>
                <w:highlight w:val="none"/>
              </w:rPr>
            </w:pPr>
            <w:r>
              <w:rPr>
                <w:rFonts w:hint="default" w:ascii="Times New Roman" w:hAnsi="Times New Roman" w:eastAsia="宋体" w:cs="Times New Roman"/>
                <w:position w:val="1"/>
                <w:sz w:val="24"/>
                <w:szCs w:val="24"/>
                <w:highlight w:val="none"/>
              </w:rPr>
              <w:t>规划环境影响评价情况</w:t>
            </w:r>
          </w:p>
        </w:tc>
        <w:tc>
          <w:tcPr>
            <w:tcW w:w="7441" w:type="dxa"/>
            <w:gridSpan w:val="3"/>
            <w:tcBorders>
              <w:tl2br w:val="nil"/>
              <w:tr2bl w:val="nil"/>
            </w:tcBorders>
            <w:vAlign w:val="center"/>
          </w:tcPr>
          <w:p>
            <w:pPr>
              <w:spacing w:before="27" w:line="360" w:lineRule="auto"/>
              <w:ind w:left="105" w:right="95" w:firstLine="11"/>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4" w:hRule="atLeast"/>
        </w:trPr>
        <w:tc>
          <w:tcPr>
            <w:tcW w:w="1982" w:type="dxa"/>
            <w:tcBorders>
              <w:tl2br w:val="nil"/>
              <w:tr2bl w:val="nil"/>
            </w:tcBorders>
            <w:vAlign w:val="center"/>
          </w:tcPr>
          <w:p>
            <w:pPr>
              <w:spacing w:before="12" w:line="240" w:lineRule="auto"/>
              <w:ind w:left="13"/>
              <w:jc w:val="center"/>
              <w:rPr>
                <w:rFonts w:hint="default" w:ascii="Times New Roman" w:hAnsi="Times New Roman" w:eastAsia="宋体" w:cs="Times New Roman"/>
                <w:position w:val="1"/>
                <w:sz w:val="24"/>
                <w:szCs w:val="24"/>
                <w:highlight w:val="none"/>
              </w:rPr>
            </w:pPr>
            <w:r>
              <w:rPr>
                <w:rFonts w:hint="default" w:ascii="Times New Roman" w:hAnsi="Times New Roman" w:eastAsia="宋体" w:cs="Times New Roman"/>
                <w:position w:val="1"/>
                <w:sz w:val="24"/>
                <w:szCs w:val="24"/>
                <w:highlight w:val="none"/>
              </w:rPr>
              <w:t>规划及规划环境</w:t>
            </w:r>
          </w:p>
          <w:p>
            <w:pPr>
              <w:spacing w:before="12" w:line="240" w:lineRule="auto"/>
              <w:ind w:left="13"/>
              <w:jc w:val="center"/>
              <w:rPr>
                <w:rFonts w:hint="default" w:ascii="Times New Roman" w:hAnsi="Times New Roman" w:eastAsia="宋体" w:cs="Times New Roman"/>
                <w:position w:val="1"/>
                <w:sz w:val="24"/>
                <w:szCs w:val="24"/>
                <w:highlight w:val="none"/>
              </w:rPr>
            </w:pPr>
            <w:r>
              <w:rPr>
                <w:rFonts w:hint="default" w:ascii="Times New Roman" w:hAnsi="Times New Roman" w:eastAsia="宋体" w:cs="Times New Roman"/>
                <w:position w:val="1"/>
                <w:sz w:val="24"/>
                <w:szCs w:val="24"/>
                <w:highlight w:val="none"/>
              </w:rPr>
              <w:t>影响评价符合性</w:t>
            </w:r>
          </w:p>
          <w:p>
            <w:pPr>
              <w:spacing w:before="12" w:line="240" w:lineRule="auto"/>
              <w:ind w:left="13"/>
              <w:jc w:val="center"/>
              <w:rPr>
                <w:rFonts w:hint="default" w:ascii="Times New Roman" w:hAnsi="Times New Roman" w:eastAsia="宋体" w:cs="Times New Roman"/>
                <w:position w:val="1"/>
                <w:sz w:val="24"/>
                <w:szCs w:val="24"/>
                <w:highlight w:val="none"/>
              </w:rPr>
            </w:pPr>
            <w:r>
              <w:rPr>
                <w:rFonts w:hint="default" w:ascii="Times New Roman" w:hAnsi="Times New Roman" w:eastAsia="宋体" w:cs="Times New Roman"/>
                <w:position w:val="1"/>
                <w:sz w:val="24"/>
                <w:szCs w:val="24"/>
                <w:highlight w:val="none"/>
              </w:rPr>
              <w:t>分析</w:t>
            </w:r>
          </w:p>
        </w:tc>
        <w:tc>
          <w:tcPr>
            <w:tcW w:w="7441" w:type="dxa"/>
            <w:gridSpan w:val="3"/>
            <w:tcBorders>
              <w:tl2br w:val="nil"/>
              <w:tr2bl w:val="nil"/>
            </w:tcBorders>
            <w:vAlign w:val="center"/>
          </w:tcPr>
          <w:p>
            <w:pPr>
              <w:spacing w:before="27" w:line="360" w:lineRule="auto"/>
              <w:ind w:left="105" w:right="95" w:firstLine="11"/>
              <w:jc w:val="center"/>
              <w:rPr>
                <w:rFonts w:hint="default" w:ascii="Times New Roman" w:hAnsi="Times New Roman" w:eastAsia="宋体" w:cs="Times New Roman"/>
                <w:sz w:val="24"/>
                <w:szCs w:val="24"/>
                <w:highlight w:val="none"/>
              </w:rPr>
            </w:pPr>
          </w:p>
          <w:p>
            <w:pPr>
              <w:spacing w:before="27" w:line="360" w:lineRule="auto"/>
              <w:ind w:left="105" w:right="95" w:firstLine="11"/>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3" w:hRule="atLeast"/>
        </w:trPr>
        <w:tc>
          <w:tcPr>
            <w:tcW w:w="1982" w:type="dxa"/>
            <w:tcBorders>
              <w:tl2br w:val="nil"/>
              <w:tr2bl w:val="nil"/>
            </w:tcBorders>
            <w:vAlign w:val="top"/>
          </w:tcPr>
          <w:p>
            <w:pPr>
              <w:spacing w:before="221" w:line="240" w:lineRule="auto"/>
              <w:rPr>
                <w:rFonts w:hint="default" w:ascii="Times New Roman" w:hAnsi="Times New Roman" w:eastAsia="宋体" w:cs="Times New Roman"/>
                <w:spacing w:val="7"/>
                <w:sz w:val="24"/>
                <w:szCs w:val="24"/>
                <w:highlight w:val="none"/>
              </w:rPr>
            </w:pPr>
          </w:p>
          <w:p>
            <w:pPr>
              <w:spacing w:before="221" w:line="240" w:lineRule="auto"/>
              <w:rPr>
                <w:rFonts w:hint="default" w:ascii="Times New Roman" w:hAnsi="Times New Roman" w:eastAsia="宋体" w:cs="Times New Roman"/>
                <w:spacing w:val="7"/>
                <w:sz w:val="24"/>
                <w:szCs w:val="24"/>
                <w:highlight w:val="none"/>
              </w:rPr>
            </w:pPr>
          </w:p>
          <w:p>
            <w:pPr>
              <w:spacing w:before="221" w:line="240" w:lineRule="auto"/>
              <w:rPr>
                <w:rFonts w:hint="default" w:ascii="Times New Roman" w:hAnsi="Times New Roman" w:eastAsia="宋体" w:cs="Times New Roman"/>
                <w:spacing w:val="7"/>
                <w:sz w:val="24"/>
                <w:szCs w:val="24"/>
                <w:highlight w:val="none"/>
              </w:rPr>
            </w:pPr>
          </w:p>
          <w:p>
            <w:pPr>
              <w:spacing w:before="221" w:line="240" w:lineRule="auto"/>
              <w:rPr>
                <w:rFonts w:hint="default" w:ascii="Times New Roman" w:hAnsi="Times New Roman" w:eastAsia="宋体" w:cs="Times New Roman"/>
                <w:spacing w:val="7"/>
                <w:sz w:val="24"/>
                <w:szCs w:val="24"/>
                <w:highlight w:val="none"/>
              </w:rPr>
            </w:pPr>
          </w:p>
          <w:p>
            <w:pPr>
              <w:spacing w:before="221" w:line="240" w:lineRule="auto"/>
              <w:rPr>
                <w:rFonts w:hint="default" w:ascii="Times New Roman" w:hAnsi="Times New Roman" w:eastAsia="宋体" w:cs="Times New Roman"/>
                <w:spacing w:val="7"/>
                <w:sz w:val="24"/>
                <w:szCs w:val="24"/>
                <w:highlight w:val="none"/>
              </w:rPr>
            </w:pPr>
          </w:p>
          <w:p>
            <w:pPr>
              <w:spacing w:before="221" w:line="240" w:lineRule="auto"/>
              <w:rPr>
                <w:rFonts w:hint="default" w:ascii="Times New Roman" w:hAnsi="Times New Roman" w:eastAsia="宋体" w:cs="Times New Roman"/>
                <w:spacing w:val="7"/>
                <w:sz w:val="24"/>
                <w:szCs w:val="24"/>
                <w:highlight w:val="none"/>
              </w:rPr>
            </w:pPr>
          </w:p>
          <w:p>
            <w:pPr>
              <w:spacing w:before="221" w:line="240" w:lineRule="auto"/>
              <w:rPr>
                <w:rFonts w:hint="default" w:ascii="Times New Roman" w:hAnsi="Times New Roman" w:eastAsia="宋体" w:cs="Times New Roman"/>
                <w:spacing w:val="7"/>
                <w:sz w:val="24"/>
                <w:szCs w:val="24"/>
                <w:highlight w:val="none"/>
              </w:rPr>
            </w:pPr>
            <w:r>
              <w:rPr>
                <w:rFonts w:hint="default" w:ascii="Times New Roman" w:hAnsi="Times New Roman" w:eastAsia="宋体" w:cs="Times New Roman"/>
                <w:spacing w:val="7"/>
                <w:sz w:val="24"/>
                <w:szCs w:val="24"/>
                <w:highlight w:val="none"/>
              </w:rPr>
              <w:t>其他符合性分析</w:t>
            </w:r>
          </w:p>
        </w:tc>
        <w:tc>
          <w:tcPr>
            <w:tcW w:w="7441" w:type="dxa"/>
            <w:gridSpan w:val="3"/>
            <w:tcBorders>
              <w:tl2br w:val="nil"/>
              <w:tr2bl w:val="nil"/>
            </w:tcBorders>
            <w:vAlign w:val="top"/>
          </w:tcPr>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1、产业政策符合性分析</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产业结构调整指导目录（2019年本）》，本项目属于“第一类鼓励类——十二、建材——13、储料区、主机搅拌楼、物料输送系统等主要生产区域实现全封闭，并配置主动式收尘、降尘设备，采用信息化集成管理系统进行运营管理，具备消纳城市固废能力的智能化预拌混凝土生产线；海洋工程用混凝土、轻质高强混凝土、超高性能混凝土、混凝土自修复材料的开发和应用”。项目经营范围详见营业执照（附件1）。</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项目不属于国土资源部国家发展和改革委员会《限制用地项目目录（2012年本）》和《禁止用地项目目录（2012年本）》中限制用地和禁止用地的项目，</w:t>
            </w:r>
            <w:r>
              <w:rPr>
                <w:rFonts w:hint="eastAsia" w:ascii="Times New Roman" w:hAnsi="Times New Roman" w:eastAsia="宋体" w:cs="Times New Roman"/>
                <w:color w:val="0000FF"/>
                <w:sz w:val="24"/>
                <w:szCs w:val="24"/>
                <w:lang w:val="en-US" w:eastAsia="zh-CN"/>
              </w:rPr>
              <w:t>所用生产设备不属于</w:t>
            </w:r>
            <w:r>
              <w:rPr>
                <w:rFonts w:hint="default" w:ascii="Times New Roman" w:hAnsi="Times New Roman" w:eastAsia="宋体" w:cs="Times New Roman"/>
                <w:color w:val="0000FF"/>
                <w:sz w:val="24"/>
                <w:szCs w:val="24"/>
                <w:highlight w:val="none"/>
              </w:rPr>
              <w:t>《产业结构调整指导目录》（2019 年本）中规定的淘汰落后设备</w:t>
            </w:r>
            <w:r>
              <w:rPr>
                <w:rFonts w:hint="eastAsia" w:ascii="Times New Roman" w:hAnsi="Times New Roman" w:eastAsia="宋体" w:cs="Times New Roman"/>
                <w:color w:val="0000FF"/>
                <w:sz w:val="24"/>
                <w:szCs w:val="24"/>
                <w:highlight w:val="none"/>
                <w:lang w:eastAsia="zh-CN"/>
              </w:rPr>
              <w:t>，</w:t>
            </w:r>
            <w:r>
              <w:rPr>
                <w:rFonts w:hint="default"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lang w:val="en-US" w:eastAsia="zh-CN"/>
              </w:rPr>
              <w:t>评价认为</w:t>
            </w:r>
            <w:r>
              <w:rPr>
                <w:rFonts w:hint="default" w:ascii="Times New Roman" w:hAnsi="Times New Roman" w:eastAsia="宋体" w:cs="Times New Roman"/>
                <w:sz w:val="24"/>
                <w:szCs w:val="24"/>
                <w:lang w:val="en-US" w:eastAsia="zh-CN"/>
              </w:rPr>
              <w:t>项目建设符合国家产业政策。</w:t>
            </w:r>
          </w:p>
          <w:p>
            <w:pPr>
              <w:numPr>
                <w:ilvl w:val="0"/>
                <w:numId w:val="1"/>
              </w:numPr>
              <w:spacing w:line="360" w:lineRule="auto"/>
              <w:ind w:firstLine="480" w:firstLineChars="200"/>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与《</w:t>
            </w:r>
            <w:r>
              <w:rPr>
                <w:rFonts w:hint="default" w:ascii="Times New Roman" w:hAnsi="Times New Roman" w:eastAsia="宋体" w:cs="Times New Roman"/>
                <w:color w:val="0000FF"/>
                <w:sz w:val="24"/>
                <w:szCs w:val="24"/>
                <w:lang w:val="en-US" w:eastAsia="zh-CN"/>
              </w:rPr>
              <w:t>辰溪县预拌混凝土搅拌站专项规划</w:t>
            </w:r>
            <w:r>
              <w:rPr>
                <w:rFonts w:hint="eastAsia" w:ascii="Times New Roman" w:hAnsi="Times New Roman" w:eastAsia="宋体" w:cs="Times New Roman"/>
                <w:color w:val="0000FF"/>
                <w:sz w:val="24"/>
                <w:szCs w:val="24"/>
                <w:lang w:val="en-US" w:eastAsia="zh-CN"/>
              </w:rPr>
              <w:t>》（2021-2035年）符合性分析</w:t>
            </w:r>
          </w:p>
          <w:p>
            <w:pPr>
              <w:pStyle w:val="2"/>
              <w:numPr>
                <w:ilvl w:val="0"/>
                <w:numId w:val="2"/>
              </w:numPr>
              <w:spacing w:line="360" w:lineRule="auto"/>
              <w:ind w:firstLine="480" w:firstLineChars="200"/>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选址符合性分析</w:t>
            </w:r>
          </w:p>
          <w:p>
            <w:pPr>
              <w:spacing w:line="360" w:lineRule="auto"/>
              <w:ind w:firstLine="480" w:firstLineChars="20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项目用地应属于</w:t>
            </w:r>
            <w:r>
              <w:rPr>
                <w:rFonts w:hint="default" w:ascii="Times New Roman" w:hAnsi="Times New Roman" w:eastAsia="宋体" w:cs="Times New Roman"/>
                <w:color w:val="0000FF"/>
                <w:sz w:val="24"/>
                <w:szCs w:val="24"/>
                <w:highlight w:val="none"/>
              </w:rPr>
              <w:t>总体规划和控制性详细规划中确定的工业用地或仓储用地；土地利用规划中确定的建设用地或有条件建设区域；避开各类生态保护区、名胜区的用地；从城市综合考虑，确有必要建设的区域</w:t>
            </w:r>
            <w:r>
              <w:rPr>
                <w:rFonts w:hint="eastAsia" w:ascii="Times New Roman" w:hAnsi="Times New Roman" w:eastAsia="宋体" w:cs="Times New Roman"/>
                <w:color w:val="0000FF"/>
                <w:sz w:val="24"/>
                <w:szCs w:val="24"/>
                <w:highlight w:val="none"/>
                <w:lang w:val="en-US" w:eastAsia="zh-CN"/>
              </w:rPr>
              <w:t>中的一种</w:t>
            </w:r>
            <w:r>
              <w:rPr>
                <w:rFonts w:hint="default" w:ascii="Times New Roman" w:hAnsi="Times New Roman" w:eastAsia="宋体" w:cs="Times New Roman"/>
                <w:color w:val="0000FF"/>
                <w:sz w:val="24"/>
                <w:szCs w:val="24"/>
                <w:highlight w:val="none"/>
              </w:rPr>
              <w:t>。</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项目用地性质为工业用地，符合《</w:t>
            </w:r>
            <w:r>
              <w:rPr>
                <w:rFonts w:hint="default" w:ascii="Times New Roman" w:hAnsi="Times New Roman" w:eastAsia="宋体" w:cs="Times New Roman"/>
                <w:color w:val="0000FF"/>
                <w:sz w:val="24"/>
                <w:szCs w:val="24"/>
                <w:highlight w:val="none"/>
                <w:lang w:val="en-US" w:eastAsia="zh-CN"/>
              </w:rPr>
              <w:t>辰溪县预拌混凝土搅拌站专项规划</w:t>
            </w:r>
            <w:r>
              <w:rPr>
                <w:rFonts w:hint="eastAsia" w:ascii="Times New Roman" w:hAnsi="Times New Roman" w:eastAsia="宋体" w:cs="Times New Roman"/>
                <w:color w:val="0000FF"/>
                <w:sz w:val="24"/>
                <w:szCs w:val="24"/>
                <w:highlight w:val="none"/>
                <w:lang w:val="en-US" w:eastAsia="zh-CN"/>
              </w:rPr>
              <w:t>》（2021-2035年）布局选址思路，同时本项目为环保型预拌搅拌站，料仓自带除尘装置，堆场设喷淋装置，生产废水经沉淀后循环使用，满足规划对搅拌站的建设要求。</w:t>
            </w:r>
          </w:p>
          <w:p>
            <w:pPr>
              <w:numPr>
                <w:ilvl w:val="0"/>
                <w:numId w:val="2"/>
              </w:numPr>
              <w:spacing w:line="360" w:lineRule="auto"/>
              <w:ind w:left="0" w:leftChars="0" w:firstLine="480" w:firstLineChars="200"/>
              <w:rPr>
                <w:rFonts w:hint="eastAsia"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布局方案符合性分析</w:t>
            </w:r>
          </w:p>
          <w:p>
            <w:pPr>
              <w:numPr>
                <w:ilvl w:val="0"/>
                <w:numId w:val="0"/>
              </w:numPr>
              <w:spacing w:line="360" w:lineRule="auto"/>
              <w:ind w:firstLine="480" w:firstLineChars="20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规划布局情况：</w:t>
            </w:r>
            <w:r>
              <w:rPr>
                <w:rFonts w:hint="default" w:ascii="Times New Roman" w:hAnsi="Times New Roman" w:eastAsia="宋体" w:cs="Times New Roman"/>
                <w:color w:val="0000FF"/>
                <w:sz w:val="24"/>
                <w:szCs w:val="24"/>
                <w:highlight w:val="none"/>
              </w:rPr>
              <w:t>在原有4座混凝土搅拌站的基础上，通过整改和增加产能共规划五座预拌混凝土搅拌站：</w:t>
            </w:r>
          </w:p>
          <w:p>
            <w:pPr>
              <w:spacing w:line="360" w:lineRule="auto"/>
              <w:ind w:firstLine="480" w:firstLineChars="20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a</w:t>
            </w:r>
            <w:r>
              <w:rPr>
                <w:rFonts w:hint="default" w:ascii="Times New Roman" w:hAnsi="Times New Roman" w:eastAsia="宋体" w:cs="Times New Roman"/>
                <w:color w:val="0000FF"/>
                <w:sz w:val="24"/>
                <w:szCs w:val="24"/>
                <w:highlight w:val="none"/>
              </w:rPr>
              <w:t>.辰阳镇规划预拌混凝土搅拌站一座，设计生产能力60万方。</w:t>
            </w:r>
          </w:p>
          <w:p>
            <w:pPr>
              <w:spacing w:line="360" w:lineRule="auto"/>
              <w:ind w:firstLine="480" w:firstLineChars="20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b</w:t>
            </w:r>
            <w:r>
              <w:rPr>
                <w:rFonts w:hint="default" w:ascii="Times New Roman" w:hAnsi="Times New Roman" w:eastAsia="宋体" w:cs="Times New Roman"/>
                <w:color w:val="0000FF"/>
                <w:sz w:val="24"/>
                <w:szCs w:val="24"/>
                <w:highlight w:val="none"/>
              </w:rPr>
              <w:t>.锦滨镇规划预拌混凝土搅拌站两座，设计生产能力分别为20万方和40万方。</w:t>
            </w:r>
          </w:p>
          <w:p>
            <w:pPr>
              <w:spacing w:line="360" w:lineRule="auto"/>
              <w:ind w:firstLine="480" w:firstLineChars="20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c</w:t>
            </w:r>
            <w:r>
              <w:rPr>
                <w:rFonts w:hint="default" w:ascii="Times New Roman" w:hAnsi="Times New Roman" w:eastAsia="宋体" w:cs="Times New Roman"/>
                <w:color w:val="0000FF"/>
                <w:sz w:val="24"/>
                <w:szCs w:val="24"/>
                <w:highlight w:val="none"/>
              </w:rPr>
              <w:t>.火马冲镇规划预拌混凝土搅拌站一座，设计生产能力60 万方。</w:t>
            </w:r>
          </w:p>
          <w:p>
            <w:pPr>
              <w:spacing w:line="360" w:lineRule="auto"/>
              <w:ind w:firstLine="480" w:firstLineChars="20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d</w:t>
            </w:r>
            <w:r>
              <w:rPr>
                <w:rFonts w:hint="default" w:ascii="Times New Roman" w:hAnsi="Times New Roman" w:eastAsia="宋体" w:cs="Times New Roman"/>
                <w:color w:val="0000FF"/>
                <w:sz w:val="24"/>
                <w:szCs w:val="24"/>
                <w:highlight w:val="none"/>
              </w:rPr>
              <w:t>.黄溪口镇规划预拌混凝土搅拌站一座，设计生产能力20万方。</w:t>
            </w:r>
          </w:p>
          <w:p>
            <w:pPr>
              <w:pStyle w:val="2"/>
              <w:spacing w:line="360" w:lineRule="auto"/>
              <w:ind w:firstLine="480" w:firstLineChars="200"/>
              <w:rPr>
                <w:rFonts w:hint="default" w:eastAsia="宋体"/>
                <w:lang w:val="en-US" w:eastAsia="zh-CN"/>
              </w:rPr>
            </w:pPr>
            <w:r>
              <w:rPr>
                <w:rFonts w:hint="eastAsia" w:ascii="Times New Roman" w:hAnsi="Times New Roman" w:eastAsia="宋体" w:cs="Times New Roman"/>
                <w:snapToGrid w:val="0"/>
                <w:color w:val="0000FF"/>
                <w:kern w:val="0"/>
                <w:sz w:val="24"/>
                <w:szCs w:val="24"/>
                <w:highlight w:val="none"/>
                <w:lang w:val="en-US" w:eastAsia="zh-CN"/>
              </w:rPr>
              <w:t>项目为</w:t>
            </w:r>
            <w:r>
              <w:rPr>
                <w:rFonts w:hint="default" w:ascii="Times New Roman" w:hAnsi="Times New Roman" w:eastAsia="宋体" w:cs="Times New Roman"/>
                <w:snapToGrid w:val="0"/>
                <w:color w:val="0000FF"/>
                <w:kern w:val="0"/>
                <w:sz w:val="24"/>
                <w:szCs w:val="24"/>
                <w:highlight w:val="none"/>
              </w:rPr>
              <w:t>辰阳</w:t>
            </w:r>
            <w:r>
              <w:rPr>
                <w:rFonts w:hint="default" w:ascii="Times New Roman" w:hAnsi="Times New Roman" w:eastAsia="宋体" w:cs="Times New Roman"/>
                <w:color w:val="0000FF"/>
                <w:sz w:val="24"/>
                <w:szCs w:val="24"/>
                <w:highlight w:val="none"/>
              </w:rPr>
              <w:t>镇规划</w:t>
            </w:r>
            <w:r>
              <w:rPr>
                <w:rFonts w:hint="eastAsia" w:ascii="Times New Roman" w:hAnsi="Times New Roman" w:eastAsia="宋体" w:cs="Times New Roman"/>
                <w:color w:val="0000FF"/>
                <w:sz w:val="24"/>
                <w:szCs w:val="24"/>
                <w:highlight w:val="none"/>
                <w:lang w:val="en-US" w:eastAsia="zh-CN"/>
              </w:rPr>
              <w:t>的</w:t>
            </w:r>
            <w:r>
              <w:rPr>
                <w:rFonts w:hint="default" w:ascii="Times New Roman" w:hAnsi="Times New Roman" w:eastAsia="宋体" w:cs="Times New Roman"/>
                <w:color w:val="0000FF"/>
                <w:sz w:val="24"/>
                <w:szCs w:val="24"/>
                <w:highlight w:val="none"/>
              </w:rPr>
              <w:t>预拌混凝土搅拌站</w:t>
            </w:r>
            <w:r>
              <w:rPr>
                <w:rFonts w:hint="eastAsia" w:ascii="Times New Roman" w:hAnsi="Times New Roman" w:eastAsia="宋体" w:cs="Times New Roman"/>
                <w:color w:val="0000FF"/>
                <w:sz w:val="24"/>
                <w:szCs w:val="24"/>
                <w:highlight w:val="none"/>
                <w:lang w:eastAsia="zh-CN"/>
              </w:rPr>
              <w:t>，</w:t>
            </w:r>
            <w:r>
              <w:rPr>
                <w:rFonts w:hint="eastAsia" w:ascii="Times New Roman" w:hAnsi="Times New Roman" w:eastAsia="宋体" w:cs="Times New Roman"/>
                <w:color w:val="0000FF"/>
                <w:sz w:val="24"/>
                <w:szCs w:val="24"/>
                <w:highlight w:val="none"/>
                <w:lang w:val="en-US" w:eastAsia="zh-CN"/>
              </w:rPr>
              <w:t>原定产能为50万t/a商品混凝土，为满足辰溪县混凝土市场需求，增加产能至60万m</w:t>
            </w:r>
            <w:r>
              <w:rPr>
                <w:rFonts w:hint="eastAsia"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/a，与</w:t>
            </w:r>
            <w:r>
              <w:rPr>
                <w:rFonts w:hint="eastAsia"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lang w:val="en-US" w:eastAsia="zh-CN"/>
              </w:rPr>
              <w:t>辰溪县预拌混凝土搅拌站专项规划</w:t>
            </w:r>
            <w:r>
              <w:rPr>
                <w:rFonts w:hint="eastAsia" w:ascii="Times New Roman" w:hAnsi="Times New Roman" w:eastAsia="宋体" w:cs="Times New Roman"/>
                <w:color w:val="0000FF"/>
                <w:sz w:val="24"/>
                <w:szCs w:val="24"/>
                <w:lang w:val="en-US" w:eastAsia="zh-CN"/>
              </w:rPr>
              <w:t>》（2021-2035年）布局方案一致。</w:t>
            </w:r>
          </w:p>
          <w:p>
            <w:pPr>
              <w:numPr>
                <w:ilvl w:val="0"/>
                <w:numId w:val="1"/>
              </w:num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“三线一单”符合性分析</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（1）生态保护红线符合性分析</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湖南省“三线一单”生态环境总体管控要求暨省级以上产业园区生态环境准入清单》（2020年11月发布）中湖南省“三线一单”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w:t>
            </w:r>
            <w:r>
              <w:rPr>
                <w:rFonts w:hint="eastAsia" w:ascii="Times New Roman" w:hAnsi="Times New Roman" w:eastAsia="宋体" w:cs="Times New Roman"/>
                <w:sz w:val="24"/>
                <w:szCs w:val="24"/>
                <w:lang w:val="en-US" w:eastAsia="zh-CN"/>
              </w:rPr>
              <w:t>在</w:t>
            </w:r>
            <w:r>
              <w:rPr>
                <w:rFonts w:hint="default" w:ascii="Times New Roman" w:hAnsi="Times New Roman" w:eastAsia="宋体" w:cs="Times New Roman"/>
                <w:sz w:val="24"/>
                <w:szCs w:val="24"/>
                <w:lang w:val="en-US" w:eastAsia="zh-CN"/>
              </w:rPr>
              <w:t>生态保护红线内的国家公园、自然保护区、风景名胜区、森林公园、地质公园、世界自然遗产、湿地公园、石漠公园、饮用水水源保护区等各类自然保护地还应执行现有法律、法规、规章</w:t>
            </w:r>
            <w:r>
              <w:rPr>
                <w:rFonts w:hint="eastAsia" w:ascii="Times New Roman" w:hAnsi="Times New Roman" w:eastAsia="宋体" w:cs="Times New Roman"/>
                <w:sz w:val="24"/>
                <w:szCs w:val="24"/>
                <w:lang w:val="en-US" w:eastAsia="zh-CN"/>
              </w:rPr>
              <w:t>制度</w:t>
            </w:r>
            <w:r>
              <w:rPr>
                <w:rFonts w:hint="default" w:ascii="Times New Roman" w:hAnsi="Times New Roman" w:eastAsia="宋体" w:cs="Times New Roman"/>
                <w:sz w:val="24"/>
                <w:szCs w:val="24"/>
                <w:lang w:val="en-US" w:eastAsia="zh-CN"/>
              </w:rPr>
              <w:t>及自然资源部、国家林业和草原局《关于做好自然保护区范围及功能分区优化调整前期工作的函》等相关规定；国家公园和自然保护区实行分区管控，原则上核心保护区内禁止人为活动，一般控制区内限制人为活动。</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本项目位于湖南省怀化市辰溪县辰阳镇煤炭湾，根据《湖南省人民政府关于印发〈湖南省生态保护红线〉的通知》（湘政发〔2018〕20号），本项目不在生态保护红线范围内。</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（2）资源利用上线</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资源是环境的载体，“资源利用，上线”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本项目原辅材料</w:t>
            </w:r>
            <w:r>
              <w:rPr>
                <w:rFonts w:hint="eastAsia" w:ascii="Times New Roman" w:hAnsi="Times New Roman" w:eastAsia="宋体" w:cs="Times New Roman"/>
                <w:sz w:val="24"/>
                <w:szCs w:val="24"/>
                <w:lang w:val="en-US" w:eastAsia="zh-CN"/>
              </w:rPr>
              <w:t>均</w:t>
            </w:r>
            <w:r>
              <w:rPr>
                <w:rFonts w:hint="default" w:ascii="Times New Roman" w:hAnsi="Times New Roman" w:eastAsia="宋体" w:cs="Times New Roman"/>
                <w:sz w:val="24"/>
                <w:szCs w:val="24"/>
                <w:lang w:val="en-US" w:eastAsia="zh-CN"/>
              </w:rPr>
              <w:t>外购，区域内已通自来水且水源充足，生产与生活用水量相对不大；能源主要使用电能，由国家电网供应。项目建设土地为工业用地，不涉及基本农田，土地资源符合要求</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不存在资源过度使用的情况。</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（3）环境质量底线</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环境质量底线</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本项目建设地点位于辰溪县辰阳镇煤炭湾，项目区域大气环境以及噪声环境均能够满足相应的标准要求，且项目营运期各污染物均能实现达标排放，不会改变项目所在区域环境功能。</w:t>
            </w:r>
            <w:r>
              <w:rPr>
                <w:rFonts w:hint="eastAsia" w:ascii="Times New Roman" w:hAnsi="Times New Roman" w:eastAsia="宋体" w:cs="Times New Roman"/>
                <w:sz w:val="24"/>
                <w:szCs w:val="24"/>
                <w:lang w:val="en-US" w:eastAsia="zh-CN"/>
              </w:rPr>
              <w:t>本评价认为</w:t>
            </w:r>
            <w:r>
              <w:rPr>
                <w:rFonts w:hint="default" w:ascii="Times New Roman" w:hAnsi="Times New Roman" w:eastAsia="宋体" w:cs="Times New Roman"/>
                <w:sz w:val="24"/>
                <w:szCs w:val="24"/>
                <w:lang w:val="en-US" w:eastAsia="zh-CN"/>
              </w:rPr>
              <w:t>项目建设符合环境质量底线要求。</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（4）环境准入负面清单</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根据《湖南省国家重点生态功能区产业准入负面清单》和辰溪县管控单元划分要求，本项目属于建材行业，不属于高污染、高能耗的产业类型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本项目应为环境准入允许类别。</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位于湖南省怀化市辰溪县辰阳镇煤炭湾，根据《怀化市“三线一单”生态环境管控基本要求暨环境管控单元（省级以上产业园区除外）生态环境准入清单》（2020年12月），项目所在地属于“重点管控单元”，本项目与《怀化市“三线一单”生态环境管控基本要求暨环境管控单元（省级以上产业园区除外）生态环境准入清单》符合性</w:t>
            </w:r>
            <w:r>
              <w:rPr>
                <w:rFonts w:hint="eastAsia" w:ascii="Times New Roman" w:hAnsi="Times New Roman" w:eastAsia="宋体" w:cs="Times New Roman"/>
                <w:sz w:val="24"/>
                <w:szCs w:val="24"/>
                <w:lang w:val="en-US" w:eastAsia="zh-CN"/>
              </w:rPr>
              <w:t>如下：</w:t>
            </w:r>
          </w:p>
          <w:p>
            <w:pPr>
              <w:pStyle w:val="21"/>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表1-</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 xml:space="preserve">  生态空间管控区域规划保护内容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545"/>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0" w:type="auto"/>
                  <w:gridSpan w:val="2"/>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环境管控单元编码</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ZH43122320001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行政区划</w:t>
                  </w:r>
                </w:p>
              </w:tc>
              <w:tc>
                <w:tcPr>
                  <w:tcW w:w="0" w:type="auto"/>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rPr>
                      <w:rFonts w:hint="default" w:ascii="Times New Roman" w:hAnsi="Times New Roman" w:eastAsia="宋体" w:cs="Times New Roman"/>
                      <w:sz w:val="21"/>
                      <w:szCs w:val="21"/>
                    </w:rPr>
                  </w:pPr>
                </w:p>
              </w:tc>
              <w:tc>
                <w:tcPr>
                  <w:tcW w:w="0" w:type="auto"/>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rPr>
                      <w:rFonts w:hint="default" w:ascii="Times New Roman" w:hAnsi="Times New Roman" w:eastAsia="宋体" w:cs="Times New Roman"/>
                      <w:sz w:val="21"/>
                      <w:szCs w:val="21"/>
                    </w:rPr>
                  </w:pPr>
                </w:p>
              </w:tc>
              <w:tc>
                <w:tcPr>
                  <w:tcW w:w="0" w:type="auto"/>
                  <w:noWrap w:val="0"/>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县</w:t>
                  </w:r>
                </w:p>
              </w:tc>
              <w:tc>
                <w:tcPr>
                  <w:tcW w:w="5166" w:type="dxa"/>
                  <w:noWrap w:val="0"/>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辰溪县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单元分类</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单元面积</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涉及乡镇（街道）</w:t>
                  </w:r>
                </w:p>
              </w:tc>
              <w:tc>
                <w:tcPr>
                  <w:tcW w:w="5166" w:type="dxa"/>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辰阳镇/锦滨镇/修溪镇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主体功能定位</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国家级重点生态功能区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经济产业布局</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第三产业、农业、养殖业、生态旅游、服务业、农副产品加工、机械加工、陶瓷业、印刷、仓储物流、建材及废旧资源回收加工、采选。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主要环境问题</w:t>
                  </w:r>
                </w:p>
              </w:tc>
              <w:tc>
                <w:tcPr>
                  <w:tcW w:w="516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县城道路扬尘污染；黑臭水体污染/农村生活垃圾收集处理不完善；污水管网建设待完善。</w:t>
                  </w:r>
                </w:p>
              </w:tc>
            </w:tr>
          </w:tbl>
          <w:p>
            <w:pPr>
              <w:pStyle w:val="21"/>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表1-</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  三线一单管控要求符合性分析</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截取辰溪县及本项目相关的管控要求</w:t>
            </w:r>
            <w:r>
              <w:rPr>
                <w:rFonts w:hint="eastAsia" w:ascii="Times New Roman" w:hAnsi="Times New Roman" w:eastAsia="宋体" w:cs="Times New Roman"/>
                <w:color w:val="auto"/>
                <w:sz w:val="21"/>
                <w:szCs w:val="21"/>
                <w:highlight w:val="none"/>
                <w:lang w:eastAsia="zh-CN"/>
              </w:rPr>
              <w:t>）</w:t>
            </w:r>
          </w:p>
          <w:tbl>
            <w:tblPr>
              <w:tblStyle w:val="15"/>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626"/>
              <w:gridCol w:w="2167"/>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5" w:type="pct"/>
                  <w:noWrap w:val="0"/>
                  <w:vAlign w:val="center"/>
                </w:tcPr>
                <w:p>
                  <w:pPr>
                    <w:wordWrap/>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管控维度</w:t>
                  </w:r>
                </w:p>
              </w:tc>
              <w:tc>
                <w:tcPr>
                  <w:tcW w:w="2515" w:type="pct"/>
                  <w:noWrap w:val="0"/>
                  <w:vAlign w:val="center"/>
                </w:tcPr>
                <w:p>
                  <w:pPr>
                    <w:wordWrap/>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管控要求</w:t>
                  </w:r>
                </w:p>
              </w:tc>
              <w:tc>
                <w:tcPr>
                  <w:tcW w:w="1503" w:type="pct"/>
                  <w:noWrap w:val="0"/>
                  <w:vAlign w:val="center"/>
                </w:tcPr>
                <w:p>
                  <w:pPr>
                    <w:wordWrap/>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本项目情况</w:t>
                  </w:r>
                </w:p>
              </w:tc>
              <w:tc>
                <w:tcPr>
                  <w:tcW w:w="535" w:type="pct"/>
                  <w:noWrap w:val="0"/>
                  <w:vAlign w:val="center"/>
                </w:tcPr>
                <w:p>
                  <w:pPr>
                    <w:wordWrap/>
                    <w:spacing w:line="240" w:lineRule="auto"/>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空间布局约束</w:t>
                  </w:r>
                </w:p>
              </w:tc>
              <w:tc>
                <w:tcPr>
                  <w:tcW w:w="2515" w:type="pct"/>
                  <w:noWrap w:val="0"/>
                  <w:vAlign w:val="center"/>
                </w:tcPr>
                <w:p>
                  <w:pPr>
                    <w:rPr>
                      <w:rFonts w:ascii="Times New Roman" w:hAnsi="Times New Roman" w:eastAsia="宋体" w:cs="Times New Roman"/>
                      <w:color w:val="0000FF"/>
                      <w:szCs w:val="21"/>
                    </w:rPr>
                  </w:pPr>
                  <w:r>
                    <w:rPr>
                      <w:rFonts w:ascii="Times New Roman" w:hAnsi="Times New Roman" w:eastAsia="宋体" w:cs="Times New Roman"/>
                      <w:color w:val="0000FF"/>
                      <w:szCs w:val="21"/>
                    </w:rPr>
                    <w:t>（1）加大沅水、舞水、渠水、巫水、溆水、辰水、酉水等主要河流及五强溪、托口、大洑潭、凤滩、蟒塘溪等湖泊（库区）的保护力度。加强河道综合整治、水面保洁及水环境生态修复；推进重点流域污染治理；提高城区水环境质量，加快推进城市黑臭水体治理。</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（2）北部经济区为工业产业区，包括溆浦、辰溪、沅陵三县。重点培育冶炼、</w:t>
                  </w:r>
                  <w:r>
                    <w:rPr>
                      <w:rFonts w:hint="eastAsia" w:ascii="Times New Roman" w:hAnsi="Times New Roman" w:eastAsia="宋体" w:cs="Times New Roman"/>
                      <w:color w:val="0000FF"/>
                      <w:szCs w:val="21"/>
                    </w:rPr>
                    <w:t>有色、</w:t>
                  </w:r>
                  <w:r>
                    <w:rPr>
                      <w:rFonts w:ascii="Times New Roman" w:hAnsi="Times New Roman" w:eastAsia="宋体" w:cs="Times New Roman"/>
                      <w:color w:val="0000FF"/>
                      <w:szCs w:val="21"/>
                    </w:rPr>
                    <w:t>建材、化工化纤、电力</w:t>
                  </w:r>
                  <w:r>
                    <w:rPr>
                      <w:rFonts w:hint="eastAsia" w:ascii="Times New Roman" w:hAnsi="Times New Roman" w:eastAsia="宋体" w:cs="Times New Roman"/>
                      <w:color w:val="0000FF"/>
                      <w:szCs w:val="21"/>
                    </w:rPr>
                    <w:t>、</w:t>
                  </w:r>
                  <w:r>
                    <w:rPr>
                      <w:rFonts w:ascii="Times New Roman" w:hAnsi="Times New Roman" w:eastAsia="宋体" w:cs="Times New Roman"/>
                      <w:color w:val="0000FF"/>
                      <w:szCs w:val="21"/>
                    </w:rPr>
                    <w:t>电子信息产业，积极发展现代制造业、食品、茶叶加工、旅游等产业。</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3）建立产业转移环境监管机制，在城区及近郊禁止新、扩建钢铁、有色、石化、水泥、化工等重污染企业；推进技术进步和结构调整，全面推行清洁生产，严格按照国家发布的工业行业淘汰落后生产工艺装备和产品指导目录及产业结构调整指导目录，科学引导有色、水泥熟料等高</w:t>
                  </w:r>
                  <w:r>
                    <w:rPr>
                      <w:rFonts w:hint="eastAsia" w:ascii="Times New Roman" w:hAnsi="Times New Roman" w:eastAsia="宋体" w:cs="Times New Roman"/>
                      <w:color w:val="0000FF"/>
                      <w:szCs w:val="21"/>
                    </w:rPr>
                    <w:t>能</w:t>
                  </w:r>
                  <w:r>
                    <w:rPr>
                      <w:rFonts w:ascii="Times New Roman" w:hAnsi="Times New Roman" w:eastAsia="宋体" w:cs="Times New Roman"/>
                      <w:color w:val="0000FF"/>
                      <w:szCs w:val="21"/>
                    </w:rPr>
                    <w:t>耗</w:t>
                  </w:r>
                  <w:r>
                    <w:rPr>
                      <w:rFonts w:hint="eastAsia" w:ascii="Times New Roman" w:hAnsi="Times New Roman" w:eastAsia="宋体" w:cs="Times New Roman"/>
                      <w:color w:val="0000FF"/>
                      <w:szCs w:val="21"/>
                    </w:rPr>
                    <w:t>、</w:t>
                  </w:r>
                  <w:r>
                    <w:rPr>
                      <w:rFonts w:ascii="Times New Roman" w:hAnsi="Times New Roman" w:eastAsia="宋体" w:cs="Times New Roman"/>
                      <w:color w:val="0000FF"/>
                      <w:szCs w:val="21"/>
                    </w:rPr>
                    <w:t>高污染行业发展，制定重点行业淘汰落后产能实施方案，按任务按年度分解落实到县市区。</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（4）生态敏感区以及重大基础设施控制走廊为非建设用地，严格禁止其内的一般性开发和建设。</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（5）城镇中心规划区、重大基础工程设施区、重点文物保护点</w:t>
                  </w:r>
                  <w:r>
                    <w:rPr>
                      <w:rFonts w:hint="eastAsia" w:ascii="Times New Roman" w:hAnsi="Times New Roman" w:eastAsia="宋体" w:cs="Times New Roman"/>
                      <w:color w:val="0000FF"/>
                      <w:szCs w:val="21"/>
                    </w:rPr>
                    <w:t>，</w:t>
                  </w:r>
                  <w:r>
                    <w:rPr>
                      <w:rFonts w:ascii="Times New Roman" w:hAnsi="Times New Roman" w:eastAsia="宋体" w:cs="Times New Roman"/>
                      <w:color w:val="0000FF"/>
                      <w:szCs w:val="21"/>
                    </w:rPr>
                    <w:t>重点水源地保护区，基础设施保护功能区和省道、国道等交通干线以及军事禁区周边200米或可视范围、铁路两侧各1000米均列入禁止开采区。自然保护区、地质公园、湿地公园、风景名胜区等禁止开采区原则上不再新设除地热、矿泉水外的其他矿种采矿权。确需设置的，禁止露天开采，不得影响禁止区主体功能，并与相关管理部门协商一致。禁止开采区内已设采矿权应与相关管理部门协商一致，或逐步退出，矿业活动造成的生态环境和土地植被破坏须及时恢复、复垦。重要饮用水源地禁止开采区原则上不再新设除地热、矿泉水外的其他矿种采矿权。确需设置的，原则上不再新建选厂，采矿废水必须经处理达标后才可外排。确需新建选厂的，须编制矿山地质环境保护与治理恢复和土地复垦方案，通过环境影响评估，并与相关管理部门协商一致。</w:t>
                  </w:r>
                </w:p>
                <w:p>
                  <w:pPr>
                    <w:rPr>
                      <w:rFonts w:hint="eastAsia" w:ascii="Times New Roman" w:hAnsi="Times New Roman" w:eastAsia="宋体" w:cs="Times New Roman"/>
                      <w:bCs/>
                      <w:sz w:val="21"/>
                      <w:szCs w:val="21"/>
                      <w:lang w:eastAsia="zh-CN"/>
                    </w:rPr>
                  </w:pPr>
                  <w:r>
                    <w:rPr>
                      <w:rFonts w:ascii="Times New Roman" w:hAnsi="Times New Roman" w:eastAsia="宋体" w:cs="Times New Roman"/>
                      <w:color w:val="0000FF"/>
                      <w:szCs w:val="21"/>
                    </w:rPr>
                    <w:t>（6）</w:t>
                  </w:r>
                  <w:r>
                    <w:rPr>
                      <w:rFonts w:hint="eastAsia" w:ascii="Times New Roman" w:hAnsi="Times New Roman" w:eastAsia="宋体" w:cs="Times New Roman"/>
                      <w:color w:val="0000FF"/>
                      <w:szCs w:val="21"/>
                    </w:rPr>
                    <w:t>加强规划区划和建设项目布局论证，根据土壤等环境承载能力，合理确定区域功能定位、空间布局。鼓励工业企业集聚发展，提高土地节约集约利用水平，减少土壤污染。严格执行相关行业企业布局选址要求，禁止在商住、学校、医疗、养老机构、人口密集区和公共服务设施等周边新建有色金属冶炼、化工等行业企业；结合推进新型城镇化、产业结构调整和化解过剩产能等。结合区域功能定位和土壤污染防治需要，科学布局生活垃圾处理、危险废物收集、处置与利用、废旧资源再生利用等设施和场所，合理确定畜禽养殖布局和规模，加强分区管理。</w:t>
                  </w:r>
                </w:p>
              </w:tc>
              <w:tc>
                <w:tcPr>
                  <w:tcW w:w="1503" w:type="pct"/>
                  <w:noWrap w:val="0"/>
                  <w:vAlign w:val="center"/>
                </w:tcPr>
                <w:p>
                  <w:pPr>
                    <w:rPr>
                      <w:rFonts w:ascii="Times New Roman" w:hAnsi="Times New Roman" w:eastAsia="宋体" w:cs="Times New Roman"/>
                      <w:color w:val="0000FF"/>
                      <w:szCs w:val="21"/>
                    </w:rPr>
                  </w:pP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1</w:t>
                  </w:r>
                  <w:r>
                    <w:rPr>
                      <w:rFonts w:hint="eastAsia"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本项目</w:t>
                  </w:r>
                  <w:r>
                    <w:rPr>
                      <w:rFonts w:hint="eastAsia" w:ascii="Times New Roman" w:hAnsi="Times New Roman" w:eastAsia="宋体" w:cs="Times New Roman"/>
                      <w:color w:val="0000FF"/>
                      <w:szCs w:val="21"/>
                      <w:lang w:val="en-US" w:eastAsia="zh-CN"/>
                    </w:rPr>
                    <w:t>初期雨水经隔油</w:t>
                  </w:r>
                  <w:r>
                    <w:rPr>
                      <w:rFonts w:hint="default" w:ascii="Times New Roman" w:hAnsi="Times New Roman" w:eastAsia="宋体" w:cs="Times New Roman"/>
                      <w:color w:val="0000FF"/>
                      <w:szCs w:val="21"/>
                      <w:lang w:val="en-US" w:eastAsia="zh-CN"/>
                    </w:rPr>
                    <w:t>沉淀池</w:t>
                  </w:r>
                  <w:r>
                    <w:rPr>
                      <w:rFonts w:hint="eastAsia" w:ascii="Times New Roman" w:hAnsi="Times New Roman" w:eastAsia="宋体" w:cs="Times New Roman"/>
                      <w:color w:val="0000FF"/>
                      <w:szCs w:val="21"/>
                      <w:lang w:val="en-US" w:eastAsia="zh-CN"/>
                    </w:rPr>
                    <w:t>沉淀后用于厂区内部洒水抑尘</w:t>
                  </w:r>
                  <w:r>
                    <w:rPr>
                      <w:rFonts w:hint="default" w:ascii="Times New Roman" w:hAnsi="Times New Roman" w:eastAsia="宋体" w:cs="Times New Roman"/>
                      <w:color w:val="0000FF"/>
                      <w:szCs w:val="21"/>
                      <w:lang w:val="en-US" w:eastAsia="zh-CN"/>
                    </w:rPr>
                    <w:t>，不外排。</w:t>
                  </w:r>
                  <w:r>
                    <w:rPr>
                      <w:rFonts w:hint="eastAsia" w:ascii="Times New Roman" w:hAnsi="Times New Roman" w:eastAsia="宋体" w:cs="Times New Roman"/>
                      <w:color w:val="0000FF"/>
                      <w:szCs w:val="21"/>
                      <w:lang w:val="en-US" w:eastAsia="zh-CN"/>
                    </w:rPr>
                    <w:t>生产废水和洗车废水在厂区沉淀后循环使用，不外排；生活污水接入辰溪县污水处理厂，其尾水出水水质满足《湖南省城镇污水处理厂主要水污染物排放标准》（DB43/T 1546-2018）中表 1 中二级标准与《城镇污水处理厂污染物排放标准》(GB18918-2002)表 1 中一级 A 标准，对沅水的影响较小。</w:t>
                  </w:r>
                </w:p>
                <w:p>
                  <w:pPr>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（2）本项目产</w:t>
                  </w:r>
                  <w:r>
                    <w:rPr>
                      <w:rFonts w:hint="default" w:ascii="Times New Roman" w:hAnsi="Times New Roman" w:eastAsia="宋体" w:cs="Times New Roman"/>
                      <w:color w:val="0000FF"/>
                      <w:szCs w:val="21"/>
                    </w:rPr>
                    <w:t>品为混凝土，</w:t>
                  </w:r>
                  <w:r>
                    <w:rPr>
                      <w:rFonts w:hint="eastAsia" w:ascii="Times New Roman" w:hAnsi="Times New Roman" w:eastAsia="宋体" w:cs="Times New Roman"/>
                      <w:color w:val="0000FF"/>
                      <w:szCs w:val="21"/>
                      <w:lang w:val="en-US" w:eastAsia="zh-CN"/>
                    </w:rPr>
                    <w:t>是建筑行业不可或缺的材料，符合</w:t>
                  </w:r>
                  <w:r>
                    <w:rPr>
                      <w:rFonts w:ascii="Times New Roman" w:hAnsi="Times New Roman" w:eastAsia="宋体" w:cs="Times New Roman"/>
                      <w:color w:val="0000FF"/>
                      <w:szCs w:val="21"/>
                    </w:rPr>
                    <w:t>北部经济区</w:t>
                  </w:r>
                  <w:r>
                    <w:rPr>
                      <w:rFonts w:hint="eastAsia" w:ascii="Times New Roman" w:hAnsi="Times New Roman" w:eastAsia="宋体" w:cs="Times New Roman"/>
                      <w:color w:val="0000FF"/>
                      <w:szCs w:val="21"/>
                      <w:lang w:val="en-US" w:eastAsia="zh-CN"/>
                    </w:rPr>
                    <w:t>的</w:t>
                  </w:r>
                  <w:r>
                    <w:rPr>
                      <w:rFonts w:ascii="Times New Roman" w:hAnsi="Times New Roman" w:eastAsia="宋体" w:cs="Times New Roman"/>
                      <w:color w:val="0000FF"/>
                      <w:szCs w:val="21"/>
                    </w:rPr>
                    <w:t>产业</w:t>
                  </w:r>
                  <w:r>
                    <w:rPr>
                      <w:rFonts w:hint="eastAsia" w:ascii="Times New Roman" w:hAnsi="Times New Roman" w:eastAsia="宋体" w:cs="Times New Roman"/>
                      <w:color w:val="0000FF"/>
                      <w:szCs w:val="21"/>
                      <w:lang w:val="en-US" w:eastAsia="zh-CN"/>
                    </w:rPr>
                    <w:t>定位</w:t>
                  </w:r>
                  <w:r>
                    <w:rPr>
                      <w:rFonts w:hint="default" w:ascii="Times New Roman" w:hAnsi="Times New Roman" w:eastAsia="宋体" w:cs="Times New Roman"/>
                      <w:color w:val="0000FF"/>
                      <w:szCs w:val="21"/>
                      <w:lang w:val="en-US" w:eastAsia="zh-CN"/>
                    </w:rPr>
                    <w:t>。</w:t>
                  </w:r>
                </w:p>
                <w:p>
                  <w:pP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（3）项目不生产</w:t>
                  </w:r>
                  <w:r>
                    <w:rPr>
                      <w:rFonts w:ascii="Times New Roman" w:hAnsi="Times New Roman" w:eastAsia="宋体" w:cs="Times New Roman"/>
                      <w:color w:val="0000FF"/>
                      <w:szCs w:val="21"/>
                    </w:rPr>
                    <w:t>有色、石化、水泥、化工等重污染</w:t>
                  </w:r>
                  <w:r>
                    <w:rPr>
                      <w:rFonts w:hint="eastAsia" w:ascii="Times New Roman" w:hAnsi="Times New Roman" w:eastAsia="宋体" w:cs="Times New Roman"/>
                      <w:color w:val="0000FF"/>
                      <w:szCs w:val="21"/>
                      <w:lang w:val="en-US" w:eastAsia="zh-CN"/>
                    </w:rPr>
                    <w:t>产品，不使用指导目录中淘汰的工艺及生产设备，不生产高能耗产品。</w:t>
                  </w:r>
                </w:p>
                <w:p>
                  <w:pPr>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lang w:val="en-US" w:eastAsia="zh-CN"/>
                    </w:rPr>
                    <w:t>（4）项目占地不涉及怀化市划定的</w:t>
                  </w:r>
                  <w:r>
                    <w:rPr>
                      <w:rFonts w:ascii="Times New Roman" w:hAnsi="Times New Roman" w:eastAsia="宋体" w:cs="Times New Roman"/>
                      <w:color w:val="0000FF"/>
                      <w:szCs w:val="21"/>
                    </w:rPr>
                    <w:t>农业保护区</w:t>
                  </w:r>
                  <w:r>
                    <w:rPr>
                      <w:rFonts w:hint="eastAsia" w:ascii="Times New Roman" w:hAnsi="Times New Roman" w:eastAsia="宋体" w:cs="Times New Roman"/>
                      <w:color w:val="0000FF"/>
                      <w:szCs w:val="21"/>
                      <w:lang w:eastAsia="zh-CN"/>
                    </w:rPr>
                    <w:t>、</w:t>
                  </w:r>
                  <w:r>
                    <w:rPr>
                      <w:rFonts w:ascii="Times New Roman" w:hAnsi="Times New Roman" w:eastAsia="宋体" w:cs="Times New Roman"/>
                      <w:color w:val="0000FF"/>
                      <w:szCs w:val="21"/>
                    </w:rPr>
                    <w:t>风景名胜区</w:t>
                  </w:r>
                  <w:r>
                    <w:rPr>
                      <w:rFonts w:hint="eastAsia" w:ascii="Times New Roman" w:hAnsi="Times New Roman" w:eastAsia="宋体" w:cs="Times New Roman"/>
                      <w:color w:val="0000FF"/>
                      <w:szCs w:val="21"/>
                      <w:lang w:eastAsia="zh-CN"/>
                    </w:rPr>
                    <w:t>、</w:t>
                  </w:r>
                  <w:r>
                    <w:rPr>
                      <w:rFonts w:ascii="Times New Roman" w:hAnsi="Times New Roman" w:eastAsia="宋体" w:cs="Times New Roman"/>
                      <w:color w:val="0000FF"/>
                      <w:szCs w:val="21"/>
                    </w:rPr>
                    <w:t>自然生态保护用地</w:t>
                  </w:r>
                  <w:r>
                    <w:rPr>
                      <w:rFonts w:hint="eastAsia" w:ascii="Times New Roman" w:hAnsi="Times New Roman" w:eastAsia="宋体" w:cs="Times New Roman"/>
                      <w:color w:val="0000FF"/>
                      <w:szCs w:val="21"/>
                      <w:lang w:eastAsia="zh-CN"/>
                    </w:rPr>
                    <w:t>、</w:t>
                  </w:r>
                  <w:r>
                    <w:rPr>
                      <w:rFonts w:ascii="Times New Roman" w:hAnsi="Times New Roman" w:eastAsia="宋体" w:cs="Times New Roman"/>
                      <w:color w:val="0000FF"/>
                      <w:szCs w:val="21"/>
                    </w:rPr>
                    <w:t>水源保护区</w:t>
                  </w:r>
                  <w:r>
                    <w:rPr>
                      <w:rFonts w:hint="eastAsia" w:ascii="Times New Roman" w:hAnsi="Times New Roman" w:eastAsia="宋体" w:cs="Times New Roman"/>
                      <w:color w:val="0000FF"/>
                      <w:szCs w:val="21"/>
                      <w:lang w:val="en-US" w:eastAsia="zh-CN"/>
                    </w:rPr>
                    <w:t>等</w:t>
                  </w:r>
                  <w:r>
                    <w:rPr>
                      <w:rFonts w:ascii="Times New Roman" w:hAnsi="Times New Roman" w:eastAsia="宋体" w:cs="Times New Roman"/>
                      <w:color w:val="0000FF"/>
                      <w:szCs w:val="21"/>
                    </w:rPr>
                    <w:t>生态敏感区</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也不涉及高压电力线及主要交通枢纽等</w:t>
                  </w:r>
                  <w:r>
                    <w:rPr>
                      <w:rFonts w:ascii="Times New Roman" w:hAnsi="Times New Roman" w:eastAsia="宋体" w:cs="Times New Roman"/>
                      <w:color w:val="0000FF"/>
                      <w:szCs w:val="21"/>
                    </w:rPr>
                    <w:t>重大基础设施控制走廊</w:t>
                  </w:r>
                  <w:r>
                    <w:rPr>
                      <w:rFonts w:hint="eastAsia" w:ascii="Times New Roman" w:hAnsi="Times New Roman" w:eastAsia="宋体" w:cs="Times New Roman"/>
                      <w:color w:val="0000FF"/>
                      <w:szCs w:val="21"/>
                      <w:lang w:eastAsia="zh-CN"/>
                    </w:rPr>
                    <w:t>。</w:t>
                  </w:r>
                </w:p>
                <w:p>
                  <w:pPr>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lang w:val="en-US" w:eastAsia="zh-CN"/>
                    </w:rPr>
                    <w:t>（5）项目不涉及矿种开采</w:t>
                  </w:r>
                  <w:r>
                    <w:rPr>
                      <w:rFonts w:hint="eastAsia" w:ascii="Times New Roman" w:hAnsi="Times New Roman" w:eastAsia="宋体" w:cs="Times New Roman"/>
                      <w:color w:val="0000FF"/>
                      <w:szCs w:val="21"/>
                      <w:lang w:eastAsia="zh-CN"/>
                    </w:rPr>
                    <w:t>。</w:t>
                  </w:r>
                </w:p>
                <w:p>
                  <w:pP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（6）项目用地性质为工业用地，选址符合《</w:t>
                  </w:r>
                  <w:r>
                    <w:rPr>
                      <w:rFonts w:hint="default" w:ascii="Times New Roman" w:hAnsi="Times New Roman" w:eastAsia="宋体" w:cs="Times New Roman"/>
                      <w:color w:val="0000FF"/>
                      <w:szCs w:val="21"/>
                      <w:lang w:val="en-US" w:eastAsia="zh-CN"/>
                    </w:rPr>
                    <w:t>辰溪县预拌混凝土搅拌站专项规划</w:t>
                  </w:r>
                  <w:r>
                    <w:rPr>
                      <w:rFonts w:hint="eastAsia" w:ascii="Times New Roman" w:hAnsi="Times New Roman" w:eastAsia="宋体" w:cs="Times New Roman"/>
                      <w:color w:val="0000FF"/>
                      <w:szCs w:val="21"/>
                      <w:lang w:val="en-US" w:eastAsia="zh-CN"/>
                    </w:rPr>
                    <w:t>》（2021-2035年）规划布局。</w:t>
                  </w:r>
                </w:p>
              </w:tc>
              <w:tc>
                <w:tcPr>
                  <w:tcW w:w="53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污染物排放管控</w:t>
                  </w:r>
                </w:p>
              </w:tc>
              <w:tc>
                <w:tcPr>
                  <w:tcW w:w="2515" w:type="pct"/>
                  <w:noWrap w:val="0"/>
                  <w:vAlign w:val="center"/>
                </w:tcPr>
                <w:p>
                  <w:pPr>
                    <w:tabs>
                      <w:tab w:val="left" w:pos="1021"/>
                    </w:tabs>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到2025年，全县建有污水治理设施行政村覆盖率不低于55%；到2030年，建有污水治理设施的行政村覆盖率不低于80%</w:t>
                  </w:r>
                  <w:r>
                    <w:rPr>
                      <w:rFonts w:hint="default" w:ascii="Times New Roman" w:hAnsi="Times New Roman" w:eastAsia="宋体" w:cs="Times New Roman"/>
                      <w:sz w:val="21"/>
                      <w:szCs w:val="21"/>
                      <w:lang w:eastAsia="zh-CN"/>
                    </w:rPr>
                    <w:t>；</w:t>
                  </w:r>
                </w:p>
                <w:p>
                  <w:pPr>
                    <w:tabs>
                      <w:tab w:val="left" w:pos="1021"/>
                    </w:tabs>
                    <w:spacing w:line="240" w:lineRule="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推广秸秆资源化利用技术，控制秸秆污染，到2021年全县作物秸秆资源化利用率达到85%以上。推广畜禽粪便沼气发酵处理技术，控制畜禽粪便污染。推广污水净化池处理污水技术，控制污水污染。建立生活垃圾分户收集、分类、处理制度，实现对生活垃圾的减量排放和资源化利用。</w:t>
                  </w:r>
                </w:p>
              </w:tc>
              <w:tc>
                <w:tcPr>
                  <w:tcW w:w="1503" w:type="pct"/>
                  <w:noWrap w:val="0"/>
                  <w:vAlign w:val="center"/>
                </w:tcPr>
                <w:p>
                  <w:pPr>
                    <w:wordWrap/>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本项目产生的三废均能有效处理，</w:t>
                  </w:r>
                  <w:r>
                    <w:rPr>
                      <w:rFonts w:hint="eastAsia" w:ascii="Times New Roman" w:hAnsi="Times New Roman" w:eastAsia="宋体" w:cs="Times New Roman"/>
                      <w:bCs/>
                      <w:color w:val="0000FF"/>
                      <w:sz w:val="21"/>
                      <w:szCs w:val="21"/>
                      <w:lang w:val="en-US" w:eastAsia="zh-CN"/>
                    </w:rPr>
                    <w:t>生活污水经生化池收集处理后接入辰溪县污水处理厂；洗车废水及生产</w:t>
                  </w:r>
                  <w:r>
                    <w:rPr>
                      <w:rFonts w:hint="default" w:ascii="Times New Roman" w:hAnsi="Times New Roman" w:eastAsia="宋体" w:cs="Times New Roman"/>
                      <w:bCs/>
                      <w:color w:val="0000FF"/>
                      <w:sz w:val="21"/>
                      <w:szCs w:val="21"/>
                      <w:lang w:val="en-US" w:eastAsia="zh-CN"/>
                    </w:rPr>
                    <w:t>废水循环使用，不外排；</w:t>
                  </w:r>
                  <w:r>
                    <w:rPr>
                      <w:rFonts w:hint="eastAsia" w:ascii="Times New Roman" w:hAnsi="Times New Roman" w:eastAsia="宋体" w:cs="Times New Roman"/>
                      <w:bCs/>
                      <w:color w:val="0000FF"/>
                      <w:sz w:val="21"/>
                      <w:szCs w:val="21"/>
                      <w:lang w:val="en-US" w:eastAsia="zh-CN"/>
                    </w:rPr>
                    <w:t>初期雨水经过隔油沉淀池沉淀后用于厂区洒水抑尘；</w:t>
                  </w:r>
                  <w:r>
                    <w:rPr>
                      <w:rFonts w:hint="default" w:ascii="Times New Roman" w:hAnsi="Times New Roman" w:eastAsia="宋体" w:cs="Times New Roman"/>
                      <w:bCs/>
                      <w:sz w:val="21"/>
                      <w:szCs w:val="21"/>
                      <w:lang w:val="en-US" w:eastAsia="zh-CN"/>
                    </w:rPr>
                    <w:t>废气</w:t>
                  </w:r>
                  <w:r>
                    <w:rPr>
                      <w:rFonts w:hint="default" w:ascii="Times New Roman" w:hAnsi="Times New Roman" w:eastAsia="宋体" w:cs="Times New Roman"/>
                      <w:bCs/>
                      <w:sz w:val="21"/>
                      <w:szCs w:val="21"/>
                    </w:rPr>
                    <w:t>采取相应治理措施后可达标排放</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固废全部委外处置。</w:t>
                  </w:r>
                </w:p>
              </w:tc>
              <w:tc>
                <w:tcPr>
                  <w:tcW w:w="53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环境风险防控</w:t>
                  </w:r>
                </w:p>
              </w:tc>
              <w:tc>
                <w:tcPr>
                  <w:tcW w:w="2515" w:type="pct"/>
                  <w:noWrap w:val="0"/>
                  <w:vAlign w:val="center"/>
                </w:tcPr>
                <w:p>
                  <w:pPr>
                    <w:rPr>
                      <w:rFonts w:hint="eastAsia" w:ascii="Times New Roman" w:hAnsi="Times New Roman" w:eastAsia="宋体" w:cs="Times New Roman"/>
                      <w:color w:val="0000FF"/>
                      <w:sz w:val="21"/>
                      <w:szCs w:val="21"/>
                      <w:lang w:eastAsia="zh-CN"/>
                    </w:rPr>
                  </w:pPr>
                  <w:r>
                    <w:rPr>
                      <w:rFonts w:hint="default" w:ascii="Times New Roman" w:hAnsi="Times New Roman" w:eastAsia="宋体" w:cs="Times New Roman"/>
                      <w:color w:val="0000FF"/>
                      <w:sz w:val="21"/>
                      <w:szCs w:val="21"/>
                    </w:rPr>
                    <w:t>按省级、市级生态环境准入总体清单中与环境风险防控相关条文执行</w:t>
                  </w:r>
                  <w:r>
                    <w:rPr>
                      <w:rFonts w:hint="eastAsia" w:ascii="Times New Roman" w:hAnsi="Times New Roman" w:eastAsia="宋体" w:cs="Times New Roman"/>
                      <w:color w:val="0000FF"/>
                      <w:sz w:val="21"/>
                      <w:szCs w:val="21"/>
                      <w:lang w:eastAsia="zh-CN"/>
                    </w:rPr>
                    <w:t>：</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1）推进怀化生态中心城市建设，保护和修复自然生态系统。加强生态功能区保护和管理。对重点生态功能区实行产业准入负面清单管理，结合资源环境承载能力综合评价，制定区域限制和禁止发展的产业目录。严格落实《关于贯彻实施国家主体功能区环境政策的若干意见》，进一步扩大我市武陵山重点生态功能区天然林保护范围，巩固退耕还林成果，恢复植被和生物多样性。统筹推进山水林田湖生态环境保护与修复工程，构建生态安全屏障。</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2）石化生产存贮销售企业和工业园区、矿山开采区、垃圾填埋场等区域应进行必要的防渗处理。加快推动加油站地下油罐的双层罐更新或完成防渗池设置，中石油怀化分公司和中石化怀化分公司要编制加油站地下油罐防治改造工作方案。</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3）加大黑臭水体治理力度，采取有效措施防止产生二次污染，每半年向社会公布治理情况。各地市加强已经完成整治的黑臭水体的日常监管，禁止河面有大面积漂浮物、河岸堆放垃圾和淤泥、新增排污口，保障建成区已经完成整治的黑臭水体问题不再反弹。发现新的黑臭水体，主动上报并制定相关整治措施。</w:t>
                  </w:r>
                  <w:r>
                    <w:rPr>
                      <w:rFonts w:hint="eastAsia" w:ascii="Times New Roman" w:hAnsi="Times New Roman" w:eastAsia="宋体" w:cs="Times New Roman"/>
                      <w:color w:val="0000FF"/>
                      <w:szCs w:val="21"/>
                    </w:rPr>
                    <w:t>到</w:t>
                  </w:r>
                  <w:r>
                    <w:rPr>
                      <w:rFonts w:ascii="Times New Roman" w:hAnsi="Times New Roman" w:eastAsia="宋体" w:cs="Times New Roman"/>
                      <w:color w:val="0000FF"/>
                      <w:szCs w:val="21"/>
                    </w:rPr>
                    <w:t>2020年，市城区黑臭水体消除比例分别达到90%以上；各县市区黑臭水体消除比例分别达到90%以上。</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（4）</w:t>
                  </w:r>
                  <w:r>
                    <w:rPr>
                      <w:rFonts w:hint="eastAsia" w:ascii="Times New Roman" w:hAnsi="Times New Roman" w:eastAsia="宋体" w:cs="Times New Roman"/>
                      <w:color w:val="0000FF"/>
                      <w:szCs w:val="21"/>
                    </w:rPr>
                    <w:t>各县市区要结合土壤污染状况详查情况，根据建设用地土壤环境调查评估及现有重金属污染场地调查结果，逐步建立污染地块名录及其开发利用的负面清单，合理确定土地用途。符合相应规划用地土壤环境质量要求的地块，可进入用地程序；暂不开发利用或现阶段不具备治理修复条件的污染地块，由所在地县市区人民政府组织划定管控区域，设立标识，发布公告，开展土壤、地表水、地下水、空气环境监测；存在潜在污染扩散风险的，责令相关责任方制定环境风险管控方案；发现污染扩散的，封闭污染区域，采取污染物隔离、阻断等工程和管理措施。</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（5）到2030年，全市水土流失面积下降为2000平方公里，森林覆盖率达到70%，生态农业成为农业的主体，其产值占农业总产值的60%以上。</w:t>
                  </w:r>
                </w:p>
                <w:p>
                  <w:pPr>
                    <w:tabs>
                      <w:tab w:val="left" w:pos="1021"/>
                    </w:tabs>
                    <w:spacing w:line="240" w:lineRule="auto"/>
                    <w:rPr>
                      <w:rFonts w:hint="default" w:ascii="Times New Roman" w:hAnsi="Times New Roman" w:eastAsia="宋体" w:cs="Times New Roman"/>
                      <w:snapToGrid w:val="0"/>
                      <w:color w:val="000000"/>
                      <w:kern w:val="0"/>
                      <w:sz w:val="21"/>
                      <w:szCs w:val="21"/>
                    </w:rPr>
                  </w:pPr>
                  <w:r>
                    <w:rPr>
                      <w:rFonts w:ascii="Times New Roman" w:hAnsi="Times New Roman" w:eastAsia="宋体" w:cs="Times New Roman"/>
                      <w:color w:val="0000FF"/>
                      <w:szCs w:val="21"/>
                    </w:rPr>
                    <w:t>（6）到2030年，全市土壤环境质量稳中向好，农用地、建设用地和饮用水水源地土壤环境安全得到有效保障，土壤环境风险及隐患得到全面管控，受污染耕地安全利用率达到95%以上。</w:t>
                  </w:r>
                </w:p>
              </w:tc>
              <w:tc>
                <w:tcPr>
                  <w:tcW w:w="1503" w:type="pct"/>
                  <w:noWrap w:val="0"/>
                  <w:vAlign w:val="center"/>
                </w:tcPr>
                <w:p>
                  <w:pPr>
                    <w:rPr>
                      <w:rFonts w:ascii="Times New Roman" w:hAnsi="Times New Roman" w:eastAsia="宋体" w:cs="Times New Roman"/>
                      <w:color w:val="0000FF"/>
                      <w:szCs w:val="21"/>
                    </w:rPr>
                  </w:pPr>
                  <w:r>
                    <w:rPr>
                      <w:rFonts w:ascii="Times New Roman" w:hAnsi="Times New Roman" w:eastAsia="宋体" w:cs="Times New Roman"/>
                      <w:color w:val="0000FF"/>
                      <w:szCs w:val="21"/>
                    </w:rPr>
                    <w:t>（1）</w:t>
                  </w:r>
                  <w:r>
                    <w:rPr>
                      <w:rFonts w:hint="eastAsia" w:ascii="Times New Roman" w:hAnsi="Times New Roman" w:eastAsia="宋体" w:cs="Times New Roman"/>
                      <w:color w:val="0000FF"/>
                      <w:szCs w:val="21"/>
                      <w:lang w:val="en-US" w:eastAsia="zh-CN"/>
                    </w:rPr>
                    <w:t>项目用地为工业用地，不涉及基本农田及其他生态敏感区域</w:t>
                  </w:r>
                  <w:r>
                    <w:rPr>
                      <w:rFonts w:ascii="Times New Roman" w:hAnsi="Times New Roman" w:eastAsia="宋体" w:cs="Times New Roman"/>
                      <w:color w:val="0000FF"/>
                      <w:szCs w:val="21"/>
                    </w:rPr>
                    <w:t>。</w:t>
                  </w:r>
                </w:p>
                <w:p>
                  <w:pPr>
                    <w:rPr>
                      <w:rFonts w:hint="eastAsia" w:ascii="Times New Roman" w:hAnsi="Times New Roman" w:eastAsia="宋体" w:cs="Times New Roman"/>
                      <w:color w:val="0000FF"/>
                      <w:szCs w:val="21"/>
                      <w:lang w:val="en-US" w:eastAsia="zh-CN"/>
                    </w:rPr>
                  </w:pPr>
                  <w:r>
                    <w:rPr>
                      <w:rFonts w:ascii="Times New Roman" w:hAnsi="Times New Roman" w:eastAsia="宋体" w:cs="Times New Roman"/>
                      <w:color w:val="0000FF"/>
                      <w:szCs w:val="21"/>
                    </w:rPr>
                    <w:t>（2）</w:t>
                  </w:r>
                  <w:r>
                    <w:rPr>
                      <w:rFonts w:hint="eastAsia" w:ascii="Times New Roman" w:hAnsi="Times New Roman" w:eastAsia="宋体" w:cs="Times New Roman"/>
                      <w:color w:val="0000FF"/>
                      <w:szCs w:val="21"/>
                      <w:lang w:val="en-US" w:eastAsia="zh-CN"/>
                    </w:rPr>
                    <w:t>项目设置双层储油罐，地面拟采取防渗措施，且设置事故油池，可有效预防油品污染事故。</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（3）</w:t>
                  </w:r>
                  <w:r>
                    <w:rPr>
                      <w:rFonts w:hint="eastAsia" w:ascii="Times New Roman" w:hAnsi="Times New Roman" w:eastAsia="宋体" w:cs="Times New Roman"/>
                      <w:color w:val="0000FF"/>
                      <w:szCs w:val="21"/>
                      <w:lang w:val="en-US" w:eastAsia="zh-CN"/>
                    </w:rPr>
                    <w:t>项目生产废水和洗车废水沉淀后循环使用，初期雨水经隔油沉淀池沉淀后用于厂区洒水抑尘；生活污水进入污水处理厂深度处理，污废水处理措施有效可行，不会直接排入地表水环境</w:t>
                  </w:r>
                  <w:r>
                    <w:rPr>
                      <w:rFonts w:ascii="Times New Roman" w:hAnsi="Times New Roman" w:eastAsia="宋体" w:cs="Times New Roman"/>
                      <w:color w:val="0000FF"/>
                      <w:szCs w:val="21"/>
                    </w:rPr>
                    <w:t>。</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（4）</w:t>
                  </w:r>
                  <w:r>
                    <w:rPr>
                      <w:rFonts w:hint="eastAsia" w:ascii="Times New Roman" w:hAnsi="Times New Roman" w:eastAsia="宋体" w:cs="Times New Roman"/>
                      <w:color w:val="0000FF"/>
                      <w:szCs w:val="21"/>
                      <w:lang w:val="en-US" w:eastAsia="zh-CN"/>
                    </w:rPr>
                    <w:t>项目</w:t>
                  </w:r>
                  <w:r>
                    <w:rPr>
                      <w:rFonts w:hint="eastAsia" w:ascii="Times New Roman" w:hAnsi="Times New Roman" w:eastAsia="宋体" w:cs="Times New Roman"/>
                      <w:color w:val="0000FF"/>
                      <w:szCs w:val="21"/>
                    </w:rPr>
                    <w:t>建设用地</w:t>
                  </w:r>
                  <w:r>
                    <w:rPr>
                      <w:rFonts w:hint="eastAsia" w:ascii="Times New Roman" w:hAnsi="Times New Roman" w:eastAsia="宋体" w:cs="Times New Roman"/>
                      <w:color w:val="0000FF"/>
                      <w:szCs w:val="21"/>
                      <w:lang w:val="en-US" w:eastAsia="zh-CN"/>
                    </w:rPr>
                    <w:t>未进行过涉及</w:t>
                  </w:r>
                  <w:r>
                    <w:rPr>
                      <w:rFonts w:hint="eastAsia" w:ascii="Times New Roman" w:hAnsi="Times New Roman" w:eastAsia="宋体" w:cs="Times New Roman"/>
                      <w:color w:val="0000FF"/>
                      <w:szCs w:val="21"/>
                    </w:rPr>
                    <w:t>重金属</w:t>
                  </w:r>
                  <w:r>
                    <w:rPr>
                      <w:rFonts w:hint="eastAsia" w:ascii="Times New Roman" w:hAnsi="Times New Roman" w:eastAsia="宋体" w:cs="Times New Roman"/>
                      <w:color w:val="0000FF"/>
                      <w:szCs w:val="21"/>
                      <w:lang w:val="en-US" w:eastAsia="zh-CN"/>
                    </w:rPr>
                    <w:t>的生产活动，故而不涉及重金属污染</w:t>
                  </w:r>
                  <w:r>
                    <w:rPr>
                      <w:rFonts w:hint="eastAsia" w:ascii="Times New Roman" w:hAnsi="Times New Roman" w:eastAsia="宋体" w:cs="Times New Roman"/>
                      <w:color w:val="0000FF"/>
                      <w:szCs w:val="21"/>
                    </w:rPr>
                    <w:t>。</w:t>
                  </w:r>
                </w:p>
                <w:p>
                  <w:pPr>
                    <w:rPr>
                      <w:rFonts w:ascii="Times New Roman" w:hAnsi="Times New Roman" w:eastAsia="宋体" w:cs="Times New Roman"/>
                      <w:color w:val="0000FF"/>
                      <w:szCs w:val="21"/>
                    </w:rPr>
                  </w:pPr>
                  <w:r>
                    <w:rPr>
                      <w:rFonts w:ascii="Times New Roman" w:hAnsi="Times New Roman" w:eastAsia="宋体" w:cs="Times New Roman"/>
                      <w:color w:val="0000FF"/>
                      <w:szCs w:val="21"/>
                    </w:rPr>
                    <w:t>（5）</w:t>
                  </w:r>
                  <w:r>
                    <w:rPr>
                      <w:rFonts w:hint="eastAsia" w:ascii="Times New Roman" w:hAnsi="Times New Roman" w:eastAsia="宋体" w:cs="Times New Roman"/>
                      <w:color w:val="0000FF"/>
                      <w:szCs w:val="21"/>
                      <w:lang w:val="en-US" w:eastAsia="zh-CN"/>
                    </w:rPr>
                    <w:t>项目不涉及矿种开采，厂区建成后地面硬化，厂界与外部坡度较大的区域设置挡土墙，以防水土流失</w:t>
                  </w:r>
                  <w:r>
                    <w:rPr>
                      <w:rFonts w:ascii="Times New Roman" w:hAnsi="Times New Roman" w:eastAsia="宋体" w:cs="Times New Roman"/>
                      <w:color w:val="0000FF"/>
                      <w:szCs w:val="21"/>
                    </w:rPr>
                    <w:t>。</w:t>
                  </w:r>
                </w:p>
                <w:p>
                  <w:pPr>
                    <w:wordWrap/>
                    <w:spacing w:line="240" w:lineRule="auto"/>
                    <w:jc w:val="left"/>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color w:val="0000FF"/>
                      <w:szCs w:val="21"/>
                      <w:lang w:val="en-US" w:eastAsia="zh-CN"/>
                    </w:rPr>
                    <w:t>（6）项目红线范围内的建设用地未发生土壤污染事故</w:t>
                  </w:r>
                  <w:r>
                    <w:rPr>
                      <w:rFonts w:hint="default" w:ascii="Times New Roman" w:hAnsi="Times New Roman" w:eastAsia="宋体" w:cs="Times New Roman"/>
                      <w:color w:val="0000FF"/>
                      <w:szCs w:val="21"/>
                      <w:lang w:val="en-US" w:eastAsia="zh-CN"/>
                    </w:rPr>
                    <w:t>。</w:t>
                  </w:r>
                </w:p>
              </w:tc>
              <w:tc>
                <w:tcPr>
                  <w:tcW w:w="53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4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资源开发效率要求</w:t>
                  </w:r>
                </w:p>
              </w:tc>
              <w:tc>
                <w:tcPr>
                  <w:tcW w:w="2515" w:type="pct"/>
                  <w:noWrap w:val="0"/>
                  <w:vAlign w:val="center"/>
                </w:tcPr>
                <w:p>
                  <w:pPr>
                    <w:tabs>
                      <w:tab w:val="left" w:pos="1021"/>
                    </w:tabs>
                    <w:spacing w:line="240" w:lineRule="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构建农村现代能源体系。提升农村电网保障能力，加快天然气管网设施建设，因地制宜推进太阳能、水能、风能、地热能等资源的开发利用，推进农作物秸秆等能源化利用及沼气工程集中供气、发电上网等综合利用。</w:t>
                  </w:r>
                </w:p>
              </w:tc>
              <w:tc>
                <w:tcPr>
                  <w:tcW w:w="1503" w:type="pct"/>
                  <w:noWrap w:val="0"/>
                  <w:vAlign w:val="center"/>
                </w:tcPr>
                <w:p>
                  <w:pPr>
                    <w:wordWrap/>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本项目不使用煤、高硫、中硫原煤等燃料</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主要使用电能。</w:t>
                  </w:r>
                </w:p>
              </w:tc>
              <w:tc>
                <w:tcPr>
                  <w:tcW w:w="53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bl>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本项目建设基本符合怀化市三线一单文件管控要求。</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环保设施及</w:t>
            </w:r>
            <w:r>
              <w:rPr>
                <w:rFonts w:hint="default" w:ascii="Times New Roman" w:hAnsi="Times New Roman" w:eastAsia="宋体" w:cs="Times New Roman"/>
                <w:sz w:val="24"/>
                <w:szCs w:val="24"/>
                <w:lang w:val="en-US" w:eastAsia="zh-CN"/>
              </w:rPr>
              <w:t>平面布置合理性分析</w:t>
            </w:r>
          </w:p>
          <w:p>
            <w:pPr>
              <w:spacing w:line="360" w:lineRule="auto"/>
              <w:ind w:firstLine="480" w:firstLineChars="200"/>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sz w:val="24"/>
                <w:szCs w:val="24"/>
                <w:lang w:val="en-US" w:eastAsia="zh-CN"/>
              </w:rPr>
              <w:t>本项目总体布局和功能分区充分考虑了位置、</w:t>
            </w:r>
            <w:r>
              <w:rPr>
                <w:rFonts w:hint="eastAsia" w:ascii="Times New Roman" w:hAnsi="Times New Roman" w:eastAsia="宋体" w:cs="Times New Roman"/>
                <w:sz w:val="24"/>
                <w:szCs w:val="24"/>
                <w:lang w:val="en-US" w:eastAsia="zh-CN"/>
              </w:rPr>
              <w:t>生产线的可操作性</w:t>
            </w:r>
            <w:r>
              <w:rPr>
                <w:rFonts w:hint="default" w:ascii="Times New Roman" w:hAnsi="Times New Roman" w:eastAsia="宋体" w:cs="Times New Roman"/>
                <w:sz w:val="24"/>
                <w:szCs w:val="24"/>
                <w:lang w:val="en-US" w:eastAsia="zh-CN"/>
              </w:rPr>
              <w:t>等各个因素，原料堆场位于厂区最北侧，其地势较高，方便衔接南侧的上料系统，碎石计量后经自身重力落入传输带，再经传输带运至搅拌生产线。</w:t>
            </w:r>
            <w:r>
              <w:rPr>
                <w:rFonts w:hint="default" w:ascii="Times New Roman" w:hAnsi="Times New Roman" w:eastAsia="宋体" w:cs="Times New Roman"/>
                <w:color w:val="0000FF"/>
                <w:sz w:val="24"/>
                <w:szCs w:val="24"/>
                <w:lang w:val="en-US" w:eastAsia="zh-CN"/>
              </w:rPr>
              <w:t>搅拌</w:t>
            </w:r>
            <w:r>
              <w:rPr>
                <w:rFonts w:hint="eastAsia" w:ascii="Times New Roman" w:hAnsi="Times New Roman" w:eastAsia="宋体" w:cs="Times New Roman"/>
                <w:color w:val="0000FF"/>
                <w:sz w:val="24"/>
                <w:szCs w:val="24"/>
                <w:lang w:val="en-US" w:eastAsia="zh-CN"/>
              </w:rPr>
              <w:t>区</w:t>
            </w:r>
            <w:r>
              <w:rPr>
                <w:rFonts w:hint="default" w:ascii="Times New Roman" w:hAnsi="Times New Roman" w:eastAsia="宋体" w:cs="Times New Roman"/>
                <w:color w:val="0000FF"/>
                <w:sz w:val="24"/>
                <w:szCs w:val="24"/>
                <w:lang w:val="en-US" w:eastAsia="zh-CN"/>
              </w:rPr>
              <w:t>位于厂区中心，</w:t>
            </w:r>
            <w:r>
              <w:rPr>
                <w:rFonts w:hint="eastAsia" w:ascii="Times New Roman" w:hAnsi="Times New Roman" w:eastAsia="宋体" w:cs="Times New Roman"/>
                <w:color w:val="0000FF"/>
                <w:sz w:val="24"/>
                <w:szCs w:val="24"/>
                <w:lang w:val="en-US" w:eastAsia="zh-CN"/>
              </w:rPr>
              <w:t>建设单位拟将搅拌区设置为密闭车间，其顶棚高度约20m。粉料落料</w:t>
            </w:r>
            <w:r>
              <w:rPr>
                <w:rFonts w:hint="default" w:ascii="Times New Roman" w:hAnsi="Times New Roman" w:eastAsia="宋体" w:cs="Times New Roman"/>
                <w:color w:val="0000FF"/>
                <w:sz w:val="24"/>
                <w:szCs w:val="24"/>
                <w:lang w:val="en-US" w:eastAsia="zh-CN"/>
              </w:rPr>
              <w:t>产生的粉尘经</w:t>
            </w:r>
            <w:r>
              <w:rPr>
                <w:rFonts w:hint="eastAsia" w:ascii="Times New Roman" w:hAnsi="Times New Roman" w:eastAsia="宋体" w:cs="Times New Roman"/>
                <w:color w:val="0000FF"/>
                <w:sz w:val="24"/>
                <w:szCs w:val="24"/>
                <w:lang w:val="en-US" w:eastAsia="zh-CN"/>
              </w:rPr>
              <w:t>筒仓顶部的</w:t>
            </w:r>
            <w:r>
              <w:rPr>
                <w:rFonts w:hint="default" w:ascii="Times New Roman" w:hAnsi="Times New Roman" w:eastAsia="宋体" w:cs="Times New Roman"/>
                <w:color w:val="0000FF"/>
                <w:sz w:val="24"/>
                <w:szCs w:val="24"/>
                <w:lang w:val="en-US" w:eastAsia="zh-CN"/>
              </w:rPr>
              <w:t>脉冲反吹式收尘器处理后</w:t>
            </w:r>
            <w:r>
              <w:rPr>
                <w:rFonts w:hint="eastAsia" w:ascii="Times New Roman" w:hAnsi="Times New Roman" w:eastAsia="宋体" w:cs="Times New Roman"/>
                <w:color w:val="0000FF"/>
                <w:sz w:val="24"/>
                <w:szCs w:val="24"/>
                <w:lang w:val="en-US" w:eastAsia="zh-CN"/>
              </w:rPr>
              <w:t>由筒仓顶部的呼吸口</w:t>
            </w:r>
            <w:r>
              <w:rPr>
                <w:rFonts w:hint="default" w:ascii="Times New Roman" w:hAnsi="Times New Roman" w:eastAsia="宋体" w:cs="Times New Roman"/>
                <w:color w:val="0000FF"/>
                <w:sz w:val="24"/>
                <w:szCs w:val="24"/>
                <w:lang w:val="en-US" w:eastAsia="zh-CN"/>
              </w:rPr>
              <w:t>排放</w:t>
            </w:r>
            <w:r>
              <w:rPr>
                <w:rFonts w:hint="eastAsia" w:ascii="Times New Roman" w:hAnsi="Times New Roman" w:eastAsia="宋体" w:cs="Times New Roman"/>
                <w:color w:val="0000FF"/>
                <w:sz w:val="24"/>
                <w:szCs w:val="24"/>
                <w:lang w:val="en-US" w:eastAsia="zh-CN"/>
              </w:rPr>
              <w:t>；搅拌机搅拌产生的粉尘经搅拌机配套的除尘器处理后排放。搅拌生产线中排放的粉尘经顶棚喷淋装置进一步洒水抑尘，约80%粉尘在搅拌车间内沉降，其余部分经车间门帘无组织排放。</w:t>
            </w:r>
          </w:p>
          <w:p>
            <w:pPr>
              <w:spacing w:line="360" w:lineRule="auto"/>
              <w:ind w:firstLine="480" w:firstLineChars="200"/>
              <w:rPr>
                <w:rFonts w:hint="default" w:ascii="Times New Roman" w:hAnsi="Times New Roman" w:eastAsia="宋体" w:cs="Times New Roman"/>
                <w:bCs/>
                <w:color w:val="0000FF"/>
                <w:sz w:val="24"/>
                <w:szCs w:val="24"/>
                <w:lang w:val="en-US" w:eastAsia="zh-CN"/>
              </w:rPr>
            </w:pPr>
            <w:r>
              <w:rPr>
                <w:rFonts w:hint="default" w:ascii="Times New Roman" w:hAnsi="Times New Roman" w:eastAsia="宋体" w:cs="Times New Roman"/>
                <w:color w:val="0000FF"/>
                <w:sz w:val="24"/>
                <w:szCs w:val="24"/>
                <w:lang w:val="en-US" w:eastAsia="zh-CN"/>
              </w:rPr>
              <w:t>搅拌</w:t>
            </w:r>
            <w:r>
              <w:rPr>
                <w:rFonts w:hint="eastAsia" w:ascii="Times New Roman" w:hAnsi="Times New Roman" w:eastAsia="宋体" w:cs="Times New Roman"/>
                <w:color w:val="0000FF"/>
                <w:sz w:val="24"/>
                <w:szCs w:val="24"/>
                <w:lang w:val="en-US" w:eastAsia="zh-CN"/>
              </w:rPr>
              <w:t>区</w:t>
            </w:r>
            <w:r>
              <w:rPr>
                <w:rFonts w:hint="default" w:ascii="Times New Roman" w:hAnsi="Times New Roman" w:eastAsia="宋体" w:cs="Times New Roman"/>
                <w:color w:val="0000FF"/>
                <w:sz w:val="24"/>
                <w:szCs w:val="24"/>
                <w:lang w:val="en-US" w:eastAsia="zh-CN"/>
              </w:rPr>
              <w:t>西</w:t>
            </w:r>
            <w:r>
              <w:rPr>
                <w:rFonts w:hint="eastAsia" w:ascii="Times New Roman" w:hAnsi="Times New Roman" w:eastAsia="宋体" w:cs="Times New Roman"/>
                <w:color w:val="0000FF"/>
                <w:sz w:val="24"/>
                <w:szCs w:val="24"/>
                <w:lang w:val="en-US" w:eastAsia="zh-CN"/>
              </w:rPr>
              <w:t>北</w:t>
            </w:r>
            <w:r>
              <w:rPr>
                <w:rFonts w:hint="default" w:ascii="Times New Roman" w:hAnsi="Times New Roman" w:eastAsia="宋体" w:cs="Times New Roman"/>
                <w:color w:val="0000FF"/>
                <w:sz w:val="24"/>
                <w:szCs w:val="24"/>
                <w:lang w:val="en-US" w:eastAsia="zh-CN"/>
              </w:rPr>
              <w:t>侧设置了</w:t>
            </w:r>
            <w:r>
              <w:rPr>
                <w:rFonts w:hint="eastAsia" w:ascii="Times New Roman" w:hAnsi="Times New Roman" w:eastAsia="宋体" w:cs="Times New Roman"/>
                <w:color w:val="0000FF"/>
                <w:sz w:val="24"/>
                <w:szCs w:val="24"/>
                <w:lang w:val="en-US" w:eastAsia="zh-CN"/>
              </w:rPr>
              <w:t>回收区</w:t>
            </w:r>
            <w:r>
              <w:rPr>
                <w:rFonts w:hint="default" w:ascii="Times New Roman" w:hAnsi="Times New Roman" w:eastAsia="宋体" w:cs="Times New Roman"/>
                <w:color w:val="0000FF"/>
                <w:sz w:val="24"/>
                <w:szCs w:val="24"/>
                <w:lang w:val="en-US" w:eastAsia="zh-CN"/>
              </w:rPr>
              <w:t>，</w:t>
            </w:r>
            <w:r>
              <w:rPr>
                <w:rFonts w:hint="eastAsia" w:ascii="Times New Roman" w:hAnsi="Times New Roman" w:eastAsia="宋体" w:cs="Times New Roman"/>
                <w:color w:val="0000FF"/>
                <w:sz w:val="24"/>
                <w:szCs w:val="24"/>
                <w:lang w:val="en-US" w:eastAsia="zh-CN"/>
              </w:rPr>
              <w:t>在回收区清洗</w:t>
            </w:r>
            <w:r>
              <w:rPr>
                <w:rFonts w:hint="eastAsia" w:ascii="Times New Roman" w:hAnsi="Times New Roman" w:eastAsia="宋体" w:cs="Times New Roman"/>
                <w:bCs/>
                <w:color w:val="0000FF"/>
                <w:sz w:val="24"/>
                <w:szCs w:val="24"/>
                <w:lang w:val="en-US" w:eastAsia="zh-CN"/>
              </w:rPr>
              <w:t>罐车内壁后产生的</w:t>
            </w:r>
            <w:r>
              <w:rPr>
                <w:rFonts w:hint="default" w:ascii="Times New Roman" w:hAnsi="Times New Roman" w:eastAsia="宋体" w:cs="Times New Roman"/>
                <w:bCs/>
                <w:color w:val="0000FF"/>
                <w:sz w:val="24"/>
                <w:szCs w:val="24"/>
                <w:lang w:val="en-US" w:eastAsia="zh-CN"/>
              </w:rPr>
              <w:t>废水</w:t>
            </w:r>
            <w:r>
              <w:rPr>
                <w:rFonts w:hint="eastAsia" w:ascii="Times New Roman" w:hAnsi="Times New Roman" w:eastAsia="宋体" w:cs="Times New Roman"/>
                <w:bCs/>
                <w:color w:val="0000FF"/>
                <w:sz w:val="24"/>
                <w:szCs w:val="24"/>
                <w:lang w:val="en-US" w:eastAsia="zh-CN"/>
              </w:rPr>
              <w:t>在回收区东侧的</w:t>
            </w:r>
            <w:r>
              <w:rPr>
                <w:rFonts w:hint="eastAsia" w:ascii="Times New Roman" w:hAnsi="Times New Roman" w:eastAsia="宋体" w:cs="Times New Roman"/>
                <w:color w:val="0000FF"/>
                <w:sz w:val="24"/>
                <w:szCs w:val="24"/>
                <w:lang w:val="en-US" w:eastAsia="zh-CN"/>
              </w:rPr>
              <w:t>三级</w:t>
            </w:r>
            <w:r>
              <w:rPr>
                <w:rFonts w:hint="default" w:ascii="Times New Roman" w:hAnsi="Times New Roman" w:eastAsia="宋体" w:cs="Times New Roman"/>
                <w:color w:val="0000FF"/>
                <w:sz w:val="24"/>
                <w:szCs w:val="24"/>
                <w:lang w:val="en-US" w:eastAsia="zh-CN"/>
              </w:rPr>
              <w:t>沉淀池</w:t>
            </w:r>
            <w:r>
              <w:rPr>
                <w:rFonts w:hint="eastAsia" w:ascii="Times New Roman" w:hAnsi="Times New Roman" w:eastAsia="宋体" w:cs="Times New Roman"/>
                <w:bCs/>
                <w:color w:val="0000FF"/>
                <w:sz w:val="24"/>
                <w:szCs w:val="24"/>
                <w:lang w:val="en-US" w:eastAsia="zh-CN"/>
              </w:rPr>
              <w:t>沉淀后回用</w:t>
            </w:r>
            <w:r>
              <w:rPr>
                <w:rFonts w:hint="default" w:ascii="Times New Roman" w:hAnsi="Times New Roman" w:eastAsia="宋体" w:cs="Times New Roman"/>
                <w:bCs/>
                <w:color w:val="0000FF"/>
                <w:sz w:val="24"/>
                <w:szCs w:val="24"/>
                <w:lang w:val="en-US" w:eastAsia="zh-CN"/>
              </w:rPr>
              <w:t>，不外排</w:t>
            </w:r>
            <w:r>
              <w:rPr>
                <w:rFonts w:hint="eastAsia" w:ascii="Times New Roman" w:hAnsi="Times New Roman" w:eastAsia="宋体" w:cs="Times New Roman"/>
                <w:bCs/>
                <w:color w:val="0000FF"/>
                <w:sz w:val="24"/>
                <w:szCs w:val="24"/>
                <w:lang w:val="en-US" w:eastAsia="zh-CN"/>
              </w:rPr>
              <w:t>。</w:t>
            </w:r>
            <w:r>
              <w:rPr>
                <w:rFonts w:hint="default" w:ascii="Times New Roman" w:hAnsi="Times New Roman" w:eastAsia="宋体" w:cs="Times New Roman"/>
                <w:color w:val="0000FF"/>
                <w:sz w:val="24"/>
                <w:szCs w:val="24"/>
                <w:lang w:val="en-US" w:eastAsia="zh-CN"/>
              </w:rPr>
              <w:t>西南侧设置综合楼、宿舍、卫生间，产生的</w:t>
            </w:r>
            <w:r>
              <w:rPr>
                <w:rFonts w:hint="eastAsia" w:ascii="Times New Roman" w:hAnsi="Times New Roman" w:eastAsia="宋体" w:cs="Times New Roman"/>
                <w:bCs/>
                <w:color w:val="0000FF"/>
                <w:sz w:val="24"/>
                <w:szCs w:val="24"/>
                <w:lang w:val="en-US" w:eastAsia="zh-CN"/>
              </w:rPr>
              <w:t>生活污水经综合楼旁的隔油池与生化池收集处理后接入</w:t>
            </w:r>
            <w:r>
              <w:rPr>
                <w:rFonts w:hint="eastAsia" w:ascii="Times New Roman" w:hAnsi="Times New Roman" w:eastAsia="宋体" w:cs="Times New Roman"/>
                <w:color w:val="0000FF"/>
                <w:sz w:val="24"/>
                <w:szCs w:val="24"/>
                <w:lang w:val="en-US" w:eastAsia="zh-CN"/>
              </w:rPr>
              <w:t>辰溪县污水处理厂</w:t>
            </w:r>
            <w:r>
              <w:rPr>
                <w:rFonts w:hint="eastAsia" w:ascii="Times New Roman" w:hAnsi="Times New Roman" w:eastAsia="宋体" w:cs="Times New Roman"/>
                <w:bCs/>
                <w:color w:val="0000FF"/>
                <w:sz w:val="24"/>
                <w:szCs w:val="24"/>
                <w:lang w:val="en-US" w:eastAsia="zh-CN"/>
              </w:rPr>
              <w:t>；搅拌区及堆料区初期雨水与搅拌区地面清洗废水经厂区南侧的1#隔油沉淀池处理后用于厂区洒水抑尘，不排放；</w:t>
            </w:r>
            <w:r>
              <w:rPr>
                <w:rFonts w:hint="eastAsia" w:ascii="Times New Roman" w:hAnsi="Times New Roman" w:eastAsia="宋体" w:cs="Times New Roman"/>
                <w:color w:val="0000FF"/>
                <w:sz w:val="24"/>
                <w:szCs w:val="24"/>
                <w:lang w:val="en-US" w:eastAsia="zh-CN"/>
              </w:rPr>
              <w:t>1#隔油沉淀池南侧布置</w:t>
            </w:r>
            <w:r>
              <w:rPr>
                <w:rFonts w:hint="default" w:ascii="Times New Roman" w:hAnsi="Times New Roman" w:eastAsia="宋体" w:cs="Times New Roman"/>
                <w:color w:val="0000FF"/>
                <w:sz w:val="24"/>
                <w:szCs w:val="24"/>
                <w:lang w:val="en-US" w:eastAsia="zh-CN"/>
              </w:rPr>
              <w:t>门卫室和洗车区，</w:t>
            </w:r>
            <w:r>
              <w:rPr>
                <w:rFonts w:hint="eastAsia" w:ascii="Times New Roman" w:hAnsi="Times New Roman" w:eastAsia="宋体" w:cs="Times New Roman"/>
                <w:bCs/>
                <w:color w:val="0000FF"/>
                <w:sz w:val="24"/>
                <w:szCs w:val="24"/>
                <w:lang w:val="en-US" w:eastAsia="zh-CN"/>
              </w:rPr>
              <w:t>洗车废水经3#隔油沉淀池处理后</w:t>
            </w:r>
            <w:r>
              <w:rPr>
                <w:rFonts w:hint="default" w:ascii="Times New Roman" w:hAnsi="Times New Roman" w:eastAsia="宋体" w:cs="Times New Roman"/>
                <w:bCs/>
                <w:color w:val="0000FF"/>
                <w:sz w:val="24"/>
                <w:szCs w:val="24"/>
                <w:lang w:val="en-US" w:eastAsia="zh-CN"/>
              </w:rPr>
              <w:t>循环使用，不外排；</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FF"/>
                <w:sz w:val="24"/>
                <w:szCs w:val="24"/>
                <w:lang w:val="en-US" w:eastAsia="zh-CN"/>
              </w:rPr>
              <w:t>厂区东南侧布置油罐区、</w:t>
            </w:r>
            <w:r>
              <w:rPr>
                <w:rFonts w:hint="eastAsia" w:ascii="Times New Roman" w:hAnsi="Times New Roman" w:eastAsia="宋体" w:cs="Times New Roman"/>
                <w:color w:val="0000FF"/>
                <w:sz w:val="24"/>
                <w:szCs w:val="24"/>
                <w:lang w:val="en-US" w:eastAsia="zh-CN"/>
              </w:rPr>
              <w:t>事故油池、</w:t>
            </w:r>
            <w:r>
              <w:rPr>
                <w:rFonts w:hint="default" w:ascii="Times New Roman" w:hAnsi="Times New Roman" w:eastAsia="宋体" w:cs="Times New Roman"/>
                <w:color w:val="0000FF"/>
                <w:sz w:val="24"/>
                <w:szCs w:val="24"/>
                <w:lang w:val="en-US" w:eastAsia="zh-CN"/>
              </w:rPr>
              <w:t>停车场、维修车间</w:t>
            </w:r>
            <w:r>
              <w:rPr>
                <w:rFonts w:hint="eastAsia" w:ascii="Times New Roman" w:hAnsi="Times New Roman" w:eastAsia="宋体" w:cs="Times New Roman"/>
                <w:color w:val="0000FF"/>
                <w:sz w:val="24"/>
                <w:szCs w:val="24"/>
                <w:lang w:val="en-US" w:eastAsia="zh-CN"/>
              </w:rPr>
              <w:t>（内设危废暂存间）</w:t>
            </w:r>
            <w:r>
              <w:rPr>
                <w:rFonts w:hint="default" w:ascii="Times New Roman" w:hAnsi="Times New Roman" w:eastAsia="宋体" w:cs="Times New Roman"/>
                <w:color w:val="0000FF"/>
                <w:sz w:val="24"/>
                <w:szCs w:val="24"/>
                <w:lang w:val="en-US" w:eastAsia="zh-CN"/>
              </w:rPr>
              <w:t>等，</w:t>
            </w:r>
            <w:r>
              <w:rPr>
                <w:rFonts w:hint="eastAsia" w:ascii="Times New Roman" w:hAnsi="Times New Roman" w:eastAsia="宋体" w:cs="Times New Roman"/>
                <w:color w:val="0000FF"/>
                <w:sz w:val="24"/>
                <w:szCs w:val="24"/>
                <w:lang w:val="en-US" w:eastAsia="zh-CN"/>
              </w:rPr>
              <w:t>该区域初期雨水经2#隔油沉淀池处理后循环使用；维修间</w:t>
            </w:r>
            <w:r>
              <w:rPr>
                <w:rFonts w:hint="default" w:ascii="Times New Roman" w:hAnsi="Times New Roman" w:eastAsia="宋体" w:cs="Times New Roman"/>
                <w:color w:val="0000FF"/>
                <w:sz w:val="24"/>
                <w:szCs w:val="24"/>
                <w:lang w:val="en-US" w:eastAsia="zh-CN"/>
              </w:rPr>
              <w:t>产生的废</w:t>
            </w:r>
            <w:r>
              <w:rPr>
                <w:rFonts w:hint="eastAsia" w:ascii="Times New Roman" w:hAnsi="Times New Roman" w:eastAsia="宋体" w:cs="Times New Roman"/>
                <w:color w:val="0000FF"/>
                <w:sz w:val="24"/>
                <w:szCs w:val="24"/>
                <w:lang w:val="en-US" w:eastAsia="zh-CN"/>
              </w:rPr>
              <w:t>矿物</w:t>
            </w:r>
            <w:r>
              <w:rPr>
                <w:rFonts w:hint="default" w:ascii="Times New Roman" w:hAnsi="Times New Roman" w:eastAsia="宋体" w:cs="Times New Roman"/>
                <w:color w:val="0000FF"/>
                <w:sz w:val="24"/>
                <w:szCs w:val="24"/>
                <w:lang w:val="en-US" w:eastAsia="zh-CN"/>
              </w:rPr>
              <w:t>油、含油棉纱手套、废油桶</w:t>
            </w:r>
            <w:r>
              <w:rPr>
                <w:rFonts w:hint="eastAsia" w:ascii="Times New Roman" w:hAnsi="Times New Roman" w:eastAsia="宋体" w:cs="Times New Roman"/>
                <w:color w:val="0000FF"/>
                <w:sz w:val="24"/>
                <w:szCs w:val="24"/>
                <w:lang w:val="en-US" w:eastAsia="zh-CN"/>
              </w:rPr>
              <w:t>、隔油沉淀池油泥</w:t>
            </w:r>
            <w:r>
              <w:rPr>
                <w:rFonts w:hint="default" w:ascii="Times New Roman" w:hAnsi="Times New Roman" w:eastAsia="宋体" w:cs="Times New Roman"/>
                <w:sz w:val="24"/>
                <w:szCs w:val="24"/>
                <w:lang w:val="en-US" w:eastAsia="zh-CN"/>
              </w:rPr>
              <w:t>等危废暂存于危废暂存间，定期交有资质的单位转运处置。项目一般固废回用于生产，生活垃圾和餐厨垃圾分类收集后交市政环卫部门，所有废物均得到合理处置，且功能分区明确、流线清晰，各环节互不干扰总平面布置基本能够满足企业生产组织的需要及环保的要求。</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综上所述，本项目平面布置合理。</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4、选址合理性分析</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本项目用地属于工业用地，土地租赁合同见附件2。</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根据现场调查，项目所在地交通便利，且项目所在地水、电、路等相应配套设置齐全，基础条件充足，在采取本报告提出的污染防治措施后，污染源均可做到达标排放，对周围环境的污染影响较小。综上可</w:t>
            </w:r>
            <w:r>
              <w:rPr>
                <w:rFonts w:hint="default" w:ascii="Times New Roman" w:hAnsi="Times New Roman" w:eastAsia="宋体" w:cs="Times New Roman"/>
                <w:sz w:val="24"/>
                <w:szCs w:val="24"/>
              </w:rPr>
              <w:t>知，本项目选址合理可行。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根据区域环境质量现状情况，本项目所在地大气环境中的监测因子均满足相应的标准，未出现超标现象，项目所在区域大气环境质量现状良好；项目周边地表水监测因子均满足相应的标准，未出现超标现象，</w:t>
            </w:r>
            <w:r>
              <w:rPr>
                <w:rFonts w:hint="eastAsia" w:ascii="Times New Roman" w:hAnsi="Times New Roman" w:eastAsia="宋体" w:cs="Times New Roman"/>
                <w:sz w:val="24"/>
                <w:szCs w:val="24"/>
                <w:lang w:val="en-US" w:eastAsia="zh-CN"/>
              </w:rPr>
              <w:t>水</w:t>
            </w:r>
            <w:r>
              <w:rPr>
                <w:rFonts w:hint="default" w:ascii="Times New Roman" w:hAnsi="Times New Roman" w:eastAsia="宋体" w:cs="Times New Roman"/>
                <w:sz w:val="24"/>
                <w:szCs w:val="24"/>
              </w:rPr>
              <w:t>环境质量现状较好，能满足其环境功能类别；项目厂界噪声监测点昼、夜间噪声监测值均能满足《声环境质量标准》(GB3096-2008)2类标准的要求，项目所在区域声环境质量现状良好。拟建项目所在区域生态环境质量良好。区域环境均适宜本项目的建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根据项目工程分析和环境影响分析章节，本项目在采取了相应的污染治理措施后，营运期对周边环境的影响较小，周边环境对本项目无明显制约影响。</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总体而言，拟建项目选址具有良好的区位优势，在落实本评价提出的环境保护措施的前提下，本项目建设对周边环境影响较小。从环保的角度考虑，拟建项目的选址是合理的</w:t>
            </w:r>
            <w:r>
              <w:rPr>
                <w:rFonts w:hint="eastAsia" w:ascii="Times New Roman" w:hAnsi="Times New Roman" w:eastAsia="宋体" w:cs="Times New Roman"/>
                <w:sz w:val="24"/>
                <w:szCs w:val="24"/>
                <w:lang w:eastAsia="zh-CN"/>
              </w:rPr>
              <w:t>。</w:t>
            </w: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eastAsia" w:ascii="Times New Roman" w:hAnsi="Times New Roman" w:eastAsia="宋体" w:cs="Times New Roman"/>
                <w:sz w:val="24"/>
                <w:szCs w:val="24"/>
                <w:lang w:eastAsia="zh-CN"/>
              </w:rPr>
            </w:pPr>
          </w:p>
          <w:p>
            <w:pPr>
              <w:spacing w:line="360" w:lineRule="auto"/>
              <w:ind w:firstLine="480" w:firstLineChars="200"/>
              <w:rPr>
                <w:rFonts w:hint="default" w:ascii="Times New Roman" w:hAnsi="Times New Roman" w:eastAsia="宋体" w:cs="Times New Roman"/>
                <w:sz w:val="24"/>
                <w:szCs w:val="24"/>
                <w:lang w:val="en-US" w:eastAsia="zh-CN"/>
              </w:rPr>
            </w:pPr>
          </w:p>
          <w:p>
            <w:pPr>
              <w:spacing w:before="27" w:line="360" w:lineRule="auto"/>
              <w:ind w:left="105" w:right="95" w:firstLine="489" w:firstLineChars="204"/>
              <w:jc w:val="left"/>
              <w:rPr>
                <w:rFonts w:hint="default" w:ascii="Times New Roman" w:hAnsi="Times New Roman" w:eastAsia="宋体" w:cs="Times New Roman"/>
                <w:sz w:val="24"/>
                <w:szCs w:val="24"/>
                <w:highlight w:val="yellow"/>
              </w:rPr>
            </w:pPr>
          </w:p>
        </w:tc>
      </w:tr>
    </w:tbl>
    <w:p>
      <w:pPr>
        <w:spacing w:line="230" w:lineRule="exact"/>
        <w:rPr>
          <w:rFonts w:hint="default" w:ascii="Times New Roman" w:hAnsi="Times New Roman" w:eastAsia="宋体" w:cs="Times New Roman"/>
          <w:sz w:val="20"/>
          <w:highlight w:val="yellow"/>
        </w:rPr>
      </w:pPr>
    </w:p>
    <w:p>
      <w:pPr>
        <w:rPr>
          <w:rFonts w:hint="default" w:ascii="Times New Roman" w:hAnsi="Times New Roman" w:eastAsia="宋体" w:cs="Times New Roman"/>
          <w:highlight w:val="yellow"/>
        </w:rPr>
        <w:sectPr>
          <w:footerReference r:id="rId6" w:type="default"/>
          <w:pgSz w:w="11906" w:h="16839"/>
          <w:pgMar w:top="400" w:right="1087" w:bottom="1240" w:left="1369" w:header="0" w:footer="1080" w:gutter="0"/>
          <w:pgBorders>
            <w:top w:val="none" w:sz="0" w:space="0"/>
            <w:left w:val="none" w:sz="0" w:space="0"/>
            <w:bottom w:val="none" w:sz="0" w:space="0"/>
            <w:right w:val="none" w:sz="0" w:space="0"/>
          </w:pgBorders>
          <w:pgNumType w:fmt="decimal" w:start="1"/>
          <w:cols w:space="720" w:num="1"/>
        </w:sectPr>
      </w:pPr>
    </w:p>
    <w:p>
      <w:pPr>
        <w:pStyle w:val="3"/>
        <w:keepLines/>
        <w:overflowPunct/>
        <w:snapToGrid/>
        <w:spacing w:before="0" w:after="0" w:line="360" w:lineRule="auto"/>
        <w:ind w:left="0" w:firstLine="0"/>
        <w:jc w:val="center"/>
        <w:rPr>
          <w:rFonts w:hint="default" w:ascii="Times New Roman" w:hAnsi="Times New Roman" w:eastAsia="宋体" w:cs="Times New Roman"/>
          <w:b w:val="0"/>
          <w:color w:val="auto"/>
        </w:rPr>
      </w:pPr>
      <w:bookmarkStart w:id="8" w:name="_Toc356"/>
      <w:bookmarkStart w:id="9" w:name="_Toc2785"/>
      <w:bookmarkStart w:id="10" w:name="_Toc3302"/>
      <w:bookmarkStart w:id="11" w:name="_Toc15356"/>
      <w:bookmarkStart w:id="12" w:name="_Toc9133"/>
      <w:bookmarkStart w:id="13" w:name="_Toc22705"/>
      <w:bookmarkStart w:id="14" w:name="_Toc30466"/>
      <w:bookmarkStart w:id="15" w:name="_Toc5388"/>
      <w:bookmarkStart w:id="16" w:name="_Toc30742"/>
      <w:bookmarkStart w:id="17" w:name="_Toc66354770"/>
      <w:r>
        <w:rPr>
          <w:rFonts w:hint="default" w:ascii="Times New Roman" w:hAnsi="Times New Roman" w:eastAsia="宋体" w:cs="Times New Roman"/>
          <w:b w:val="0"/>
          <w:color w:val="auto"/>
        </w:rPr>
        <w:t>二、建设项目工程分析</w:t>
      </w:r>
      <w:bookmarkEnd w:id="8"/>
      <w:bookmarkEnd w:id="9"/>
      <w:bookmarkEnd w:id="10"/>
      <w:bookmarkEnd w:id="11"/>
      <w:bookmarkEnd w:id="12"/>
      <w:bookmarkEnd w:id="13"/>
      <w:bookmarkEnd w:id="14"/>
      <w:bookmarkEnd w:id="15"/>
      <w:bookmarkEnd w:id="16"/>
      <w:bookmarkEnd w:id="17"/>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85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6" w:hRule="atLeast"/>
          <w:jc w:val="center"/>
        </w:trPr>
        <w:tc>
          <w:tcPr>
            <w:tcW w:w="437" w:type="dxa"/>
            <w:noWrap w:val="0"/>
            <w:vAlign w:val="center"/>
          </w:tcPr>
          <w:p>
            <w:pPr>
              <w:pStyle w:val="13"/>
              <w:adjustRightInd w:val="0"/>
              <w:snapToGrid w:val="0"/>
              <w:spacing w:before="0" w:beforeAutospacing="0" w:after="0" w:afterAutospacing="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snapToGrid w:val="0"/>
                <w:color w:val="000000"/>
                <w:spacing w:val="9"/>
                <w:kern w:val="0"/>
                <w:sz w:val="24"/>
                <w:szCs w:val="24"/>
                <w:highlight w:val="none"/>
                <w:lang w:val="en-US" w:eastAsia="zh-CN"/>
              </w:rPr>
              <w:t>建设内容</w:t>
            </w:r>
          </w:p>
        </w:tc>
        <w:tc>
          <w:tcPr>
            <w:tcW w:w="8624" w:type="dxa"/>
            <w:noWrap w:val="0"/>
            <w:vAlign w:val="top"/>
          </w:tcPr>
          <w:p>
            <w:pPr>
              <w:pStyle w:val="5"/>
              <w:spacing w:line="360" w:lineRule="auto"/>
              <w:outlineLvl w:val="2"/>
              <w:rPr>
                <w:rFonts w:hint="default" w:ascii="Times New Roman" w:hAnsi="Times New Roman" w:eastAsia="宋体" w:cs="Times New Roman"/>
                <w:sz w:val="24"/>
                <w:szCs w:val="24"/>
              </w:rPr>
            </w:pPr>
            <w:bookmarkStart w:id="18" w:name="_Toc23828"/>
            <w:r>
              <w:rPr>
                <w:rFonts w:hint="default" w:ascii="Times New Roman" w:hAnsi="Times New Roman" w:eastAsia="宋体" w:cs="Times New Roman"/>
                <w:sz w:val="24"/>
                <w:szCs w:val="24"/>
              </w:rPr>
              <w:t>2.1项目由来</w:t>
            </w:r>
            <w:bookmarkEnd w:id="18"/>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商品混凝土是一种时效性极强的特殊建筑材料，它是通过水泥、外加剂、石料、沙子等现场搅拌后，通过混凝土搅拌运输车送到各个工地进行</w:t>
            </w:r>
            <w:r>
              <w:rPr>
                <w:rFonts w:hint="default" w:ascii="Times New Roman" w:hAnsi="Times New Roman" w:eastAsia="宋体" w:cs="Times New Roman"/>
                <w:sz w:val="24"/>
                <w:szCs w:val="24"/>
                <w:lang w:eastAsia="zh-CN"/>
              </w:rPr>
              <w:t>现场</w:t>
            </w:r>
            <w:r>
              <w:rPr>
                <w:rFonts w:hint="default" w:ascii="Times New Roman" w:hAnsi="Times New Roman" w:eastAsia="宋体" w:cs="Times New Roman"/>
                <w:sz w:val="24"/>
                <w:szCs w:val="24"/>
              </w:rPr>
              <w:t>浇注来实现其服务和商品的形式。商品混凝土是建筑工程中一项意义重大的现代化生产形式，其全部内容就是把混凝土这一主要的建筑材料从生产备料、混凝土拌制，到运输、浇注一系列生产环节从传统的一揽子施工系列中剥离出来，成为一个独立</w:t>
            </w:r>
            <w:r>
              <w:rPr>
                <w:rFonts w:hint="default" w:ascii="Times New Roman" w:hAnsi="Times New Roman" w:eastAsia="宋体" w:cs="Times New Roman"/>
                <w:sz w:val="24"/>
                <w:szCs w:val="24"/>
                <w:lang w:eastAsia="zh-CN"/>
              </w:rPr>
              <w:t>经济核算</w:t>
            </w:r>
            <w:r>
              <w:rPr>
                <w:rFonts w:hint="default" w:ascii="Times New Roman" w:hAnsi="Times New Roman" w:eastAsia="宋体" w:cs="Times New Roman"/>
                <w:sz w:val="24"/>
                <w:szCs w:val="24"/>
              </w:rPr>
              <w:t>的材料加工企业。商品混凝土因其具有质量易保证、生产机械化程度高、施工环境整洁等优点，在施工行业中逐步得到推广应用，并逐步占领市场，现已成为混凝土工业发展的主导方向。</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品混凝土近十几年来得到了飞速的发展，已在全国各大中城市及重点工程中普及使用。推广应用商品混凝土已是建筑业生产方式的一项重要改革，是推动建筑产品工业化、商品化，提高工程质量，缩短工程建设周期，改善城市环境的一项重要措施。近年来，湖南省出台了一系列政策，提倡绿色建材生产和应用、在生产经济效益的同时进一步保护环境。</w:t>
            </w:r>
            <w:r>
              <w:rPr>
                <w:rFonts w:hint="default" w:ascii="Times New Roman" w:hAnsi="Times New Roman" w:eastAsia="宋体" w:cs="Times New Roman"/>
                <w:sz w:val="24"/>
                <w:szCs w:val="24"/>
                <w:lang w:eastAsia="zh-CN"/>
              </w:rPr>
              <w:t>随着</w:t>
            </w:r>
            <w:r>
              <w:rPr>
                <w:rFonts w:hint="default" w:ascii="Times New Roman" w:hAnsi="Times New Roman" w:eastAsia="宋体" w:cs="Times New Roman"/>
                <w:sz w:val="24"/>
                <w:szCs w:val="24"/>
                <w:lang w:val="en-US" w:eastAsia="zh-CN"/>
              </w:rPr>
              <w:t>辰溪</w:t>
            </w:r>
            <w:r>
              <w:rPr>
                <w:rFonts w:hint="default" w:ascii="Times New Roman" w:hAnsi="Times New Roman" w:eastAsia="宋体" w:cs="Times New Roman"/>
                <w:sz w:val="24"/>
                <w:szCs w:val="24"/>
                <w:lang w:eastAsia="zh-CN"/>
              </w:rPr>
              <w:t>县的城市发展，基础设施的建设不断投入，对混凝土的需求量增大。</w:t>
            </w:r>
          </w:p>
          <w:p>
            <w:pPr>
              <w:spacing w:line="360" w:lineRule="auto"/>
              <w:ind w:right="165" w:firstLine="516" w:firstLineChars="200"/>
              <w:rPr>
                <w:rFonts w:hint="default" w:ascii="Times New Roman" w:hAnsi="Times New Roman" w:eastAsia="宋体" w:cs="Times New Roman"/>
                <w:spacing w:val="9"/>
                <w:sz w:val="24"/>
                <w:szCs w:val="24"/>
                <w:highlight w:val="none"/>
                <w:lang w:val="en-US" w:eastAsia="zh-CN"/>
              </w:rPr>
            </w:pPr>
            <w:r>
              <w:rPr>
                <w:rFonts w:hint="default" w:ascii="Times New Roman" w:hAnsi="Times New Roman" w:eastAsia="宋体" w:cs="Times New Roman"/>
                <w:spacing w:val="9"/>
                <w:sz w:val="24"/>
                <w:szCs w:val="24"/>
                <w:highlight w:val="none"/>
              </w:rPr>
              <w:t>辰溪县鼎鸿建材有限公司</w:t>
            </w:r>
            <w:r>
              <w:rPr>
                <w:rFonts w:hint="eastAsia" w:ascii="Times New Roman" w:hAnsi="Times New Roman" w:eastAsia="宋体" w:cs="Times New Roman"/>
                <w:spacing w:val="9"/>
                <w:sz w:val="24"/>
                <w:szCs w:val="24"/>
                <w:highlight w:val="none"/>
                <w:lang w:val="en-US" w:eastAsia="zh-CN"/>
              </w:rPr>
              <w:t>于</w:t>
            </w:r>
            <w:r>
              <w:rPr>
                <w:rFonts w:hint="default" w:ascii="Times New Roman" w:hAnsi="Times New Roman" w:eastAsia="宋体" w:cs="Times New Roman"/>
                <w:spacing w:val="9"/>
                <w:sz w:val="24"/>
                <w:szCs w:val="24"/>
                <w:highlight w:val="none"/>
                <w:lang w:val="en-US" w:eastAsia="zh-CN"/>
              </w:rPr>
              <w:t>2020年委托</w:t>
            </w:r>
            <w:r>
              <w:rPr>
                <w:rFonts w:hint="default" w:ascii="Times New Roman" w:hAnsi="Times New Roman" w:eastAsia="宋体" w:cs="Times New Roman"/>
                <w:spacing w:val="9"/>
                <w:sz w:val="24"/>
                <w:szCs w:val="24"/>
                <w:highlight w:val="none"/>
              </w:rPr>
              <w:t>湖南绿鸿环境科技有限责任公司</w:t>
            </w:r>
            <w:r>
              <w:rPr>
                <w:rFonts w:hint="default" w:ascii="Times New Roman" w:hAnsi="Times New Roman" w:eastAsia="宋体" w:cs="Times New Roman"/>
                <w:spacing w:val="9"/>
                <w:sz w:val="24"/>
                <w:szCs w:val="24"/>
                <w:highlight w:val="none"/>
                <w:lang w:val="en-US" w:eastAsia="zh-CN"/>
              </w:rPr>
              <w:t>编制了《</w:t>
            </w:r>
            <w:r>
              <w:rPr>
                <w:rFonts w:hint="default" w:ascii="Times New Roman" w:hAnsi="Times New Roman" w:eastAsia="宋体" w:cs="Times New Roman"/>
                <w:sz w:val="24"/>
              </w:rPr>
              <w:t>辰溪县鼎鸿建材有限公司新建年产50万吨商品混凝土项目</w:t>
            </w:r>
            <w:r>
              <w:rPr>
                <w:rFonts w:hint="default" w:ascii="Times New Roman" w:hAnsi="Times New Roman" w:eastAsia="宋体" w:cs="Times New Roman"/>
                <w:sz w:val="24"/>
                <w:lang w:val="en-US" w:eastAsia="zh-CN"/>
              </w:rPr>
              <w:t>环境影响报告表</w:t>
            </w:r>
            <w:r>
              <w:rPr>
                <w:rFonts w:hint="default" w:ascii="Times New Roman" w:hAnsi="Times New Roman" w:eastAsia="宋体" w:cs="Times New Roman"/>
                <w:spacing w:val="9"/>
                <w:sz w:val="24"/>
                <w:szCs w:val="24"/>
                <w:highlight w:val="none"/>
                <w:lang w:val="en-US" w:eastAsia="zh-CN"/>
              </w:rPr>
              <w:t>》，并于2020年7月取得了</w:t>
            </w:r>
            <w:r>
              <w:rPr>
                <w:rFonts w:hint="eastAsia" w:ascii="Times New Roman" w:hAnsi="Times New Roman" w:eastAsia="宋体" w:cs="Times New Roman"/>
                <w:spacing w:val="9"/>
                <w:sz w:val="24"/>
                <w:szCs w:val="24"/>
                <w:highlight w:val="none"/>
                <w:lang w:val="en-US" w:eastAsia="zh-CN"/>
              </w:rPr>
              <w:t>该</w:t>
            </w:r>
            <w:r>
              <w:rPr>
                <w:rFonts w:hint="default" w:ascii="Times New Roman" w:hAnsi="Times New Roman" w:eastAsia="宋体" w:cs="Times New Roman"/>
                <w:spacing w:val="9"/>
                <w:sz w:val="24"/>
                <w:szCs w:val="24"/>
                <w:highlight w:val="none"/>
                <w:lang w:val="en-US" w:eastAsia="zh-CN"/>
              </w:rPr>
              <w:t>项目</w:t>
            </w:r>
            <w:r>
              <w:rPr>
                <w:rFonts w:hint="eastAsia" w:ascii="Times New Roman" w:hAnsi="Times New Roman" w:eastAsia="宋体" w:cs="Times New Roman"/>
                <w:spacing w:val="9"/>
                <w:sz w:val="24"/>
                <w:szCs w:val="24"/>
                <w:highlight w:val="none"/>
                <w:lang w:val="en-US" w:eastAsia="zh-CN"/>
              </w:rPr>
              <w:t>的</w:t>
            </w:r>
            <w:r>
              <w:rPr>
                <w:rFonts w:hint="default" w:ascii="Times New Roman" w:hAnsi="Times New Roman" w:eastAsia="宋体" w:cs="Times New Roman"/>
                <w:spacing w:val="9"/>
                <w:sz w:val="24"/>
                <w:szCs w:val="24"/>
                <w:highlight w:val="none"/>
                <w:lang w:val="en-US" w:eastAsia="zh-CN"/>
              </w:rPr>
              <w:t>环评批复（</w:t>
            </w:r>
            <w:r>
              <w:rPr>
                <w:rFonts w:hint="default" w:ascii="Times New Roman" w:hAnsi="Times New Roman" w:eastAsia="宋体" w:cs="Times New Roman"/>
                <w:sz w:val="24"/>
                <w:szCs w:val="24"/>
                <w:lang w:val="en-US" w:eastAsia="zh-CN"/>
              </w:rPr>
              <w:t>怀环辰审</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号文</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见附件3</w:t>
            </w:r>
            <w:r>
              <w:rPr>
                <w:rFonts w:hint="default" w:ascii="Times New Roman" w:hAnsi="Times New Roman" w:eastAsia="宋体" w:cs="Times New Roman"/>
                <w:spacing w:val="9"/>
                <w:sz w:val="24"/>
                <w:szCs w:val="24"/>
                <w:highlight w:val="none"/>
                <w:lang w:val="en-US" w:eastAsia="zh-CN"/>
              </w:rPr>
              <w:t>）。</w:t>
            </w:r>
          </w:p>
          <w:p>
            <w:pPr>
              <w:spacing w:line="360" w:lineRule="auto"/>
              <w:ind w:left="106" w:right="165" w:firstLine="478"/>
              <w:rPr>
                <w:rFonts w:hint="default" w:ascii="Times New Roman" w:hAnsi="Times New Roman" w:eastAsia="宋体" w:cs="Times New Roman"/>
                <w:spacing w:val="9"/>
                <w:sz w:val="24"/>
                <w:szCs w:val="24"/>
                <w:highlight w:val="none"/>
              </w:rPr>
            </w:pPr>
            <w:r>
              <w:rPr>
                <w:rFonts w:hint="default" w:ascii="Times New Roman" w:hAnsi="Times New Roman" w:eastAsia="宋体" w:cs="Times New Roman"/>
                <w:spacing w:val="9"/>
                <w:sz w:val="24"/>
                <w:szCs w:val="24"/>
                <w:highlight w:val="none"/>
              </w:rPr>
              <w:t>根据</w:t>
            </w:r>
            <w:r>
              <w:rPr>
                <w:rFonts w:hint="eastAsia" w:ascii="Times New Roman" w:hAnsi="Times New Roman" w:eastAsia="宋体" w:cs="Times New Roman"/>
                <w:spacing w:val="9"/>
                <w:sz w:val="24"/>
                <w:szCs w:val="24"/>
                <w:highlight w:val="none"/>
                <w:lang w:val="en-US" w:eastAsia="zh-CN"/>
              </w:rPr>
              <w:t>原环评批复“五、《报告表》经批准后，如项目的性质、规模、地点、采用的工艺、拟采用的防治污染及防治生态破坏的措施发生重大变动或自批准之日起满5年才开工建设，须报我局重新审批”</w:t>
            </w:r>
            <w:r>
              <w:rPr>
                <w:rFonts w:hint="default" w:ascii="Times New Roman" w:hAnsi="Times New Roman" w:eastAsia="宋体" w:cs="Times New Roman"/>
                <w:spacing w:val="9"/>
                <w:sz w:val="24"/>
                <w:szCs w:val="24"/>
                <w:highlight w:val="none"/>
              </w:rPr>
              <w:t>。</w:t>
            </w:r>
          </w:p>
          <w:p>
            <w:pPr>
              <w:spacing w:line="360" w:lineRule="auto"/>
              <w:ind w:left="106" w:right="165" w:firstLine="478"/>
              <w:rPr>
                <w:rFonts w:hint="eastAsia" w:ascii="Times New Roman" w:hAnsi="Times New Roman" w:eastAsia="宋体" w:cs="Times New Roman"/>
                <w:spacing w:val="9"/>
                <w:sz w:val="24"/>
                <w:szCs w:val="24"/>
                <w:highlight w:val="none"/>
                <w:lang w:val="en-US" w:eastAsia="zh-CN"/>
              </w:rPr>
            </w:pPr>
            <w:r>
              <w:rPr>
                <w:rFonts w:hint="default" w:ascii="Times New Roman" w:hAnsi="Times New Roman" w:eastAsia="宋体" w:cs="Times New Roman"/>
                <w:spacing w:val="9"/>
                <w:sz w:val="24"/>
                <w:szCs w:val="24"/>
                <w:highlight w:val="none"/>
                <w:lang w:val="en-US" w:eastAsia="zh-CN"/>
              </w:rPr>
              <w:t>在实际建设过程中，</w:t>
            </w:r>
            <w:r>
              <w:rPr>
                <w:rFonts w:hint="default" w:ascii="Times New Roman" w:hAnsi="Times New Roman" w:eastAsia="宋体" w:cs="Times New Roman"/>
                <w:spacing w:val="9"/>
                <w:sz w:val="24"/>
                <w:szCs w:val="24"/>
                <w:highlight w:val="none"/>
              </w:rPr>
              <w:t>辰溪县鼎鸿建材有限公司</w:t>
            </w:r>
            <w:r>
              <w:rPr>
                <w:rFonts w:hint="default" w:ascii="Times New Roman" w:hAnsi="Times New Roman" w:eastAsia="宋体" w:cs="Times New Roman"/>
                <w:spacing w:val="9"/>
                <w:sz w:val="24"/>
                <w:szCs w:val="24"/>
                <w:highlight w:val="none"/>
                <w:lang w:val="en-US" w:eastAsia="zh-CN"/>
              </w:rPr>
              <w:t>发现原环评的生产规模已经不满足当地混凝土的市场需求，拟扩大生产规模，</w:t>
            </w:r>
            <w:r>
              <w:rPr>
                <w:rFonts w:hint="eastAsia" w:ascii="Times New Roman" w:hAnsi="Times New Roman" w:eastAsia="宋体" w:cs="Times New Roman"/>
                <w:spacing w:val="9"/>
                <w:sz w:val="24"/>
                <w:szCs w:val="24"/>
                <w:highlight w:val="none"/>
                <w:lang w:val="en-US" w:eastAsia="zh-CN"/>
              </w:rPr>
              <w:t>并</w:t>
            </w:r>
            <w:r>
              <w:rPr>
                <w:rFonts w:hint="default" w:ascii="Times New Roman" w:hAnsi="Times New Roman" w:eastAsia="宋体" w:cs="Times New Roman"/>
                <w:spacing w:val="9"/>
                <w:sz w:val="24"/>
                <w:szCs w:val="24"/>
                <w:highlight w:val="none"/>
                <w:lang w:val="en-US" w:eastAsia="zh-CN"/>
              </w:rPr>
              <w:t>重新</w:t>
            </w:r>
            <w:r>
              <w:rPr>
                <w:rFonts w:hint="eastAsia" w:ascii="Times New Roman" w:hAnsi="Times New Roman" w:eastAsia="宋体" w:cs="Times New Roman"/>
                <w:spacing w:val="9"/>
                <w:sz w:val="24"/>
                <w:szCs w:val="24"/>
                <w:highlight w:val="none"/>
                <w:lang w:val="en-US" w:eastAsia="zh-CN"/>
              </w:rPr>
              <w:t>对项目</w:t>
            </w:r>
            <w:r>
              <w:rPr>
                <w:rFonts w:hint="default" w:ascii="Times New Roman" w:hAnsi="Times New Roman" w:eastAsia="宋体" w:cs="Times New Roman"/>
                <w:spacing w:val="9"/>
                <w:sz w:val="24"/>
                <w:szCs w:val="24"/>
                <w:highlight w:val="none"/>
                <w:lang w:val="en-US" w:eastAsia="zh-CN"/>
              </w:rPr>
              <w:t>进行了备案</w:t>
            </w:r>
            <w:r>
              <w:rPr>
                <w:rFonts w:hint="eastAsia" w:ascii="Times New Roman" w:hAnsi="Times New Roman" w:eastAsia="宋体" w:cs="Times New Roman"/>
                <w:spacing w:val="9"/>
                <w:sz w:val="24"/>
                <w:szCs w:val="24"/>
                <w:highlight w:val="none"/>
                <w:lang w:val="en-US" w:eastAsia="zh-CN"/>
              </w:rPr>
              <w:t>，取得了</w:t>
            </w:r>
            <w:r>
              <w:rPr>
                <w:rFonts w:hint="default" w:ascii="Times New Roman" w:hAnsi="Times New Roman" w:eastAsia="宋体" w:cs="Times New Roman"/>
                <w:spacing w:val="7"/>
                <w:sz w:val="24"/>
                <w:szCs w:val="24"/>
                <w:highlight w:val="none"/>
                <w:lang w:val="en-US" w:eastAsia="zh-CN"/>
              </w:rPr>
              <w:t>辰溪县发展和改革局</w:t>
            </w:r>
            <w:r>
              <w:rPr>
                <w:rFonts w:hint="eastAsia" w:ascii="Times New Roman" w:hAnsi="Times New Roman" w:eastAsia="宋体" w:cs="Times New Roman"/>
                <w:spacing w:val="7"/>
                <w:sz w:val="24"/>
                <w:szCs w:val="24"/>
                <w:highlight w:val="none"/>
                <w:lang w:val="en-US" w:eastAsia="zh-CN"/>
              </w:rPr>
              <w:t>下发的</w:t>
            </w:r>
            <w:r>
              <w:rPr>
                <w:rFonts w:hint="default" w:ascii="Times New Roman" w:hAnsi="Times New Roman" w:eastAsia="宋体" w:cs="Times New Roman"/>
                <w:sz w:val="24"/>
                <w:szCs w:val="24"/>
                <w:lang w:val="en-US" w:eastAsia="zh-CN"/>
              </w:rPr>
              <w:t>《辰溪县鼎鸿建材有限公司商品混凝土搅拌站备案证明》（辰发改工备〔2022〕17号）</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见附件4。</w:t>
            </w:r>
            <w:r>
              <w:rPr>
                <w:rFonts w:hint="default" w:ascii="Times New Roman" w:hAnsi="Times New Roman" w:eastAsia="宋体" w:cs="Times New Roman"/>
                <w:spacing w:val="9"/>
                <w:sz w:val="24"/>
                <w:szCs w:val="24"/>
                <w:highlight w:val="none"/>
                <w:lang w:val="en-US" w:eastAsia="zh-CN"/>
              </w:rPr>
              <w:t>项目</w:t>
            </w:r>
            <w:r>
              <w:rPr>
                <w:rFonts w:hint="default" w:ascii="Times New Roman" w:hAnsi="Times New Roman" w:eastAsia="宋体" w:cs="Times New Roman"/>
                <w:spacing w:val="9"/>
                <w:sz w:val="24"/>
                <w:szCs w:val="24"/>
                <w:highlight w:val="none"/>
              </w:rPr>
              <w:t>投资</w:t>
            </w:r>
            <w:r>
              <w:rPr>
                <w:rFonts w:hint="default" w:ascii="Times New Roman" w:hAnsi="Times New Roman" w:eastAsia="宋体" w:cs="Times New Roman"/>
                <w:spacing w:val="9"/>
                <w:sz w:val="24"/>
                <w:szCs w:val="24"/>
                <w:highlight w:val="none"/>
                <w:lang w:val="en-US" w:eastAsia="zh-CN"/>
              </w:rPr>
              <w:t>4900</w:t>
            </w:r>
            <w:r>
              <w:rPr>
                <w:rFonts w:hint="default" w:ascii="Times New Roman" w:hAnsi="Times New Roman" w:eastAsia="宋体" w:cs="Times New Roman"/>
                <w:spacing w:val="9"/>
                <w:sz w:val="24"/>
                <w:szCs w:val="24"/>
                <w:highlight w:val="none"/>
              </w:rPr>
              <w:t>万元</w:t>
            </w:r>
            <w:r>
              <w:rPr>
                <w:rFonts w:hint="default" w:ascii="Times New Roman" w:hAnsi="Times New Roman" w:eastAsia="宋体" w:cs="Times New Roman"/>
                <w:spacing w:val="9"/>
                <w:sz w:val="24"/>
                <w:szCs w:val="24"/>
                <w:highlight w:val="none"/>
                <w:lang w:val="en-US" w:eastAsia="zh-CN"/>
              </w:rPr>
              <w:t>扩大生产规模</w:t>
            </w:r>
            <w:r>
              <w:rPr>
                <w:rFonts w:hint="default" w:ascii="Times New Roman" w:hAnsi="Times New Roman" w:eastAsia="宋体" w:cs="Times New Roman"/>
                <w:spacing w:val="9"/>
                <w:sz w:val="24"/>
                <w:szCs w:val="24"/>
                <w:highlight w:val="none"/>
              </w:rPr>
              <w:t>，占地面积</w:t>
            </w:r>
            <w:r>
              <w:rPr>
                <w:rFonts w:hint="default" w:ascii="Times New Roman" w:hAnsi="Times New Roman" w:eastAsia="宋体" w:cs="Times New Roman"/>
                <w:sz w:val="24"/>
                <w:highlight w:val="none"/>
                <w:lang w:val="en-US" w:eastAsia="zh-CN"/>
              </w:rPr>
              <w:t>29703</w:t>
            </w:r>
            <w:r>
              <w:rPr>
                <w:rFonts w:hint="default" w:ascii="Times New Roman" w:hAnsi="Times New Roman" w:eastAsia="宋体" w:cs="Times New Roman"/>
                <w:spacing w:val="9"/>
                <w:sz w:val="24"/>
                <w:szCs w:val="24"/>
                <w:highlight w:val="none"/>
              </w:rPr>
              <w:t>m</w:t>
            </w:r>
            <w:r>
              <w:rPr>
                <w:rFonts w:hint="default" w:ascii="Times New Roman" w:hAnsi="Times New Roman" w:eastAsia="宋体" w:cs="Times New Roman"/>
                <w:spacing w:val="9"/>
                <w:sz w:val="24"/>
                <w:szCs w:val="24"/>
                <w:highlight w:val="none"/>
                <w:vertAlign w:val="superscript"/>
              </w:rPr>
              <w:t>2</w:t>
            </w:r>
            <w:r>
              <w:rPr>
                <w:rFonts w:hint="default" w:ascii="Times New Roman" w:hAnsi="Times New Roman" w:eastAsia="宋体" w:cs="Times New Roman"/>
                <w:spacing w:val="9"/>
                <w:sz w:val="24"/>
                <w:szCs w:val="24"/>
                <w:highlight w:val="none"/>
              </w:rPr>
              <w:t>，</w:t>
            </w:r>
            <w:r>
              <w:rPr>
                <w:rFonts w:hint="default" w:ascii="Times New Roman" w:hAnsi="Times New Roman" w:eastAsia="宋体" w:cs="Times New Roman"/>
                <w:spacing w:val="9"/>
                <w:sz w:val="24"/>
                <w:szCs w:val="24"/>
                <w:highlight w:val="none"/>
                <w:lang w:val="en-US" w:eastAsia="zh-CN"/>
              </w:rPr>
              <w:t>建设内容</w:t>
            </w:r>
            <w:r>
              <w:rPr>
                <w:rFonts w:hint="default" w:ascii="Times New Roman" w:hAnsi="Times New Roman" w:eastAsia="宋体" w:cs="Times New Roman"/>
                <w:spacing w:val="9"/>
                <w:sz w:val="24"/>
                <w:szCs w:val="24"/>
                <w:highlight w:val="none"/>
              </w:rPr>
              <w:t>包括</w:t>
            </w:r>
            <w:r>
              <w:rPr>
                <w:rFonts w:hint="default" w:ascii="Times New Roman" w:hAnsi="Times New Roman" w:eastAsia="宋体" w:cs="Times New Roman"/>
                <w:spacing w:val="9"/>
                <w:sz w:val="24"/>
                <w:szCs w:val="24"/>
                <w:highlight w:val="none"/>
                <w:lang w:val="en-US" w:eastAsia="zh-CN"/>
              </w:rPr>
              <w:t>停车场、搅拌生产线、砂石堆场、综合楼、宿舍、食堂</w:t>
            </w:r>
            <w:r>
              <w:rPr>
                <w:rFonts w:hint="default" w:ascii="Times New Roman" w:hAnsi="Times New Roman" w:eastAsia="宋体" w:cs="Times New Roman"/>
                <w:spacing w:val="9"/>
                <w:sz w:val="24"/>
                <w:szCs w:val="24"/>
                <w:highlight w:val="none"/>
              </w:rPr>
              <w:t>及其他相关辅助配套设施。</w:t>
            </w:r>
            <w:r>
              <w:rPr>
                <w:rFonts w:hint="eastAsia" w:ascii="Times New Roman" w:hAnsi="Times New Roman" w:eastAsia="宋体" w:cs="Times New Roman"/>
                <w:spacing w:val="9"/>
                <w:sz w:val="24"/>
                <w:szCs w:val="24"/>
                <w:highlight w:val="none"/>
                <w:lang w:val="en-US" w:eastAsia="zh-CN"/>
              </w:rPr>
              <w:t>生产规模为原环评的288%，属于重大变动，应重新报批。</w:t>
            </w:r>
          </w:p>
          <w:p>
            <w:pPr>
              <w:spacing w:line="360" w:lineRule="auto"/>
              <w:ind w:left="106" w:right="165" w:firstLine="478"/>
              <w:rPr>
                <w:rFonts w:hint="default" w:ascii="Times New Roman" w:hAnsi="Times New Roman" w:eastAsia="宋体" w:cs="Times New Roman"/>
                <w:spacing w:val="9"/>
                <w:sz w:val="24"/>
                <w:szCs w:val="24"/>
                <w:highlight w:val="none"/>
              </w:rPr>
            </w:pPr>
            <w:r>
              <w:rPr>
                <w:rFonts w:hint="default" w:ascii="Times New Roman" w:hAnsi="Times New Roman" w:eastAsia="宋体" w:cs="Times New Roman"/>
                <w:spacing w:val="9"/>
                <w:sz w:val="24"/>
                <w:szCs w:val="24"/>
                <w:highlight w:val="none"/>
              </w:rPr>
              <w:t>辰溪县鼎鸿建材有限公司委托</w:t>
            </w:r>
            <w:r>
              <w:rPr>
                <w:rFonts w:hint="default" w:ascii="Times New Roman" w:hAnsi="Times New Roman" w:eastAsia="宋体" w:cs="Times New Roman"/>
                <w:spacing w:val="9"/>
                <w:sz w:val="24"/>
                <w:szCs w:val="24"/>
                <w:highlight w:val="none"/>
                <w:lang w:eastAsia="zh-CN"/>
              </w:rPr>
              <w:t>重庆泓景环保工程有限责任公司</w:t>
            </w:r>
            <w:r>
              <w:rPr>
                <w:rFonts w:hint="default" w:ascii="Times New Roman" w:hAnsi="Times New Roman" w:eastAsia="宋体" w:cs="Times New Roman"/>
                <w:spacing w:val="9"/>
                <w:sz w:val="24"/>
                <w:szCs w:val="24"/>
                <w:highlight w:val="none"/>
              </w:rPr>
              <w:t>（以下简称“我公司”）承担“</w:t>
            </w:r>
            <w:r>
              <w:rPr>
                <w:rFonts w:hint="default" w:ascii="Times New Roman" w:hAnsi="Times New Roman" w:eastAsia="宋体" w:cs="Times New Roman"/>
                <w:spacing w:val="9"/>
                <w:sz w:val="24"/>
                <w:szCs w:val="24"/>
                <w:highlight w:val="none"/>
                <w:lang w:val="en-US" w:eastAsia="zh-CN"/>
              </w:rPr>
              <w:t>辰溪县鼎鸿建材有限公司商品混凝土搅拌站</w:t>
            </w:r>
            <w:r>
              <w:rPr>
                <w:rFonts w:hint="default" w:ascii="Times New Roman" w:hAnsi="Times New Roman" w:eastAsia="宋体" w:cs="Times New Roman"/>
                <w:spacing w:val="9"/>
                <w:sz w:val="24"/>
                <w:szCs w:val="24"/>
                <w:highlight w:val="none"/>
              </w:rPr>
              <w:t>”环境影响评价的工作，分析评价该项目对环境造成的影响，为环保行政主管部门决策提供依据。我公司接受委托后，组织有关技术人员，对工程建设所在地进行了实地勘察、收集了近年来有关环境背景资料、现状监测资料、工程资料及与工程相关的其他资料，</w:t>
            </w:r>
            <w:r>
              <w:rPr>
                <w:rFonts w:hint="eastAsia" w:ascii="Times New Roman" w:hAnsi="Times New Roman" w:eastAsia="宋体" w:cs="Times New Roman"/>
                <w:spacing w:val="9"/>
                <w:sz w:val="24"/>
                <w:szCs w:val="24"/>
                <w:highlight w:val="none"/>
                <w:lang w:val="en-US" w:eastAsia="zh-CN"/>
              </w:rPr>
              <w:t>根据工艺流程进行产排污分析与环境影响评价，</w:t>
            </w:r>
            <w:r>
              <w:rPr>
                <w:rFonts w:hint="default" w:ascii="Times New Roman" w:hAnsi="Times New Roman" w:eastAsia="宋体" w:cs="Times New Roman"/>
                <w:spacing w:val="9"/>
                <w:sz w:val="24"/>
                <w:szCs w:val="24"/>
                <w:highlight w:val="none"/>
              </w:rPr>
              <w:t>编制完成了《</w:t>
            </w:r>
            <w:r>
              <w:rPr>
                <w:rFonts w:hint="default" w:ascii="Times New Roman" w:hAnsi="Times New Roman" w:eastAsia="宋体" w:cs="Times New Roman"/>
                <w:spacing w:val="9"/>
                <w:sz w:val="24"/>
                <w:szCs w:val="24"/>
                <w:highlight w:val="none"/>
                <w:lang w:val="en-US" w:eastAsia="zh-CN"/>
              </w:rPr>
              <w:t>辰溪县鼎鸿建材有限公司商品混凝土搅拌站</w:t>
            </w:r>
            <w:r>
              <w:rPr>
                <w:rFonts w:hint="default" w:ascii="Times New Roman" w:hAnsi="Times New Roman" w:eastAsia="宋体" w:cs="Times New Roman"/>
                <w:spacing w:val="9"/>
                <w:sz w:val="24"/>
                <w:szCs w:val="24"/>
                <w:highlight w:val="none"/>
              </w:rPr>
              <w:t>建设项目环境影响报告表》。</w:t>
            </w:r>
          </w:p>
          <w:p>
            <w:pPr>
              <w:pStyle w:val="5"/>
              <w:spacing w:line="360" w:lineRule="auto"/>
              <w:outlineLvl w:val="2"/>
              <w:rPr>
                <w:rFonts w:hint="default" w:ascii="Times New Roman" w:hAnsi="Times New Roman" w:eastAsia="宋体" w:cs="Times New Roman"/>
                <w:sz w:val="24"/>
                <w:szCs w:val="24"/>
              </w:rPr>
            </w:pPr>
            <w:bookmarkStart w:id="19" w:name="_Toc30039"/>
            <w:r>
              <w:rPr>
                <w:rFonts w:hint="default" w:ascii="Times New Roman" w:hAnsi="Times New Roman" w:eastAsia="宋体" w:cs="Times New Roman"/>
                <w:sz w:val="24"/>
                <w:szCs w:val="24"/>
              </w:rPr>
              <w:t>2.2项目基本概况</w:t>
            </w:r>
            <w:bookmarkEnd w:id="19"/>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项目名称：</w:t>
            </w:r>
            <w:r>
              <w:rPr>
                <w:rFonts w:hint="default" w:ascii="Times New Roman" w:hAnsi="Times New Roman" w:eastAsia="宋体" w:cs="Times New Roman"/>
                <w:spacing w:val="9"/>
                <w:sz w:val="24"/>
                <w:szCs w:val="24"/>
                <w:highlight w:val="none"/>
                <w:lang w:val="en-US" w:eastAsia="zh-CN"/>
              </w:rPr>
              <w:t>辰溪县鼎鸿建材有限公司商品混凝土搅拌站</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rPr>
              <w:t>建设性质：</w:t>
            </w:r>
            <w:r>
              <w:rPr>
                <w:rFonts w:hint="default" w:ascii="Times New Roman" w:hAnsi="Times New Roman" w:eastAsia="宋体" w:cs="Times New Roman"/>
                <w:sz w:val="24"/>
                <w:lang w:val="en-US" w:eastAsia="zh-CN"/>
              </w:rPr>
              <w:t>新建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建设单位：辰溪县鼎鸿建材有限公司</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建设地点：</w:t>
            </w:r>
            <w:r>
              <w:rPr>
                <w:rFonts w:hint="default" w:ascii="Times New Roman" w:hAnsi="Times New Roman" w:eastAsia="宋体" w:cs="Times New Roman"/>
                <w:spacing w:val="7"/>
                <w:sz w:val="24"/>
                <w:szCs w:val="24"/>
                <w:highlight w:val="none"/>
                <w:lang w:val="en-US" w:eastAsia="zh-CN"/>
              </w:rPr>
              <w:t>辰溪县辰阳镇煤炭湾</w:t>
            </w:r>
            <w:r>
              <w:rPr>
                <w:rFonts w:hint="default" w:ascii="Times New Roman" w:hAnsi="Times New Roman" w:eastAsia="宋体" w:cs="Times New Roman"/>
                <w:sz w:val="24"/>
              </w:rPr>
              <w:t>（项目选址中心点坐标：东经</w:t>
            </w:r>
            <w:r>
              <w:rPr>
                <w:rFonts w:hint="default" w:ascii="Times New Roman" w:hAnsi="Times New Roman" w:eastAsia="宋体" w:cs="Times New Roman"/>
                <w:spacing w:val="6"/>
                <w:sz w:val="24"/>
                <w:szCs w:val="24"/>
                <w:highlight w:val="none"/>
              </w:rPr>
              <w:t>110.21403909</w:t>
            </w:r>
            <w:r>
              <w:rPr>
                <w:rFonts w:hint="default" w:ascii="Times New Roman" w:hAnsi="Times New Roman" w:eastAsia="宋体" w:cs="Times New Roman"/>
                <w:sz w:val="24"/>
              </w:rPr>
              <w:t>°，北纬</w:t>
            </w:r>
            <w:r>
              <w:rPr>
                <w:rFonts w:hint="default" w:ascii="Times New Roman" w:hAnsi="Times New Roman" w:eastAsia="宋体" w:cs="Times New Roman"/>
                <w:spacing w:val="3"/>
                <w:sz w:val="24"/>
                <w:szCs w:val="24"/>
                <w:highlight w:val="none"/>
              </w:rPr>
              <w:t>28.04395532</w:t>
            </w:r>
            <w:r>
              <w:rPr>
                <w:rFonts w:hint="default" w:ascii="Times New Roman" w:hAnsi="Times New Roman" w:eastAsia="宋体" w:cs="Times New Roman"/>
                <w:sz w:val="24"/>
              </w:rPr>
              <w:t>°）</w:t>
            </w:r>
          </w:p>
          <w:p>
            <w:pPr>
              <w:pStyle w:val="35"/>
              <w:spacing w:line="360" w:lineRule="auto"/>
              <w:ind w:firstLine="420"/>
              <w:rPr>
                <w:rFonts w:hint="default" w:ascii="Times New Roman" w:hAnsi="Times New Roman" w:eastAsia="宋体" w:cs="Times New Roman"/>
                <w:sz w:val="24"/>
                <w:szCs w:val="24"/>
                <w:lang w:val="en-GB"/>
              </w:rPr>
            </w:pPr>
            <w:r>
              <w:rPr>
                <w:rFonts w:hint="default" w:ascii="Times New Roman" w:hAnsi="Times New Roman" w:eastAsia="宋体" w:cs="Times New Roman"/>
                <w:sz w:val="24"/>
              </w:rPr>
              <w:t>建设规模</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年</w:t>
            </w:r>
            <w:r>
              <w:rPr>
                <w:rFonts w:hint="default" w:ascii="Times New Roman" w:hAnsi="Times New Roman" w:eastAsia="宋体" w:cs="Times New Roman"/>
                <w:sz w:val="24"/>
                <w:szCs w:val="24"/>
                <w:lang w:val="en-US" w:eastAsia="zh-CN"/>
              </w:rPr>
              <w:t>生产商品混凝土144万t/a（60万m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/a，密度2.4t/m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GB"/>
              </w:rPr>
              <w:t>。</w:t>
            </w: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项目投资：4900万元，资金来源全部由建设单位自筹。</w:t>
            </w:r>
          </w:p>
          <w:p>
            <w:pPr>
              <w:pStyle w:val="24"/>
              <w:spacing w:line="240" w:lineRule="auto"/>
              <w:ind w:firstLine="42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表2-1  项目组成一览表</w:t>
            </w:r>
          </w:p>
          <w:tbl>
            <w:tblPr>
              <w:tblStyle w:val="1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60"/>
              <w:gridCol w:w="1050"/>
              <w:gridCol w:w="6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类别</w:t>
                  </w: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建设内容</w:t>
                  </w:r>
                </w:p>
              </w:tc>
              <w:tc>
                <w:tcPr>
                  <w:tcW w:w="3660" w:type="pc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工程规模及功能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restar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主体工程</w:t>
                  </w:r>
                </w:p>
              </w:tc>
              <w:tc>
                <w:tcPr>
                  <w:tcW w:w="275" w:type="pct"/>
                  <w:vMerge w:val="restar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生产区</w:t>
                  </w:r>
                </w:p>
              </w:tc>
              <w:tc>
                <w:tcPr>
                  <w:tcW w:w="628" w:type="pct"/>
                  <w:tcBorders>
                    <w:tl2br w:val="nil"/>
                    <w:tr2bl w:val="nil"/>
                  </w:tcBorders>
                  <w:noWrap w:val="0"/>
                  <w:vAlign w:val="center"/>
                </w:tcPr>
                <w:p>
                  <w:pPr>
                    <w:tabs>
                      <w:tab w:val="left" w:pos="1021"/>
                    </w:tabs>
                    <w:wordWrap/>
                    <w:spacing w:line="240" w:lineRule="auto"/>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搅拌</w:t>
                  </w:r>
                  <w:r>
                    <w:rPr>
                      <w:rFonts w:hint="eastAsia" w:ascii="Times New Roman" w:hAnsi="Times New Roman" w:eastAsia="宋体" w:cs="Times New Roman"/>
                      <w:sz w:val="21"/>
                      <w:szCs w:val="21"/>
                      <w:lang w:val="en-US" w:eastAsia="zh-CN"/>
                    </w:rPr>
                    <w:t>区</w:t>
                  </w:r>
                </w:p>
              </w:tc>
              <w:tc>
                <w:tcPr>
                  <w:tcW w:w="3660" w:type="pct"/>
                  <w:tcBorders>
                    <w:tl2br w:val="nil"/>
                    <w:tr2bl w:val="nil"/>
                  </w:tcBorders>
                  <w:noWrap w:val="0"/>
                  <w:vAlign w:val="center"/>
                </w:tcPr>
                <w:p>
                  <w:pPr>
                    <w:tabs>
                      <w:tab w:val="left" w:pos="1021"/>
                    </w:tabs>
                    <w:wordWrap/>
                    <w:spacing w:line="240" w:lineRule="auto"/>
                    <w:ind w:left="-2" w:leftChars="-1"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设置2</w:t>
                  </w:r>
                  <w:r>
                    <w:rPr>
                      <w:rFonts w:hint="default" w:ascii="Times New Roman" w:hAnsi="Times New Roman" w:eastAsia="宋体" w:cs="Times New Roman"/>
                      <w:sz w:val="21"/>
                      <w:szCs w:val="21"/>
                    </w:rPr>
                    <w:t>座</w:t>
                  </w:r>
                  <w:r>
                    <w:rPr>
                      <w:rFonts w:hint="default" w:ascii="Times New Roman" w:hAnsi="Times New Roman" w:eastAsia="宋体" w:cs="Times New Roman"/>
                      <w:sz w:val="21"/>
                      <w:szCs w:val="21"/>
                      <w:lang w:val="en-US" w:eastAsia="zh-CN"/>
                    </w:rPr>
                    <w:t>HZS</w:t>
                  </w:r>
                  <w:r>
                    <w:rPr>
                      <w:rFonts w:hint="default" w:ascii="Times New Roman" w:hAnsi="Times New Roman" w:eastAsia="宋体" w:cs="Times New Roman"/>
                      <w:sz w:val="21"/>
                      <w:szCs w:val="21"/>
                    </w:rPr>
                    <w:t>180型封闭式搅拌楼，</w:t>
                  </w:r>
                  <w:r>
                    <w:rPr>
                      <w:rFonts w:hint="default" w:ascii="Times New Roman" w:hAnsi="Times New Roman" w:eastAsia="宋体" w:cs="Times New Roman"/>
                      <w:snapToGrid w:val="0"/>
                      <w:sz w:val="21"/>
                      <w:szCs w:val="21"/>
                      <w:lang w:val="en-US" w:eastAsia="zh-CN"/>
                    </w:rPr>
                    <w:t>由配料机、输送机、搅拌主机、计量系统、气动系统、控制系统、实验室等组成，2条生产线</w:t>
                  </w:r>
                  <w:r>
                    <w:rPr>
                      <w:rFonts w:hint="default" w:ascii="Times New Roman" w:hAnsi="Times New Roman" w:eastAsia="宋体" w:cs="Times New Roman"/>
                      <w:sz w:val="21"/>
                      <w:szCs w:val="21"/>
                    </w:rPr>
                    <w:t>生产能力</w:t>
                  </w:r>
                  <w:r>
                    <w:rPr>
                      <w:rFonts w:hint="default" w:ascii="Times New Roman" w:hAnsi="Times New Roman" w:eastAsia="宋体" w:cs="Times New Roman"/>
                      <w:sz w:val="21"/>
                      <w:szCs w:val="21"/>
                      <w:lang w:val="en-US" w:eastAsia="zh-CN"/>
                    </w:rPr>
                    <w:t>共60万m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/a</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color w:val="0000FF"/>
                      <w:sz w:val="21"/>
                      <w:szCs w:val="21"/>
                      <w:highlight w:val="none"/>
                      <w:lang w:val="en-US" w:eastAsia="zh-CN"/>
                    </w:rPr>
                    <w:t>搅拌区全封闭，四周仅在一侧设置门帘</w:t>
                  </w:r>
                  <w:r>
                    <w:rPr>
                      <w:rFonts w:hint="eastAsia" w:ascii="Times New Roman" w:hAnsi="Times New Roman" w:eastAsia="宋体" w:cs="Times New Roman"/>
                      <w:color w:val="0000FF"/>
                      <w:sz w:val="21"/>
                      <w:szCs w:val="21"/>
                      <w:highlight w:val="none"/>
                      <w:lang w:eastAsia="zh-CN"/>
                    </w:rPr>
                    <w:t>，</w:t>
                  </w:r>
                  <w:r>
                    <w:rPr>
                      <w:rFonts w:hint="eastAsia" w:ascii="Times New Roman" w:hAnsi="Times New Roman" w:eastAsia="宋体" w:cs="Times New Roman"/>
                      <w:color w:val="0000FF"/>
                      <w:sz w:val="21"/>
                      <w:szCs w:val="21"/>
                      <w:highlight w:val="none"/>
                      <w:lang w:val="en-US" w:eastAsia="zh-CN"/>
                    </w:rPr>
                    <w:t>顶棚离地高度20m，</w:t>
                  </w:r>
                  <w:r>
                    <w:rPr>
                      <w:rFonts w:hint="default" w:ascii="Times New Roman" w:hAnsi="Times New Roman" w:eastAsia="宋体" w:cs="Times New Roman"/>
                      <w:color w:val="0000FF"/>
                      <w:sz w:val="21"/>
                      <w:szCs w:val="21"/>
                    </w:rPr>
                    <w:t>占地约</w:t>
                  </w:r>
                  <w:r>
                    <w:rPr>
                      <w:rFonts w:hint="default" w:ascii="Times New Roman" w:hAnsi="Times New Roman" w:eastAsia="宋体" w:cs="Times New Roman"/>
                      <w:color w:val="0000FF"/>
                      <w:sz w:val="21"/>
                      <w:szCs w:val="21"/>
                      <w:lang w:val="en-US" w:eastAsia="zh-CN"/>
                    </w:rPr>
                    <w:t>1361.68</w:t>
                  </w:r>
                  <w:r>
                    <w:rPr>
                      <w:rFonts w:hint="default" w:ascii="Times New Roman" w:hAnsi="Times New Roman" w:eastAsia="宋体" w:cs="Times New Roman"/>
                      <w:snapToGrid w:val="0"/>
                      <w:color w:val="0000FF"/>
                      <w:sz w:val="21"/>
                      <w:szCs w:val="21"/>
                    </w:rPr>
                    <w:t>m</w:t>
                  </w:r>
                  <w:r>
                    <w:rPr>
                      <w:rFonts w:hint="default" w:ascii="Times New Roman" w:hAnsi="Times New Roman" w:eastAsia="宋体" w:cs="Times New Roman"/>
                      <w:snapToGrid w:val="0"/>
                      <w:color w:val="0000FF"/>
                      <w:sz w:val="21"/>
                      <w:szCs w:val="21"/>
                      <w:vertAlign w:val="superscript"/>
                    </w:rPr>
                    <w:t>2</w:t>
                  </w:r>
                  <w:r>
                    <w:rPr>
                      <w:rFonts w:hint="eastAsia" w:ascii="Times New Roman" w:hAnsi="Times New Roman" w:eastAsia="宋体" w:cs="Times New Roman"/>
                      <w:color w:val="0000FF"/>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275" w:type="pct"/>
                  <w:vMerge w:val="continue"/>
                  <w:tcBorders>
                    <w:tl2br w:val="nil"/>
                    <w:tr2bl w:val="nil"/>
                  </w:tcBorders>
                  <w:noWrap w:val="0"/>
                  <w:vAlign w:val="center"/>
                </w:tcPr>
                <w:p>
                  <w:pPr>
                    <w:tabs>
                      <w:tab w:val="left" w:pos="1021"/>
                    </w:tabs>
                    <w:wordWrap/>
                    <w:spacing w:line="240" w:lineRule="auto"/>
                    <w:ind w:left="-61" w:leftChars="-29"/>
                    <w:jc w:val="center"/>
                    <w:rPr>
                      <w:rFonts w:hint="default" w:ascii="Times New Roman" w:hAnsi="Times New Roman" w:eastAsia="宋体" w:cs="Times New Roman"/>
                      <w:sz w:val="21"/>
                      <w:szCs w:val="21"/>
                      <w:highlight w:val="none"/>
                    </w:rPr>
                  </w:pPr>
                </w:p>
              </w:tc>
              <w:tc>
                <w:tcPr>
                  <w:tcW w:w="628" w:type="pc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配料仓</w:t>
                  </w:r>
                </w:p>
              </w:tc>
              <w:tc>
                <w:tcPr>
                  <w:tcW w:w="3660" w:type="pct"/>
                  <w:tcBorders>
                    <w:tl2br w:val="nil"/>
                    <w:tr2bl w:val="nil"/>
                  </w:tcBorders>
                  <w:noWrap w:val="0"/>
                  <w:vAlign w:val="center"/>
                </w:tcPr>
                <w:p>
                  <w:pPr>
                    <w:tabs>
                      <w:tab w:val="left" w:pos="1021"/>
                    </w:tabs>
                    <w:wordWrap/>
                    <w:spacing w:line="240" w:lineRule="auto"/>
                    <w:ind w:left="-2" w:leftChars="-1" w:firstLine="420" w:firstLineChars="200"/>
                    <w:jc w:val="left"/>
                    <w:rPr>
                      <w:rFonts w:hint="default" w:ascii="Times New Roman" w:hAnsi="Times New Roman" w:eastAsia="宋体" w:cs="Times New Roman"/>
                      <w:color w:val="FF0000"/>
                      <w:sz w:val="21"/>
                      <w:szCs w:val="21"/>
                      <w:highlight w:val="none"/>
                      <w:lang w:eastAsia="zh-CN"/>
                    </w:rPr>
                  </w:pPr>
                  <w:r>
                    <w:rPr>
                      <w:rFonts w:hint="default" w:ascii="Times New Roman" w:hAnsi="Times New Roman" w:eastAsia="宋体" w:cs="Times New Roman"/>
                      <w:sz w:val="21"/>
                      <w:szCs w:val="21"/>
                      <w:highlight w:val="none"/>
                    </w:rPr>
                    <w:t>每条生产线各设置2个水泥筒仓，1个粉煤灰筒仓，1个矿粉筒仓，1个外加剂箱</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restar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辅助工程</w:t>
                  </w: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堆料场</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位于</w:t>
                  </w:r>
                  <w:r>
                    <w:rPr>
                      <w:rFonts w:hint="default" w:ascii="Times New Roman" w:hAnsi="Times New Roman" w:eastAsia="宋体" w:cs="Times New Roman"/>
                      <w:sz w:val="21"/>
                      <w:szCs w:val="21"/>
                      <w:highlight w:val="none"/>
                    </w:rPr>
                    <w:t>厂区</w:t>
                  </w:r>
                  <w:r>
                    <w:rPr>
                      <w:rFonts w:hint="default" w:ascii="Times New Roman" w:hAnsi="Times New Roman" w:eastAsia="宋体" w:cs="Times New Roman"/>
                      <w:sz w:val="21"/>
                      <w:szCs w:val="21"/>
                      <w:highlight w:val="none"/>
                      <w:lang w:val="en-US" w:eastAsia="zh-CN"/>
                    </w:rPr>
                    <w:t>北侧</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Cs/>
                      <w:color w:val="000000"/>
                      <w:sz w:val="21"/>
                      <w:szCs w:val="21"/>
                      <w:highlight w:val="none"/>
                    </w:rPr>
                    <w:t>钢架蓬</w:t>
                  </w:r>
                  <w:r>
                    <w:rPr>
                      <w:rFonts w:hint="default" w:ascii="Times New Roman" w:hAnsi="Times New Roman" w:eastAsia="宋体" w:cs="Times New Roman"/>
                      <w:bCs/>
                      <w:color w:val="000000"/>
                      <w:sz w:val="21"/>
                      <w:szCs w:val="21"/>
                      <w:highlight w:val="none"/>
                      <w:lang w:val="en-US" w:eastAsia="zh-CN"/>
                    </w:rPr>
                    <w:t>结构，</w:t>
                  </w:r>
                  <w:r>
                    <w:rPr>
                      <w:rFonts w:hint="default" w:ascii="Times New Roman" w:hAnsi="Times New Roman" w:eastAsia="宋体" w:cs="Times New Roman"/>
                      <w:sz w:val="21"/>
                      <w:szCs w:val="21"/>
                      <w:highlight w:val="none"/>
                    </w:rPr>
                    <w:t>用于堆放碎石、砂，占地</w:t>
                  </w:r>
                  <w:r>
                    <w:rPr>
                      <w:rFonts w:hint="eastAsia" w:ascii="Times New Roman" w:hAnsi="Times New Roman" w:eastAsia="宋体" w:cs="Times New Roman"/>
                      <w:sz w:val="21"/>
                      <w:szCs w:val="21"/>
                      <w:highlight w:val="none"/>
                      <w:lang w:val="en-US" w:eastAsia="zh-CN"/>
                    </w:rPr>
                    <w:t>面积</w:t>
                  </w:r>
                  <w:r>
                    <w:rPr>
                      <w:rFonts w:hint="default" w:ascii="Times New Roman" w:hAnsi="Times New Roman" w:eastAsia="宋体" w:cs="Times New Roman"/>
                      <w:sz w:val="21"/>
                      <w:szCs w:val="21"/>
                      <w:highlight w:val="none"/>
                      <w:lang w:val="en-US" w:eastAsia="zh-CN"/>
                    </w:rPr>
                    <w:t>约42</w:t>
                  </w:r>
                  <w:r>
                    <w:rPr>
                      <w:rFonts w:hint="default" w:ascii="Times New Roman" w:hAnsi="Times New Roman" w:eastAsia="宋体" w:cs="Times New Roman"/>
                      <w:sz w:val="21"/>
                      <w:szCs w:val="21"/>
                      <w:highlight w:val="none"/>
                    </w:rPr>
                    <w:t>00m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综合楼</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位于厂区</w:t>
                  </w:r>
                  <w:r>
                    <w:rPr>
                      <w:rFonts w:hint="default" w:ascii="Times New Roman" w:hAnsi="Times New Roman" w:eastAsia="宋体" w:cs="Times New Roman"/>
                      <w:sz w:val="21"/>
                      <w:szCs w:val="21"/>
                      <w:highlight w:val="none"/>
                      <w:lang w:val="en-US" w:eastAsia="zh-CN"/>
                    </w:rPr>
                    <w:t>西南侧，为1栋2层砖混结构，建筑面积1560</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员工宿舍</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位于厂区</w:t>
                  </w:r>
                  <w:r>
                    <w:rPr>
                      <w:rFonts w:hint="default" w:ascii="Times New Roman" w:hAnsi="Times New Roman" w:eastAsia="宋体" w:cs="Times New Roman"/>
                      <w:sz w:val="21"/>
                      <w:szCs w:val="21"/>
                      <w:highlight w:val="none"/>
                      <w:lang w:val="en-US" w:eastAsia="zh-CN"/>
                    </w:rPr>
                    <w:t>西南侧，为1栋2层砖混结构，建筑面积1652</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实验室</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位于综合楼内</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建筑面积约20</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napToGrid w:val="0"/>
                      <w:sz w:val="21"/>
                      <w:szCs w:val="21"/>
                      <w:highlight w:val="none"/>
                    </w:rPr>
                    <w:t>主要测试产品物理性能，不使用化学药品</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洗车区</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位于厂区南侧车辆进出大门旁</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配电房</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1层砖混结构，搅拌楼</w:t>
                  </w:r>
                  <w:r>
                    <w:rPr>
                      <w:rFonts w:hint="default" w:ascii="Times New Roman" w:hAnsi="Times New Roman" w:eastAsia="宋体" w:cs="Times New Roman"/>
                      <w:sz w:val="21"/>
                      <w:szCs w:val="21"/>
                      <w:highlight w:val="none"/>
                      <w:lang w:val="en-US" w:eastAsia="zh-CN"/>
                    </w:rPr>
                    <w:t>下方</w:t>
                  </w:r>
                  <w:r>
                    <w:rPr>
                      <w:rFonts w:hint="default" w:ascii="Times New Roman" w:hAnsi="Times New Roman" w:eastAsia="宋体" w:cs="Times New Roman"/>
                      <w:sz w:val="21"/>
                      <w:szCs w:val="21"/>
                      <w:highlight w:val="none"/>
                    </w:rPr>
                    <w:t>，占地</w:t>
                  </w:r>
                  <w:r>
                    <w:rPr>
                      <w:rFonts w:hint="default" w:ascii="Times New Roman" w:hAnsi="Times New Roman" w:eastAsia="宋体" w:cs="Times New Roman"/>
                      <w:sz w:val="21"/>
                      <w:szCs w:val="21"/>
                      <w:highlight w:val="none"/>
                      <w:lang w:val="en-US" w:eastAsia="zh-CN"/>
                    </w:rPr>
                    <w:t>29</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门卫室</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位于厂区西南侧大门旁，占地20</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维修车间</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建筑面积约20</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位于厂区东南部，对运输车辆进行检修</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储运工程</w:t>
                  </w: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highlight w:val="none"/>
                      <w:lang w:val="en-US" w:eastAsia="zh-CN"/>
                    </w:rPr>
                    <w:t>柴油储罐</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储油区位于维修车间北侧，</w:t>
                  </w:r>
                  <w:r>
                    <w:rPr>
                      <w:rFonts w:hint="eastAsia" w:ascii="Times New Roman" w:hAnsi="Times New Roman" w:eastAsia="宋体" w:cs="Times New Roman"/>
                      <w:sz w:val="21"/>
                      <w:szCs w:val="21"/>
                      <w:highlight w:val="none"/>
                      <w:lang w:val="en-US" w:eastAsia="zh-CN"/>
                    </w:rPr>
                    <w:t>设有1个</w:t>
                  </w:r>
                  <w:r>
                    <w:rPr>
                      <w:rFonts w:hint="default" w:ascii="Times New Roman" w:hAnsi="Times New Roman" w:eastAsia="宋体" w:cs="Times New Roman"/>
                      <w:sz w:val="21"/>
                      <w:szCs w:val="21"/>
                      <w:highlight w:val="none"/>
                      <w:lang w:val="en-US" w:eastAsia="zh-CN"/>
                    </w:rPr>
                    <w:t>卧式双层油罐，最</w:t>
                  </w:r>
                  <w:r>
                    <w:rPr>
                      <w:rFonts w:hint="eastAsia" w:ascii="Times New Roman" w:hAnsi="Times New Roman" w:eastAsia="宋体" w:cs="Times New Roman"/>
                      <w:sz w:val="21"/>
                      <w:szCs w:val="21"/>
                      <w:highlight w:val="none"/>
                      <w:lang w:val="en-US" w:eastAsia="zh-CN"/>
                    </w:rPr>
                    <w:t>大储油量为</w:t>
                  </w:r>
                  <w:r>
                    <w:rPr>
                      <w:rFonts w:hint="default" w:ascii="Times New Roman" w:hAnsi="Times New Roman" w:eastAsia="宋体" w:cs="Times New Roman"/>
                      <w:sz w:val="21"/>
                      <w:szCs w:val="21"/>
                      <w:highlight w:val="none"/>
                      <w:lang w:val="en-US" w:eastAsia="zh-CN"/>
                    </w:rPr>
                    <w:t>60t</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color w:val="0000FF"/>
                      <w:sz w:val="21"/>
                      <w:szCs w:val="21"/>
                      <w:highlight w:val="none"/>
                      <w:lang w:val="en-US" w:eastAsia="zh-CN"/>
                    </w:rPr>
                    <w:t>储罐底部防渗，且在</w:t>
                  </w:r>
                  <w:r>
                    <w:rPr>
                      <w:rFonts w:hint="default" w:ascii="Times New Roman" w:hAnsi="Times New Roman" w:eastAsia="宋体" w:cs="Times New Roman"/>
                      <w:color w:val="0000FF"/>
                      <w:sz w:val="21"/>
                      <w:szCs w:val="21"/>
                      <w:highlight w:val="none"/>
                      <w:lang w:val="en-US" w:eastAsia="zh-CN"/>
                    </w:rPr>
                    <w:t>储罐</w:t>
                  </w:r>
                  <w:r>
                    <w:rPr>
                      <w:rFonts w:hint="eastAsia" w:ascii="Times New Roman" w:hAnsi="Times New Roman" w:eastAsia="宋体" w:cs="Times New Roman"/>
                      <w:color w:val="0000FF"/>
                      <w:sz w:val="21"/>
                      <w:szCs w:val="21"/>
                      <w:highlight w:val="none"/>
                      <w:lang w:val="en-US" w:eastAsia="zh-CN"/>
                    </w:rPr>
                    <w:t>旁</w:t>
                  </w:r>
                  <w:r>
                    <w:rPr>
                      <w:rFonts w:hint="default" w:ascii="Times New Roman" w:hAnsi="Times New Roman" w:eastAsia="宋体" w:cs="Times New Roman"/>
                      <w:color w:val="0000FF"/>
                      <w:sz w:val="21"/>
                      <w:szCs w:val="21"/>
                      <w:highlight w:val="none"/>
                      <w:lang w:val="en-US" w:eastAsia="zh-CN"/>
                    </w:rPr>
                    <w:t>设置</w:t>
                  </w:r>
                  <w:r>
                    <w:rPr>
                      <w:rFonts w:hint="eastAsia" w:ascii="Times New Roman" w:hAnsi="Times New Roman" w:eastAsia="宋体" w:cs="Times New Roman"/>
                      <w:color w:val="0000FF"/>
                      <w:sz w:val="21"/>
                      <w:szCs w:val="21"/>
                      <w:highlight w:val="none"/>
                      <w:lang w:val="en-US" w:eastAsia="zh-CN"/>
                    </w:rPr>
                    <w:t>事故油池</w:t>
                  </w:r>
                  <w:r>
                    <w:rPr>
                      <w:rFonts w:hint="default" w:ascii="Times New Roman" w:hAnsi="Times New Roman" w:eastAsia="宋体" w:cs="Times New Roman"/>
                      <w:color w:val="0000FF"/>
                      <w:sz w:val="21"/>
                      <w:szCs w:val="21"/>
                      <w:highlight w:val="none"/>
                      <w:lang w:val="en-US" w:eastAsia="zh-CN"/>
                    </w:rPr>
                    <w:t>（容积约9m</w:t>
                  </w:r>
                  <w:r>
                    <w:rPr>
                      <w:rFonts w:hint="default" w:ascii="Times New Roman" w:hAnsi="Times New Roman" w:eastAsia="宋体" w:cs="Times New Roman"/>
                      <w:color w:val="0000FF"/>
                      <w:sz w:val="21"/>
                      <w:szCs w:val="21"/>
                      <w:highlight w:val="none"/>
                      <w:vertAlign w:val="superscript"/>
                      <w:lang w:val="en-US" w:eastAsia="zh-CN"/>
                    </w:rPr>
                    <w:t>3</w:t>
                  </w:r>
                  <w:r>
                    <w:rPr>
                      <w:rFonts w:hint="default" w:ascii="Times New Roman" w:hAnsi="Times New Roman" w:eastAsia="宋体" w:cs="Times New Roman"/>
                      <w:color w:val="0000FF"/>
                      <w:sz w:val="21"/>
                      <w:szCs w:val="21"/>
                      <w:highlight w:val="none"/>
                      <w:lang w:val="en-US" w:eastAsia="zh-CN"/>
                    </w:rPr>
                    <w:t>）</w:t>
                  </w:r>
                  <w:r>
                    <w:rPr>
                      <w:rFonts w:hint="default" w:ascii="Times New Roman" w:hAnsi="Times New Roman" w:eastAsia="宋体" w:cs="Times New Roman"/>
                      <w:sz w:val="21"/>
                      <w:szCs w:val="21"/>
                      <w:highlight w:val="none"/>
                      <w:lang w:val="en-US" w:eastAsia="zh-CN"/>
                    </w:rPr>
                    <w:t>，并配备消防沙等应急物资。加油区位于储油区旁，建筑面积24</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restar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公用工程</w:t>
                  </w: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给水工程</w:t>
                  </w:r>
                </w:p>
              </w:tc>
              <w:tc>
                <w:tcPr>
                  <w:tcW w:w="3660" w:type="pct"/>
                  <w:tcBorders>
                    <w:tl2br w:val="nil"/>
                    <w:tr2bl w:val="nil"/>
                  </w:tcBorders>
                  <w:noWrap w:val="0"/>
                  <w:vAlign w:val="center"/>
                </w:tcPr>
                <w:p>
                  <w:pPr>
                    <w:autoSpaceDE w:val="0"/>
                    <w:autoSpaceDN w:val="0"/>
                    <w:spacing w:line="240" w:lineRule="auto"/>
                    <w:ind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项目用水来自自来水管网。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color w:val="FF0000"/>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供电工程</w:t>
                  </w:r>
                </w:p>
              </w:tc>
              <w:tc>
                <w:tcPr>
                  <w:tcW w:w="3660" w:type="pct"/>
                  <w:tcBorders>
                    <w:tl2br w:val="nil"/>
                    <w:tr2bl w:val="nil"/>
                  </w:tcBorders>
                  <w:noWrap w:val="0"/>
                  <w:vAlign w:val="center"/>
                </w:tcPr>
                <w:p>
                  <w:pPr>
                    <w:autoSpaceDE w:val="0"/>
                    <w:autoSpaceDN w:val="0"/>
                    <w:spacing w:line="240" w:lineRule="auto"/>
                    <w:ind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由</w:t>
                  </w:r>
                  <w:r>
                    <w:rPr>
                      <w:rFonts w:hint="default" w:ascii="Times New Roman" w:hAnsi="Times New Roman" w:eastAsia="宋体" w:cs="Times New Roman"/>
                      <w:sz w:val="21"/>
                      <w:szCs w:val="21"/>
                      <w:highlight w:val="none"/>
                      <w:lang w:val="en-US" w:eastAsia="zh-CN"/>
                    </w:rPr>
                    <w:t>辰溪</w:t>
                  </w:r>
                  <w:r>
                    <w:rPr>
                      <w:rFonts w:hint="default" w:ascii="Times New Roman" w:hAnsi="Times New Roman" w:eastAsia="宋体" w:cs="Times New Roman"/>
                      <w:sz w:val="21"/>
                      <w:szCs w:val="21"/>
                      <w:highlight w:val="none"/>
                    </w:rPr>
                    <w:t>县国家电网供电系统提供</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设置发配电间，建筑面积约52</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val="en-US" w:eastAsia="zh-CN"/>
                    </w:rPr>
                    <w:t>，位于停车场北侧。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color w:val="FF0000"/>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供冷、暖工程</w:t>
                  </w:r>
                </w:p>
              </w:tc>
              <w:tc>
                <w:tcPr>
                  <w:tcW w:w="3660" w:type="pct"/>
                  <w:tcBorders>
                    <w:tl2br w:val="nil"/>
                    <w:tr2bl w:val="nil"/>
                  </w:tcBorders>
                  <w:noWrap w:val="0"/>
                  <w:vAlign w:val="center"/>
                </w:tcPr>
                <w:p>
                  <w:pPr>
                    <w:wordWrap/>
                    <w:spacing w:line="24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生产无需供热，休息区采用电供热</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color w:val="FF0000"/>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厂区道路</w:t>
                  </w:r>
                </w:p>
              </w:tc>
              <w:tc>
                <w:tcPr>
                  <w:tcW w:w="3660" w:type="pct"/>
                  <w:tcBorders>
                    <w:tl2br w:val="nil"/>
                    <w:tr2bl w:val="nil"/>
                  </w:tcBorders>
                  <w:noWrap w:val="0"/>
                  <w:vAlign w:val="center"/>
                </w:tcPr>
                <w:p>
                  <w:pPr>
                    <w:wordWrap/>
                    <w:spacing w:line="240" w:lineRule="auto"/>
                    <w:ind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路面进行硬化，厂区内道路长度约1960m，路幅7m，可以满足交通及运输需求</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color w:val="FF0000"/>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napToGrid w:val="0"/>
                      <w:color w:val="000000"/>
                      <w:kern w:val="0"/>
                      <w:sz w:val="21"/>
                      <w:szCs w:val="21"/>
                      <w:highlight w:val="none"/>
                      <w:lang w:val="en-US" w:eastAsia="zh-CN"/>
                    </w:rPr>
                  </w:pPr>
                  <w:r>
                    <w:rPr>
                      <w:rFonts w:hint="default" w:ascii="Times New Roman" w:hAnsi="Times New Roman" w:eastAsia="宋体" w:cs="Times New Roman"/>
                      <w:sz w:val="21"/>
                      <w:szCs w:val="21"/>
                      <w:highlight w:val="none"/>
                      <w:lang w:val="en-US" w:eastAsia="zh-CN"/>
                    </w:rPr>
                    <w:t>停车场</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napToGrid w:val="0"/>
                      <w:color w:val="000000"/>
                      <w:kern w:val="0"/>
                      <w:sz w:val="21"/>
                      <w:szCs w:val="21"/>
                      <w:highlight w:val="none"/>
                      <w:lang w:val="en-US" w:eastAsia="zh-CN"/>
                    </w:rPr>
                  </w:pPr>
                  <w:r>
                    <w:rPr>
                      <w:rFonts w:hint="default" w:ascii="Times New Roman" w:hAnsi="Times New Roman" w:eastAsia="宋体" w:cs="Times New Roman"/>
                      <w:sz w:val="21"/>
                      <w:szCs w:val="21"/>
                      <w:highlight w:val="none"/>
                      <w:lang w:val="en-US" w:eastAsia="zh-CN"/>
                    </w:rPr>
                    <w:t>位于柴油储罐和维修车间东侧，占地面积约9000</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restar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环保工程</w:t>
                  </w: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废气处理</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生产废气：8</w:t>
                  </w:r>
                  <w:r>
                    <w:rPr>
                      <w:rFonts w:hint="default" w:ascii="Times New Roman" w:hAnsi="Times New Roman" w:eastAsia="宋体" w:cs="Times New Roman"/>
                      <w:sz w:val="21"/>
                      <w:szCs w:val="21"/>
                      <w:highlight w:val="none"/>
                    </w:rPr>
                    <w:t>套脉冲反吹式收尘器（</w:t>
                  </w:r>
                  <w:r>
                    <w:rPr>
                      <w:rFonts w:hint="eastAsia" w:ascii="Times New Roman" w:hAnsi="Times New Roman" w:eastAsia="宋体" w:cs="Times New Roman"/>
                      <w:sz w:val="21"/>
                      <w:szCs w:val="21"/>
                      <w:highlight w:val="none"/>
                      <w:lang w:val="en-US" w:eastAsia="zh-CN"/>
                    </w:rPr>
                    <w:t>每个</w:t>
                  </w:r>
                  <w:r>
                    <w:rPr>
                      <w:rFonts w:hint="default" w:ascii="Times New Roman" w:hAnsi="Times New Roman" w:eastAsia="宋体" w:cs="Times New Roman"/>
                      <w:sz w:val="21"/>
                      <w:szCs w:val="21"/>
                      <w:highlight w:val="none"/>
                    </w:rPr>
                    <w:t>筒仓</w:t>
                  </w:r>
                  <w:r>
                    <w:rPr>
                      <w:rFonts w:hint="eastAsia" w:ascii="Times New Roman" w:hAnsi="Times New Roman" w:eastAsia="宋体" w:cs="Times New Roman"/>
                      <w:sz w:val="21"/>
                      <w:szCs w:val="21"/>
                      <w:highlight w:val="none"/>
                      <w:lang w:val="en-US" w:eastAsia="zh-CN"/>
                    </w:rPr>
                    <w:t>顶部自带1</w:t>
                  </w:r>
                  <w:r>
                    <w:rPr>
                      <w:rFonts w:hint="default" w:ascii="Times New Roman" w:hAnsi="Times New Roman" w:eastAsia="宋体" w:cs="Times New Roman"/>
                      <w:sz w:val="21"/>
                      <w:szCs w:val="21"/>
                      <w:highlight w:val="none"/>
                    </w:rPr>
                    <w:t>套</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除尘效率99.7%，共计8套</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2套除尘装置（每个混凝土搅拌机自带1套除尘装置，除尘效率99.9%，共计2套）。</w:t>
                  </w:r>
                  <w:r>
                    <w:rPr>
                      <w:rFonts w:hint="eastAsia" w:ascii="Times New Roman" w:hAnsi="Times New Roman" w:eastAsia="宋体" w:cs="Times New Roman"/>
                      <w:color w:val="0000FF"/>
                      <w:sz w:val="21"/>
                      <w:szCs w:val="21"/>
                      <w:highlight w:val="none"/>
                      <w:lang w:val="en-US" w:eastAsia="zh-CN"/>
                    </w:rPr>
                    <w:t>搅拌车间顶部安装喷淋装置，最终筒仓粉尘及搅拌粉尘再经喷淋装置（除尘效率80%）除尘后无组织排放。</w:t>
                  </w:r>
                  <w:r>
                    <w:rPr>
                      <w:rFonts w:hint="eastAsia" w:ascii="Times New Roman" w:hAnsi="Times New Roman" w:eastAsia="宋体" w:cs="Times New Roman"/>
                      <w:sz w:val="21"/>
                      <w:szCs w:val="21"/>
                      <w:highlight w:val="none"/>
                      <w:lang w:val="en-US" w:eastAsia="zh-CN"/>
                    </w:rPr>
                    <w:t>项目石料传送依托</w:t>
                  </w:r>
                  <w:r>
                    <w:rPr>
                      <w:rFonts w:hint="default" w:ascii="Times New Roman" w:hAnsi="Times New Roman" w:eastAsia="宋体" w:cs="Times New Roman"/>
                      <w:sz w:val="21"/>
                      <w:szCs w:val="21"/>
                      <w:highlight w:val="none"/>
                    </w:rPr>
                    <w:t>2条封闭输送带，地面硬化，厂区日常清扫，洒水降尘，严密遮盖运输车辆</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堆料场设置封闭料棚，覆盖防尘网等</w:t>
                  </w:r>
                  <w:r>
                    <w:rPr>
                      <w:rFonts w:hint="default" w:ascii="Times New Roman" w:hAnsi="Times New Roman" w:eastAsia="宋体" w:cs="Times New Roman"/>
                      <w:sz w:val="21"/>
                      <w:szCs w:val="21"/>
                      <w:highlight w:val="none"/>
                      <w:lang w:eastAsia="zh-CN"/>
                    </w:rPr>
                    <w:t>。</w:t>
                  </w:r>
                </w:p>
                <w:p>
                  <w:pPr>
                    <w:pStyle w:val="2"/>
                    <w:spacing w:line="240" w:lineRule="auto"/>
                    <w:ind w:firstLine="420" w:firstLineChars="20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kern w:val="2"/>
                      <w:sz w:val="21"/>
                      <w:szCs w:val="21"/>
                      <w:highlight w:val="none"/>
                      <w:u w:val="none"/>
                      <w:lang w:val="en-US" w:eastAsia="zh-CN" w:bidi="ar-SA"/>
                    </w:rPr>
                    <w:t>食堂油烟：经油烟净化设施处理，由屋顶排放。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废水处理</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堆料场和搅拌区的</w:t>
                  </w:r>
                  <w:r>
                    <w:rPr>
                      <w:rFonts w:hint="default" w:ascii="Times New Roman" w:hAnsi="Times New Roman" w:eastAsia="宋体" w:cs="Times New Roman"/>
                      <w:color w:val="0000FF"/>
                      <w:sz w:val="21"/>
                      <w:szCs w:val="21"/>
                      <w:highlight w:val="none"/>
                    </w:rPr>
                    <w:t>初期雨水</w:t>
                  </w:r>
                  <w:r>
                    <w:rPr>
                      <w:rFonts w:hint="eastAsia" w:ascii="Times New Roman" w:hAnsi="Times New Roman" w:eastAsia="宋体" w:cs="Times New Roman"/>
                      <w:bCs/>
                      <w:color w:val="0000FF"/>
                      <w:sz w:val="21"/>
                      <w:szCs w:val="21"/>
                      <w:lang w:val="en-US" w:eastAsia="zh-CN"/>
                    </w:rPr>
                    <w:t>经过1#隔油沉淀池（100</w:t>
                  </w:r>
                  <w:r>
                    <w:rPr>
                      <w:rFonts w:hint="default" w:ascii="Times New Roman" w:hAnsi="Times New Roman" w:eastAsia="宋体" w:cs="Times New Roman"/>
                      <w:color w:val="0000FF"/>
                      <w:sz w:val="21"/>
                      <w:szCs w:val="21"/>
                      <w:highlight w:val="none"/>
                      <w:lang w:val="en-US" w:eastAsia="zh-CN"/>
                    </w:rPr>
                    <w:t>m</w:t>
                  </w:r>
                  <w:r>
                    <w:rPr>
                      <w:rFonts w:hint="default" w:ascii="Times New Roman" w:hAnsi="Times New Roman" w:eastAsia="宋体" w:cs="Times New Roman"/>
                      <w:color w:val="0000FF"/>
                      <w:sz w:val="21"/>
                      <w:szCs w:val="21"/>
                      <w:highlight w:val="none"/>
                      <w:vertAlign w:val="superscript"/>
                      <w:lang w:val="en-US" w:eastAsia="zh-CN"/>
                    </w:rPr>
                    <w:t>3</w:t>
                  </w:r>
                  <w:r>
                    <w:rPr>
                      <w:rFonts w:hint="eastAsia" w:ascii="Times New Roman" w:hAnsi="Times New Roman" w:eastAsia="宋体" w:cs="Times New Roman"/>
                      <w:color w:val="0000FF"/>
                      <w:sz w:val="21"/>
                      <w:szCs w:val="21"/>
                      <w:highlight w:val="none"/>
                      <w:lang w:val="en-US" w:eastAsia="zh-CN"/>
                    </w:rPr>
                    <w:t>/d</w:t>
                  </w:r>
                  <w:r>
                    <w:rPr>
                      <w:rFonts w:hint="eastAsia" w:ascii="Times New Roman" w:hAnsi="Times New Roman" w:eastAsia="宋体" w:cs="Times New Roman"/>
                      <w:bCs/>
                      <w:color w:val="0000FF"/>
                      <w:sz w:val="21"/>
                      <w:szCs w:val="21"/>
                      <w:lang w:val="en-US" w:eastAsia="zh-CN"/>
                    </w:rPr>
                    <w:t>）沉淀后用于厂区洒水抑尘</w:t>
                  </w:r>
                  <w:r>
                    <w:rPr>
                      <w:rFonts w:hint="eastAsia" w:ascii="Times New Roman" w:hAnsi="Times New Roman" w:eastAsia="宋体" w:cs="Times New Roman"/>
                      <w:color w:val="0000FF"/>
                      <w:sz w:val="21"/>
                      <w:szCs w:val="21"/>
                      <w:highlight w:val="none"/>
                      <w:lang w:eastAsia="zh-CN"/>
                    </w:rPr>
                    <w:t>；</w:t>
                  </w:r>
                  <w:r>
                    <w:rPr>
                      <w:rFonts w:hint="eastAsia" w:ascii="Times New Roman" w:hAnsi="Times New Roman" w:eastAsia="宋体" w:cs="Times New Roman"/>
                      <w:color w:val="0000FF"/>
                      <w:sz w:val="21"/>
                      <w:szCs w:val="21"/>
                      <w:highlight w:val="none"/>
                      <w:lang w:val="en-US" w:eastAsia="zh-CN"/>
                    </w:rPr>
                    <w:t>运输车辆停车场的初期雨水经过2#隔油沉淀池</w:t>
                  </w:r>
                  <w:r>
                    <w:rPr>
                      <w:rFonts w:hint="eastAsia" w:ascii="Times New Roman" w:hAnsi="Times New Roman" w:eastAsia="宋体" w:cs="Times New Roman"/>
                      <w:bCs/>
                      <w:color w:val="0000FF"/>
                      <w:sz w:val="21"/>
                      <w:szCs w:val="21"/>
                      <w:lang w:val="en-US" w:eastAsia="zh-CN"/>
                    </w:rPr>
                    <w:t>（50</w:t>
                  </w:r>
                  <w:r>
                    <w:rPr>
                      <w:rFonts w:hint="default" w:ascii="Times New Roman" w:hAnsi="Times New Roman" w:eastAsia="宋体" w:cs="Times New Roman"/>
                      <w:color w:val="0000FF"/>
                      <w:sz w:val="21"/>
                      <w:szCs w:val="21"/>
                      <w:highlight w:val="none"/>
                      <w:lang w:val="en-US" w:eastAsia="zh-CN"/>
                    </w:rPr>
                    <w:t>m</w:t>
                  </w:r>
                  <w:r>
                    <w:rPr>
                      <w:rFonts w:hint="default" w:ascii="Times New Roman" w:hAnsi="Times New Roman" w:eastAsia="宋体" w:cs="Times New Roman"/>
                      <w:color w:val="0000FF"/>
                      <w:sz w:val="21"/>
                      <w:szCs w:val="21"/>
                      <w:highlight w:val="none"/>
                      <w:vertAlign w:val="superscript"/>
                      <w:lang w:val="en-US" w:eastAsia="zh-CN"/>
                    </w:rPr>
                    <w:t>3</w:t>
                  </w:r>
                  <w:r>
                    <w:rPr>
                      <w:rFonts w:hint="eastAsia" w:ascii="Times New Roman" w:hAnsi="Times New Roman" w:eastAsia="宋体" w:cs="Times New Roman"/>
                      <w:color w:val="0000FF"/>
                      <w:sz w:val="21"/>
                      <w:szCs w:val="21"/>
                      <w:highlight w:val="none"/>
                      <w:lang w:val="en-US" w:eastAsia="zh-CN"/>
                    </w:rPr>
                    <w:t>/d</w:t>
                  </w:r>
                  <w:r>
                    <w:rPr>
                      <w:rFonts w:hint="eastAsia" w:ascii="Times New Roman" w:hAnsi="Times New Roman" w:eastAsia="宋体" w:cs="Times New Roman"/>
                      <w:bCs/>
                      <w:color w:val="0000FF"/>
                      <w:sz w:val="21"/>
                      <w:szCs w:val="21"/>
                      <w:lang w:val="en-US" w:eastAsia="zh-CN"/>
                    </w:rPr>
                    <w:t>）</w:t>
                  </w:r>
                  <w:r>
                    <w:rPr>
                      <w:rFonts w:hint="eastAsia" w:ascii="Times New Roman" w:hAnsi="Times New Roman" w:eastAsia="宋体" w:cs="Times New Roman"/>
                      <w:color w:val="0000FF"/>
                      <w:sz w:val="21"/>
                      <w:szCs w:val="21"/>
                      <w:highlight w:val="none"/>
                      <w:lang w:val="en-US" w:eastAsia="zh-CN"/>
                    </w:rPr>
                    <w:t>沉淀后用于厂区洒水抑尘；</w:t>
                  </w:r>
                  <w:r>
                    <w:rPr>
                      <w:rFonts w:hint="default" w:ascii="Times New Roman" w:hAnsi="Times New Roman" w:eastAsia="宋体" w:cs="Times New Roman"/>
                      <w:color w:val="0000FF"/>
                      <w:sz w:val="21"/>
                      <w:szCs w:val="21"/>
                      <w:highlight w:val="none"/>
                      <w:lang w:val="en-US" w:eastAsia="zh-CN"/>
                    </w:rPr>
                    <w:t>场地清洗废水收集后经</w:t>
                  </w:r>
                  <w:r>
                    <w:rPr>
                      <w:rFonts w:hint="eastAsia" w:ascii="Times New Roman" w:hAnsi="Times New Roman" w:eastAsia="宋体" w:cs="Times New Roman"/>
                      <w:color w:val="0000FF"/>
                      <w:sz w:val="21"/>
                      <w:szCs w:val="21"/>
                      <w:highlight w:val="none"/>
                      <w:lang w:val="en-US" w:eastAsia="zh-CN"/>
                    </w:rPr>
                    <w:t>1#</w:t>
                  </w:r>
                  <w:r>
                    <w:rPr>
                      <w:rFonts w:hint="default" w:ascii="Times New Roman" w:hAnsi="Times New Roman" w:eastAsia="宋体" w:cs="Times New Roman"/>
                      <w:color w:val="0000FF"/>
                      <w:sz w:val="21"/>
                      <w:szCs w:val="21"/>
                      <w:highlight w:val="none"/>
                      <w:lang w:val="en-US" w:eastAsia="zh-CN"/>
                    </w:rPr>
                    <w:t>隔油沉淀池处理后循环回用于场地清洗，不外排；</w:t>
                  </w:r>
                  <w:r>
                    <w:rPr>
                      <w:rFonts w:hint="eastAsia" w:ascii="Times New Roman" w:hAnsi="Times New Roman" w:eastAsia="宋体" w:cs="Times New Roman"/>
                      <w:color w:val="0000FF"/>
                      <w:sz w:val="21"/>
                      <w:szCs w:val="21"/>
                      <w:highlight w:val="none"/>
                      <w:lang w:val="en-US" w:eastAsia="zh-CN"/>
                    </w:rPr>
                    <w:t>进出车辆冲洗废水经3#隔油</w:t>
                  </w:r>
                  <w:r>
                    <w:rPr>
                      <w:rFonts w:hint="default" w:ascii="Times New Roman" w:hAnsi="Times New Roman" w:eastAsia="宋体" w:cs="Times New Roman"/>
                      <w:color w:val="0000FF"/>
                      <w:sz w:val="21"/>
                      <w:szCs w:val="21"/>
                      <w:highlight w:val="none"/>
                    </w:rPr>
                    <w:t>沉淀池</w:t>
                  </w:r>
                  <w:r>
                    <w:rPr>
                      <w:rFonts w:hint="eastAsia" w:ascii="Times New Roman" w:hAnsi="Times New Roman" w:eastAsia="宋体" w:cs="Times New Roman"/>
                      <w:bCs/>
                      <w:color w:val="0000FF"/>
                      <w:sz w:val="21"/>
                      <w:szCs w:val="21"/>
                      <w:lang w:val="en-US" w:eastAsia="zh-CN"/>
                    </w:rPr>
                    <w:t>（30</w:t>
                  </w:r>
                  <w:r>
                    <w:rPr>
                      <w:rFonts w:hint="default" w:ascii="Times New Roman" w:hAnsi="Times New Roman" w:eastAsia="宋体" w:cs="Times New Roman"/>
                      <w:color w:val="0000FF"/>
                      <w:sz w:val="21"/>
                      <w:szCs w:val="21"/>
                      <w:highlight w:val="none"/>
                      <w:lang w:val="en-US" w:eastAsia="zh-CN"/>
                    </w:rPr>
                    <w:t>m</w:t>
                  </w:r>
                  <w:r>
                    <w:rPr>
                      <w:rFonts w:hint="default" w:ascii="Times New Roman" w:hAnsi="Times New Roman" w:eastAsia="宋体" w:cs="Times New Roman"/>
                      <w:color w:val="0000FF"/>
                      <w:sz w:val="21"/>
                      <w:szCs w:val="21"/>
                      <w:highlight w:val="none"/>
                      <w:vertAlign w:val="superscript"/>
                      <w:lang w:val="en-US" w:eastAsia="zh-CN"/>
                    </w:rPr>
                    <w:t>3</w:t>
                  </w:r>
                  <w:r>
                    <w:rPr>
                      <w:rFonts w:hint="eastAsia" w:ascii="Times New Roman" w:hAnsi="Times New Roman" w:eastAsia="宋体" w:cs="Times New Roman"/>
                      <w:color w:val="0000FF"/>
                      <w:sz w:val="21"/>
                      <w:szCs w:val="21"/>
                      <w:highlight w:val="none"/>
                      <w:lang w:val="en-US" w:eastAsia="zh-CN"/>
                    </w:rPr>
                    <w:t>/d</w:t>
                  </w:r>
                  <w:r>
                    <w:rPr>
                      <w:rFonts w:hint="eastAsia" w:ascii="Times New Roman" w:hAnsi="Times New Roman" w:eastAsia="宋体" w:cs="Times New Roman"/>
                      <w:bCs/>
                      <w:color w:val="0000FF"/>
                      <w:sz w:val="21"/>
                      <w:szCs w:val="21"/>
                      <w:lang w:val="en-US" w:eastAsia="zh-CN"/>
                    </w:rPr>
                    <w:t>）</w:t>
                  </w:r>
                  <w:r>
                    <w:rPr>
                      <w:rFonts w:hint="eastAsia" w:ascii="Times New Roman" w:hAnsi="Times New Roman" w:eastAsia="宋体" w:cs="Times New Roman"/>
                      <w:color w:val="0000FF"/>
                      <w:sz w:val="21"/>
                      <w:szCs w:val="21"/>
                      <w:highlight w:val="none"/>
                      <w:lang w:val="en-US" w:eastAsia="zh-CN"/>
                    </w:rPr>
                    <w:t>沉淀后用于车辆冲洗</w:t>
                  </w:r>
                  <w:r>
                    <w:rPr>
                      <w:rFonts w:hint="default" w:ascii="Times New Roman" w:hAnsi="Times New Roman" w:eastAsia="宋体" w:cs="Times New Roman"/>
                      <w:color w:val="0000FF"/>
                      <w:sz w:val="21"/>
                      <w:szCs w:val="21"/>
                      <w:highlight w:val="none"/>
                    </w:rPr>
                    <w:t>，不外排</w:t>
                  </w:r>
                  <w:r>
                    <w:rPr>
                      <w:rFonts w:hint="eastAsia" w:ascii="Times New Roman" w:hAnsi="Times New Roman" w:eastAsia="宋体" w:cs="Times New Roman"/>
                      <w:color w:val="0000FF"/>
                      <w:sz w:val="21"/>
                      <w:szCs w:val="21"/>
                      <w:highlight w:val="none"/>
                      <w:lang w:eastAsia="zh-CN"/>
                    </w:rPr>
                    <w:t>；</w:t>
                  </w:r>
                </w:p>
                <w:p>
                  <w:pPr>
                    <w:tabs>
                      <w:tab w:val="left" w:pos="1021"/>
                    </w:tabs>
                    <w:wordWrap/>
                    <w:spacing w:line="240" w:lineRule="auto"/>
                    <w:ind w:left="-61" w:leftChars="-29" w:firstLine="420" w:firstLineChars="200"/>
                    <w:jc w:val="left"/>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sz w:val="21"/>
                      <w:szCs w:val="21"/>
                      <w:highlight w:val="none"/>
                    </w:rPr>
                    <w:t>搅拌</w:t>
                  </w:r>
                  <w:r>
                    <w:rPr>
                      <w:rFonts w:hint="eastAsia" w:ascii="Times New Roman" w:hAnsi="Times New Roman" w:eastAsia="宋体" w:cs="Times New Roman"/>
                      <w:sz w:val="21"/>
                      <w:szCs w:val="21"/>
                      <w:highlight w:val="none"/>
                      <w:lang w:val="en-US" w:eastAsia="zh-CN"/>
                    </w:rPr>
                    <w:t>机</w:t>
                  </w:r>
                  <w:r>
                    <w:rPr>
                      <w:rFonts w:hint="default" w:ascii="Times New Roman" w:hAnsi="Times New Roman" w:eastAsia="宋体" w:cs="Times New Roman"/>
                      <w:sz w:val="21"/>
                      <w:szCs w:val="21"/>
                      <w:highlight w:val="none"/>
                    </w:rPr>
                    <w:t>清洗废水、</w:t>
                  </w:r>
                  <w:r>
                    <w:rPr>
                      <w:rFonts w:hint="eastAsia" w:ascii="Times New Roman" w:hAnsi="Times New Roman" w:eastAsia="宋体" w:cs="Times New Roman"/>
                      <w:sz w:val="21"/>
                      <w:szCs w:val="21"/>
                      <w:highlight w:val="none"/>
                      <w:lang w:val="en-US" w:eastAsia="zh-CN"/>
                    </w:rPr>
                    <w:t>罐车内壁</w:t>
                  </w:r>
                  <w:r>
                    <w:rPr>
                      <w:rFonts w:hint="default" w:ascii="Times New Roman" w:hAnsi="Times New Roman" w:eastAsia="宋体" w:cs="Times New Roman"/>
                      <w:sz w:val="21"/>
                      <w:szCs w:val="21"/>
                      <w:highlight w:val="none"/>
                    </w:rPr>
                    <w:t>清洗废水经三级沉淀池处理后回用；三级沉淀池</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bCs/>
                      <w:color w:val="0000FF"/>
                      <w:sz w:val="21"/>
                      <w:szCs w:val="21"/>
                      <w:lang w:val="en-US" w:eastAsia="zh-CN"/>
                    </w:rPr>
                    <w:t>100</w:t>
                  </w:r>
                  <w:r>
                    <w:rPr>
                      <w:rFonts w:hint="default" w:ascii="Times New Roman" w:hAnsi="Times New Roman" w:eastAsia="宋体" w:cs="Times New Roman"/>
                      <w:color w:val="0000FF"/>
                      <w:sz w:val="21"/>
                      <w:szCs w:val="21"/>
                      <w:highlight w:val="none"/>
                      <w:lang w:val="en-US" w:eastAsia="zh-CN"/>
                    </w:rPr>
                    <w:t>m</w:t>
                  </w:r>
                  <w:r>
                    <w:rPr>
                      <w:rFonts w:hint="default" w:ascii="Times New Roman" w:hAnsi="Times New Roman" w:eastAsia="宋体" w:cs="Times New Roman"/>
                      <w:color w:val="0000FF"/>
                      <w:sz w:val="21"/>
                      <w:szCs w:val="21"/>
                      <w:highlight w:val="none"/>
                      <w:vertAlign w:val="superscript"/>
                      <w:lang w:val="en-US" w:eastAsia="zh-CN"/>
                    </w:rPr>
                    <w:t>3</w:t>
                  </w:r>
                  <w:r>
                    <w:rPr>
                      <w:rFonts w:hint="eastAsia" w:ascii="Times New Roman" w:hAnsi="Times New Roman" w:eastAsia="宋体" w:cs="Times New Roman"/>
                      <w:color w:val="0000FF"/>
                      <w:sz w:val="21"/>
                      <w:szCs w:val="21"/>
                      <w:highlight w:val="none"/>
                      <w:lang w:val="en-US" w:eastAsia="zh-CN"/>
                    </w:rPr>
                    <w:t>/d</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color w:val="0000FF"/>
                      <w:sz w:val="21"/>
                      <w:szCs w:val="21"/>
                      <w:highlight w:val="none"/>
                      <w:lang w:val="en-US" w:eastAsia="zh-CN"/>
                    </w:rPr>
                    <w:t>占地</w:t>
                  </w:r>
                  <w:r>
                    <w:rPr>
                      <w:rFonts w:hint="eastAsia" w:ascii="Times New Roman" w:hAnsi="Times New Roman" w:eastAsia="宋体" w:cs="Times New Roman"/>
                      <w:color w:val="0000FF"/>
                      <w:sz w:val="21"/>
                      <w:szCs w:val="21"/>
                      <w:highlight w:val="none"/>
                      <w:lang w:val="en-US" w:eastAsia="zh-CN"/>
                    </w:rPr>
                    <w:t>约</w:t>
                  </w:r>
                  <w:r>
                    <w:rPr>
                      <w:rFonts w:hint="default" w:ascii="Times New Roman" w:hAnsi="Times New Roman" w:eastAsia="宋体" w:cs="Times New Roman"/>
                      <w:color w:val="0000FF"/>
                      <w:sz w:val="21"/>
                      <w:szCs w:val="21"/>
                      <w:highlight w:val="none"/>
                      <w:lang w:val="en-US" w:eastAsia="zh-CN"/>
                    </w:rPr>
                    <w:t>12</w:t>
                  </w:r>
                  <w:r>
                    <w:rPr>
                      <w:rFonts w:hint="default" w:ascii="Times New Roman" w:hAnsi="Times New Roman" w:eastAsia="宋体" w:cs="Times New Roman"/>
                      <w:color w:val="0000FF"/>
                      <w:sz w:val="21"/>
                      <w:szCs w:val="21"/>
                      <w:highlight w:val="none"/>
                    </w:rPr>
                    <w:t>0m</w:t>
                  </w:r>
                  <w:r>
                    <w:rPr>
                      <w:rFonts w:hint="default" w:ascii="Times New Roman" w:hAnsi="Times New Roman" w:eastAsia="宋体" w:cs="Times New Roman"/>
                      <w:color w:val="0000FF"/>
                      <w:sz w:val="21"/>
                      <w:szCs w:val="21"/>
                      <w:highlight w:val="none"/>
                      <w:vertAlign w:val="superscript"/>
                    </w:rPr>
                    <w:t>2</w:t>
                  </w:r>
                  <w:r>
                    <w:rPr>
                      <w:rFonts w:hint="default" w:ascii="Times New Roman" w:hAnsi="Times New Roman" w:eastAsia="宋体" w:cs="Times New Roman"/>
                      <w:color w:val="0000FF"/>
                      <w:sz w:val="21"/>
                      <w:szCs w:val="21"/>
                      <w:highlight w:val="none"/>
                    </w:rPr>
                    <w:t>，</w:t>
                  </w:r>
                  <w:r>
                    <w:rPr>
                      <w:rFonts w:hint="default" w:ascii="Times New Roman" w:hAnsi="Times New Roman" w:eastAsia="宋体" w:cs="Times New Roman"/>
                      <w:color w:val="0000FF"/>
                      <w:sz w:val="21"/>
                      <w:szCs w:val="21"/>
                      <w:highlight w:val="none"/>
                      <w:lang w:val="en-US" w:eastAsia="zh-CN"/>
                    </w:rPr>
                    <w:t>容积约</w:t>
                  </w:r>
                  <w:r>
                    <w:rPr>
                      <w:rFonts w:hint="eastAsia" w:ascii="Times New Roman" w:hAnsi="Times New Roman" w:eastAsia="宋体" w:cs="Times New Roman"/>
                      <w:color w:val="0000FF"/>
                      <w:sz w:val="21"/>
                      <w:szCs w:val="21"/>
                      <w:highlight w:val="none"/>
                      <w:lang w:val="en-US" w:eastAsia="zh-CN"/>
                    </w:rPr>
                    <w:t>300</w:t>
                  </w:r>
                  <w:r>
                    <w:rPr>
                      <w:rFonts w:hint="default" w:ascii="Times New Roman" w:hAnsi="Times New Roman" w:eastAsia="宋体" w:cs="Times New Roman"/>
                      <w:color w:val="0000FF"/>
                      <w:sz w:val="21"/>
                      <w:szCs w:val="21"/>
                      <w:highlight w:val="none"/>
                    </w:rPr>
                    <w:t>m</w:t>
                  </w:r>
                  <w:r>
                    <w:rPr>
                      <w:rFonts w:hint="default" w:ascii="Times New Roman" w:hAnsi="Times New Roman" w:eastAsia="宋体" w:cs="Times New Roman"/>
                      <w:color w:val="0000FF"/>
                      <w:sz w:val="21"/>
                      <w:szCs w:val="21"/>
                      <w:highlight w:val="none"/>
                      <w:vertAlign w:val="superscript"/>
                      <w:lang w:val="en-US" w:eastAsia="zh-CN"/>
                    </w:rPr>
                    <w:t>3</w:t>
                  </w:r>
                  <w:r>
                    <w:rPr>
                      <w:rFonts w:hint="eastAsia" w:ascii="Times New Roman" w:hAnsi="Times New Roman" w:eastAsia="宋体" w:cs="Times New Roman"/>
                      <w:color w:val="0000FF"/>
                      <w:sz w:val="21"/>
                      <w:szCs w:val="21"/>
                      <w:highlight w:val="none"/>
                      <w:vertAlign w:val="baseline"/>
                      <w:lang w:val="en-US" w:eastAsia="zh-CN"/>
                    </w:rPr>
                    <w:t>。</w:t>
                  </w:r>
                </w:p>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食堂废水经隔油池</w:t>
                  </w:r>
                  <w:r>
                    <w:rPr>
                      <w:rFonts w:hint="eastAsia" w:ascii="Times New Roman" w:hAnsi="Times New Roman" w:eastAsia="宋体" w:cs="Times New Roman"/>
                      <w:color w:val="0000FF"/>
                      <w:sz w:val="21"/>
                      <w:szCs w:val="21"/>
                      <w:highlight w:val="none"/>
                      <w:lang w:eastAsia="zh-CN"/>
                    </w:rPr>
                    <w:t>（</w:t>
                  </w:r>
                  <w:r>
                    <w:rPr>
                      <w:rFonts w:hint="eastAsia" w:ascii="Times New Roman" w:hAnsi="Times New Roman" w:eastAsia="宋体" w:cs="Times New Roman"/>
                      <w:color w:val="0000FF"/>
                      <w:sz w:val="21"/>
                      <w:szCs w:val="21"/>
                      <w:highlight w:val="none"/>
                      <w:lang w:val="en-US" w:eastAsia="zh-CN"/>
                    </w:rPr>
                    <w:t>处理规模2</w:t>
                  </w:r>
                  <w:r>
                    <w:rPr>
                      <w:rFonts w:hint="default" w:ascii="Times New Roman" w:hAnsi="Times New Roman" w:eastAsia="宋体" w:cs="Times New Roman"/>
                      <w:color w:val="0000FF"/>
                      <w:sz w:val="21"/>
                      <w:szCs w:val="21"/>
                      <w:highlight w:val="none"/>
                      <w:lang w:val="en-US" w:eastAsia="zh-CN"/>
                    </w:rPr>
                    <w:t>m</w:t>
                  </w:r>
                  <w:r>
                    <w:rPr>
                      <w:rFonts w:hint="default" w:ascii="Times New Roman" w:hAnsi="Times New Roman" w:eastAsia="宋体" w:cs="Times New Roman"/>
                      <w:color w:val="0000FF"/>
                      <w:sz w:val="21"/>
                      <w:szCs w:val="21"/>
                      <w:highlight w:val="none"/>
                      <w:vertAlign w:val="superscript"/>
                      <w:lang w:val="en-US" w:eastAsia="zh-CN"/>
                    </w:rPr>
                    <w:t>3</w:t>
                  </w:r>
                  <w:r>
                    <w:rPr>
                      <w:rFonts w:hint="eastAsia" w:ascii="Times New Roman" w:hAnsi="Times New Roman" w:eastAsia="宋体" w:cs="Times New Roman"/>
                      <w:color w:val="0000FF"/>
                      <w:sz w:val="21"/>
                      <w:szCs w:val="21"/>
                      <w:highlight w:val="none"/>
                      <w:lang w:val="en-US" w:eastAsia="zh-CN"/>
                    </w:rPr>
                    <w:t>/d</w:t>
                  </w:r>
                  <w:r>
                    <w:rPr>
                      <w:rFonts w:hint="eastAsia" w:ascii="Times New Roman" w:hAnsi="Times New Roman" w:eastAsia="宋体" w:cs="Times New Roman"/>
                      <w:color w:val="0000FF"/>
                      <w:sz w:val="21"/>
                      <w:szCs w:val="21"/>
                      <w:highlight w:val="none"/>
                      <w:lang w:eastAsia="zh-CN"/>
                    </w:rPr>
                    <w:t>）</w:t>
                  </w:r>
                  <w:r>
                    <w:rPr>
                      <w:rFonts w:hint="eastAsia" w:ascii="Times New Roman" w:hAnsi="Times New Roman" w:eastAsia="宋体" w:cs="Times New Roman"/>
                      <w:color w:val="0000FF"/>
                      <w:sz w:val="21"/>
                      <w:szCs w:val="21"/>
                      <w:highlight w:val="none"/>
                      <w:lang w:val="en-US" w:eastAsia="zh-CN"/>
                    </w:rPr>
                    <w:t>隔油后与其他</w:t>
                  </w:r>
                  <w:r>
                    <w:rPr>
                      <w:rFonts w:hint="default" w:ascii="Times New Roman" w:hAnsi="Times New Roman" w:eastAsia="宋体" w:cs="Times New Roman"/>
                      <w:color w:val="0000FF"/>
                      <w:sz w:val="21"/>
                      <w:szCs w:val="21"/>
                      <w:highlight w:val="none"/>
                    </w:rPr>
                    <w:t>生活废</w:t>
                  </w:r>
                  <w:r>
                    <w:rPr>
                      <w:rFonts w:hint="default" w:ascii="Times New Roman" w:hAnsi="Times New Roman" w:eastAsia="宋体" w:cs="Times New Roman"/>
                      <w:color w:val="0000FF"/>
                      <w:sz w:val="21"/>
                      <w:szCs w:val="21"/>
                      <w:highlight w:val="none"/>
                      <w:lang w:val="en-US" w:eastAsia="zh-CN"/>
                    </w:rPr>
                    <w:t>水由</w:t>
                  </w:r>
                  <w:r>
                    <w:rPr>
                      <w:rFonts w:hint="eastAsia" w:ascii="Times New Roman" w:hAnsi="Times New Roman" w:eastAsia="宋体" w:cs="Times New Roman"/>
                      <w:color w:val="0000FF"/>
                      <w:sz w:val="21"/>
                      <w:szCs w:val="21"/>
                      <w:highlight w:val="none"/>
                      <w:lang w:eastAsia="zh-CN"/>
                    </w:rPr>
                    <w:t>生化池（</w:t>
                  </w:r>
                  <w:r>
                    <w:rPr>
                      <w:rFonts w:hint="eastAsia" w:ascii="Times New Roman" w:hAnsi="Times New Roman" w:eastAsia="宋体" w:cs="Times New Roman"/>
                      <w:color w:val="0000FF"/>
                      <w:sz w:val="21"/>
                      <w:szCs w:val="21"/>
                      <w:highlight w:val="none"/>
                      <w:lang w:val="en-US" w:eastAsia="zh-CN"/>
                    </w:rPr>
                    <w:t>处理规模10</w:t>
                  </w:r>
                  <w:r>
                    <w:rPr>
                      <w:rFonts w:hint="default" w:ascii="Times New Roman" w:hAnsi="Times New Roman" w:eastAsia="宋体" w:cs="Times New Roman"/>
                      <w:color w:val="0000FF"/>
                      <w:sz w:val="21"/>
                      <w:szCs w:val="21"/>
                      <w:highlight w:val="none"/>
                      <w:lang w:val="en-US" w:eastAsia="zh-CN"/>
                    </w:rPr>
                    <w:t>m</w:t>
                  </w:r>
                  <w:r>
                    <w:rPr>
                      <w:rFonts w:hint="default" w:ascii="Times New Roman" w:hAnsi="Times New Roman" w:eastAsia="宋体" w:cs="Times New Roman"/>
                      <w:color w:val="0000FF"/>
                      <w:sz w:val="21"/>
                      <w:szCs w:val="21"/>
                      <w:highlight w:val="none"/>
                      <w:vertAlign w:val="superscript"/>
                      <w:lang w:val="en-US" w:eastAsia="zh-CN"/>
                    </w:rPr>
                    <w:t>3</w:t>
                  </w:r>
                  <w:r>
                    <w:rPr>
                      <w:rFonts w:hint="eastAsia" w:ascii="Times New Roman" w:hAnsi="Times New Roman" w:eastAsia="宋体" w:cs="Times New Roman"/>
                      <w:color w:val="0000FF"/>
                      <w:sz w:val="21"/>
                      <w:szCs w:val="21"/>
                      <w:highlight w:val="none"/>
                      <w:lang w:val="en-US" w:eastAsia="zh-CN"/>
                    </w:rPr>
                    <w:t>/d</w:t>
                  </w:r>
                  <w:r>
                    <w:rPr>
                      <w:rFonts w:hint="eastAsia" w:ascii="Times New Roman" w:hAnsi="Times New Roman" w:eastAsia="宋体" w:cs="Times New Roman"/>
                      <w:color w:val="0000FF"/>
                      <w:sz w:val="21"/>
                      <w:szCs w:val="21"/>
                      <w:highlight w:val="none"/>
                      <w:lang w:eastAsia="zh-CN"/>
                    </w:rPr>
                    <w:t>）</w:t>
                  </w:r>
                  <w:r>
                    <w:rPr>
                      <w:rFonts w:hint="eastAsia" w:ascii="Times New Roman" w:hAnsi="Times New Roman" w:eastAsia="宋体" w:cs="Times New Roman"/>
                      <w:color w:val="0000FF"/>
                      <w:sz w:val="21"/>
                      <w:szCs w:val="21"/>
                      <w:highlight w:val="none"/>
                      <w:lang w:val="en-US" w:eastAsia="zh-CN"/>
                    </w:rPr>
                    <w:t>预处理后进入</w:t>
                  </w:r>
                  <w:r>
                    <w:rPr>
                      <w:rFonts w:hint="eastAsia" w:ascii="Times New Roman" w:hAnsi="Times New Roman" w:eastAsia="宋体" w:cs="Times New Roman"/>
                      <w:color w:val="0000FF"/>
                      <w:sz w:val="21"/>
                      <w:szCs w:val="21"/>
                      <w:lang w:val="en-US" w:eastAsia="zh-CN"/>
                    </w:rPr>
                    <w:t>辰溪县污水处理厂</w:t>
                  </w:r>
                  <w:r>
                    <w:rPr>
                      <w:rFonts w:hint="eastAsia" w:ascii="Times New Roman" w:hAnsi="Times New Roman" w:eastAsia="宋体" w:cs="Times New Roman"/>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color w:val="FF0000"/>
                      <w:sz w:val="21"/>
                      <w:szCs w:val="21"/>
                    </w:rPr>
                  </w:pPr>
                </w:p>
              </w:tc>
              <w:tc>
                <w:tcPr>
                  <w:tcW w:w="903" w:type="pct"/>
                  <w:gridSpan w:val="2"/>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噪声</w:t>
                  </w:r>
                  <w:r>
                    <w:rPr>
                      <w:rFonts w:hint="default" w:ascii="Times New Roman" w:hAnsi="Times New Roman" w:eastAsia="宋体" w:cs="Times New Roman"/>
                      <w:sz w:val="21"/>
                      <w:szCs w:val="21"/>
                      <w:highlight w:val="none"/>
                    </w:rPr>
                    <w:t>处理</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设备减震器、减震垫及其他降噪措施等</w:t>
                  </w:r>
                  <w:r>
                    <w:rPr>
                      <w:rFonts w:hint="default" w:ascii="Times New Roman" w:hAnsi="Times New Roman" w:eastAsia="宋体" w:cs="Times New Roman"/>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vMerge w:val="continue"/>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rPr>
                  </w:pPr>
                </w:p>
              </w:tc>
              <w:tc>
                <w:tcPr>
                  <w:tcW w:w="903" w:type="pct"/>
                  <w:gridSpan w:val="2"/>
                  <w:vMerge w:val="restart"/>
                  <w:tcBorders>
                    <w:tl2br w:val="nil"/>
                    <w:tr2bl w:val="nil"/>
                  </w:tcBorders>
                  <w:noWrap w:val="0"/>
                  <w:vAlign w:val="center"/>
                </w:tcPr>
                <w:p>
                  <w:pPr>
                    <w:tabs>
                      <w:tab w:val="left" w:pos="1021"/>
                    </w:tabs>
                    <w:wordWrap/>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固废处置</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生活垃圾及餐厨垃圾分类收集</w:t>
                  </w:r>
                  <w:r>
                    <w:rPr>
                      <w:rFonts w:hint="default" w:ascii="Times New Roman" w:hAnsi="Times New Roman" w:eastAsia="宋体" w:cs="Times New Roman"/>
                      <w:sz w:val="21"/>
                      <w:szCs w:val="21"/>
                      <w:highlight w:val="none"/>
                      <w:u w:val="none"/>
                    </w:rPr>
                    <w:t>后交由环卫部门处理</w:t>
                  </w:r>
                  <w:r>
                    <w:rPr>
                      <w:rFonts w:hint="default" w:ascii="Times New Roman" w:hAnsi="Times New Roman" w:eastAsia="宋体" w:cs="Times New Roman"/>
                      <w:sz w:val="21"/>
                      <w:szCs w:val="21"/>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vMerge w:val="continue"/>
                  <w:tcBorders>
                    <w:tl2br w:val="nil"/>
                    <w:tr2bl w:val="nil"/>
                  </w:tcBorders>
                  <w:noWrap w:val="0"/>
                  <w:vAlign w:val="center"/>
                </w:tcPr>
                <w:p>
                  <w:pPr>
                    <w:tabs>
                      <w:tab w:val="left" w:pos="1021"/>
                    </w:tabs>
                    <w:wordWrap/>
                    <w:spacing w:line="240" w:lineRule="auto"/>
                    <w:ind w:left="-61" w:leftChars="-29"/>
                    <w:jc w:val="left"/>
                    <w:rPr>
                      <w:rFonts w:hint="default" w:ascii="Times New Roman" w:hAnsi="Times New Roman" w:eastAsia="宋体" w:cs="Times New Roman"/>
                    </w:rPr>
                  </w:pPr>
                </w:p>
              </w:tc>
              <w:tc>
                <w:tcPr>
                  <w:tcW w:w="903" w:type="pct"/>
                  <w:gridSpan w:val="2"/>
                  <w:vMerge w:val="continue"/>
                  <w:tcBorders>
                    <w:tl2br w:val="nil"/>
                    <w:tr2bl w:val="nil"/>
                  </w:tcBorders>
                  <w:noWrap w:val="0"/>
                  <w:vAlign w:val="center"/>
                </w:tcPr>
                <w:p>
                  <w:pPr>
                    <w:tabs>
                      <w:tab w:val="left" w:pos="1021"/>
                    </w:tabs>
                    <w:wordWrap/>
                    <w:spacing w:line="240" w:lineRule="auto"/>
                    <w:ind w:left="-61" w:leftChars="-29"/>
                    <w:jc w:val="left"/>
                    <w:rPr>
                      <w:rFonts w:hint="default" w:ascii="Times New Roman" w:hAnsi="Times New Roman" w:eastAsia="宋体" w:cs="Times New Roman"/>
                      <w:highlight w:val="none"/>
                    </w:rPr>
                  </w:pP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highlight w:val="none"/>
                      <w:u w:val="none"/>
                    </w:rPr>
                  </w:pPr>
                  <w:r>
                    <w:rPr>
                      <w:rFonts w:hint="default" w:ascii="Times New Roman" w:hAnsi="Times New Roman" w:eastAsia="宋体" w:cs="Times New Roman"/>
                      <w:sz w:val="21"/>
                      <w:szCs w:val="21"/>
                      <w:highlight w:val="none"/>
                      <w:u w:val="none"/>
                      <w:lang w:val="en-US" w:eastAsia="zh-CN"/>
                    </w:rPr>
                    <w:t>一般固废：</w:t>
                  </w:r>
                  <w:r>
                    <w:rPr>
                      <w:rFonts w:hint="default" w:ascii="Times New Roman" w:hAnsi="Times New Roman" w:eastAsia="宋体" w:cs="Times New Roman"/>
                      <w:sz w:val="21"/>
                      <w:szCs w:val="21"/>
                      <w:highlight w:val="none"/>
                      <w:u w:val="none"/>
                    </w:rPr>
                    <w:t>废弃混凝土和沉淀池沉渣定期清理，统一收集后作为原料回用生产工序；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vMerge w:val="continue"/>
                  <w:tcBorders>
                    <w:tl2br w:val="nil"/>
                    <w:tr2bl w:val="nil"/>
                  </w:tcBorders>
                  <w:noWrap w:val="0"/>
                  <w:vAlign w:val="center"/>
                </w:tcPr>
                <w:p>
                  <w:pPr>
                    <w:tabs>
                      <w:tab w:val="left" w:pos="1021"/>
                    </w:tabs>
                    <w:wordWrap/>
                    <w:spacing w:line="240" w:lineRule="auto"/>
                    <w:ind w:left="-61" w:leftChars="-29"/>
                    <w:jc w:val="left"/>
                    <w:rPr>
                      <w:rFonts w:hint="default" w:ascii="Times New Roman" w:hAnsi="Times New Roman" w:eastAsia="宋体" w:cs="Times New Roman"/>
                    </w:rPr>
                  </w:pPr>
                </w:p>
              </w:tc>
              <w:tc>
                <w:tcPr>
                  <w:tcW w:w="903" w:type="pct"/>
                  <w:gridSpan w:val="2"/>
                  <w:vMerge w:val="continue"/>
                  <w:tcBorders>
                    <w:tl2br w:val="nil"/>
                    <w:tr2bl w:val="nil"/>
                  </w:tcBorders>
                  <w:noWrap w:val="0"/>
                  <w:vAlign w:val="center"/>
                </w:tcPr>
                <w:p>
                  <w:pPr>
                    <w:tabs>
                      <w:tab w:val="left" w:pos="1021"/>
                    </w:tabs>
                    <w:wordWrap/>
                    <w:spacing w:line="240" w:lineRule="auto"/>
                    <w:ind w:left="-61" w:leftChars="-29"/>
                    <w:jc w:val="left"/>
                    <w:rPr>
                      <w:rFonts w:hint="default" w:ascii="Times New Roman" w:hAnsi="Times New Roman" w:eastAsia="宋体" w:cs="Times New Roman"/>
                      <w:highlight w:val="none"/>
                    </w:rPr>
                  </w:pP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eastAsia="宋体" w:cs="Times New Roman"/>
                      <w:highlight w:val="none"/>
                      <w:u w:val="none"/>
                    </w:rPr>
                  </w:pPr>
                  <w:r>
                    <w:rPr>
                      <w:rFonts w:hint="eastAsia" w:ascii="Times New Roman" w:hAnsi="Times New Roman" w:eastAsia="宋体" w:cs="Times New Roman"/>
                      <w:color w:val="0000FF"/>
                      <w:sz w:val="21"/>
                      <w:szCs w:val="21"/>
                      <w:highlight w:val="none"/>
                      <w:u w:val="none"/>
                      <w:lang w:val="en-US" w:eastAsia="zh-CN"/>
                    </w:rPr>
                    <w:t>隔油沉淀池油泥定期清掏，暂存于危废暂存间；</w:t>
                  </w:r>
                  <w:r>
                    <w:rPr>
                      <w:rFonts w:hint="default" w:ascii="Times New Roman" w:hAnsi="Times New Roman" w:eastAsia="宋体" w:cs="Times New Roman"/>
                      <w:sz w:val="21"/>
                      <w:szCs w:val="21"/>
                      <w:highlight w:val="none"/>
                      <w:u w:val="none"/>
                      <w:lang w:val="en-US" w:eastAsia="zh-CN"/>
                    </w:rPr>
                    <w:t>维修车间产生的废矿物油及</w:t>
                  </w:r>
                  <w:r>
                    <w:rPr>
                      <w:rFonts w:hint="default" w:ascii="Times New Roman" w:hAnsi="Times New Roman" w:eastAsia="宋体" w:cs="Times New Roman"/>
                      <w:sz w:val="21"/>
                      <w:szCs w:val="21"/>
                      <w:highlight w:val="none"/>
                      <w:u w:val="none"/>
                    </w:rPr>
                    <w:t>含油抹布废手</w:t>
                  </w:r>
                  <w:r>
                    <w:rPr>
                      <w:rFonts w:hint="default" w:ascii="Times New Roman" w:hAnsi="Times New Roman" w:eastAsia="宋体" w:cs="Times New Roman"/>
                      <w:sz w:val="21"/>
                      <w:szCs w:val="21"/>
                      <w:highlight w:val="none"/>
                      <w:u w:val="none"/>
                      <w:lang w:val="en-US" w:eastAsia="zh-CN"/>
                    </w:rPr>
                    <w:t>套等暂存于危废暂存间，定期交有资质的单位转运处置。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vMerge w:val="continue"/>
                  <w:tcBorders>
                    <w:tl2br w:val="nil"/>
                    <w:tr2bl w:val="nil"/>
                  </w:tcBorders>
                  <w:noWrap w:val="0"/>
                  <w:vAlign w:val="center"/>
                </w:tcPr>
                <w:p>
                  <w:pPr>
                    <w:tabs>
                      <w:tab w:val="left" w:pos="1021"/>
                    </w:tabs>
                    <w:wordWrap/>
                    <w:spacing w:line="240" w:lineRule="auto"/>
                    <w:ind w:left="-61" w:leftChars="-29"/>
                    <w:jc w:val="left"/>
                    <w:rPr>
                      <w:rFonts w:hint="default" w:ascii="Times New Roman" w:hAnsi="Times New Roman" w:eastAsia="宋体" w:cs="Times New Roman"/>
                    </w:rPr>
                  </w:pPr>
                  <w:bookmarkStart w:id="20" w:name="_Toc2762"/>
                </w:p>
              </w:tc>
              <w:tc>
                <w:tcPr>
                  <w:tcW w:w="903" w:type="pct"/>
                  <w:gridSpan w:val="2"/>
                  <w:tcBorders>
                    <w:tl2br w:val="nil"/>
                    <w:tr2bl w:val="nil"/>
                  </w:tcBorders>
                  <w:noWrap w:val="0"/>
                  <w:vAlign w:val="center"/>
                </w:tcPr>
                <w:p>
                  <w:pPr>
                    <w:wordWrap/>
                    <w:spacing w:line="240" w:lineRule="auto"/>
                    <w:ind w:left="-61" w:leftChars="-29"/>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环境风险</w:t>
                  </w:r>
                </w:p>
              </w:tc>
              <w:tc>
                <w:tcPr>
                  <w:tcW w:w="3660" w:type="pct"/>
                  <w:tcBorders>
                    <w:tl2br w:val="nil"/>
                    <w:tr2bl w:val="nil"/>
                  </w:tcBorders>
                  <w:noWrap w:val="0"/>
                  <w:vAlign w:val="center"/>
                </w:tcPr>
                <w:p>
                  <w:pPr>
                    <w:tabs>
                      <w:tab w:val="left" w:pos="1021"/>
                    </w:tabs>
                    <w:wordWrap/>
                    <w:spacing w:line="240" w:lineRule="auto"/>
                    <w:ind w:left="-61" w:leftChars="-29" w:firstLine="420" w:firstLineChars="200"/>
                    <w:jc w:val="left"/>
                    <w:rPr>
                      <w:rFonts w:hint="default" w:ascii="Times New Roman" w:hAnsi="Times New Roman" w:cs="Times New Roman"/>
                      <w:bCs/>
                      <w:color w:val="0000FF"/>
                      <w:szCs w:val="21"/>
                      <w:highlight w:val="none"/>
                      <w:lang w:val="en-US" w:eastAsia="zh-CN"/>
                    </w:rPr>
                  </w:pPr>
                  <w:r>
                    <w:rPr>
                      <w:rFonts w:hint="eastAsia" w:ascii="Times New Roman" w:hAnsi="Times New Roman" w:eastAsia="宋体" w:cs="Times New Roman"/>
                      <w:bCs/>
                      <w:color w:val="0000FF"/>
                      <w:szCs w:val="21"/>
                      <w:highlight w:val="none"/>
                      <w:lang w:val="en-US" w:eastAsia="zh-CN"/>
                    </w:rPr>
                    <w:t>污水收集设施池体及柴油储罐区、加油区底部、事故油池池体均应采取防渗措施，</w:t>
                  </w:r>
                  <w:r>
                    <w:rPr>
                      <w:rFonts w:hint="default" w:ascii="Times New Roman" w:hAnsi="Times New Roman" w:cs="Times New Roman"/>
                      <w:bCs/>
                      <w:color w:val="0000FF"/>
                      <w:szCs w:val="21"/>
                      <w:highlight w:val="none"/>
                      <w:lang w:val="en-US" w:eastAsia="zh-CN"/>
                    </w:rPr>
                    <w:t>防渗层的防渗技术要求为，不应低于厚度6.0m且渗透系数为1.0×10</w:t>
                  </w:r>
                  <w:r>
                    <w:rPr>
                      <w:rFonts w:hint="default" w:ascii="Times New Roman" w:hAnsi="Times New Roman" w:cs="Times New Roman"/>
                      <w:bCs/>
                      <w:color w:val="0000FF"/>
                      <w:szCs w:val="21"/>
                      <w:highlight w:val="none"/>
                      <w:vertAlign w:val="superscript"/>
                      <w:lang w:val="en-US" w:eastAsia="zh-CN"/>
                    </w:rPr>
                    <w:t>-7</w:t>
                  </w:r>
                  <w:r>
                    <w:rPr>
                      <w:rFonts w:hint="default" w:ascii="Times New Roman" w:hAnsi="Times New Roman" w:cs="Times New Roman"/>
                      <w:bCs/>
                      <w:color w:val="0000FF"/>
                      <w:szCs w:val="21"/>
                      <w:highlight w:val="none"/>
                      <w:lang w:val="en-US" w:eastAsia="zh-CN"/>
                    </w:rPr>
                    <w:t>cm/s等效黏土防渗层的防渗性能。</w:t>
                  </w:r>
                </w:p>
                <w:p>
                  <w:pPr>
                    <w:tabs>
                      <w:tab w:val="left" w:pos="1021"/>
                    </w:tabs>
                    <w:wordWrap/>
                    <w:spacing w:line="240" w:lineRule="auto"/>
                    <w:ind w:left="-61" w:leftChars="-29" w:firstLine="420" w:firstLineChars="200"/>
                    <w:jc w:val="left"/>
                    <w:rPr>
                      <w:rFonts w:hint="default" w:ascii="Times New Roman" w:hAnsi="Times New Roman" w:eastAsia="宋体" w:cs="Times New Roman"/>
                      <w:color w:val="0000FF"/>
                      <w:sz w:val="21"/>
                      <w:szCs w:val="21"/>
                      <w:highlight w:val="none"/>
                      <w:u w:val="none"/>
                      <w:lang w:val="en-US" w:eastAsia="zh-CN"/>
                    </w:rPr>
                  </w:pPr>
                  <w:r>
                    <w:rPr>
                      <w:rFonts w:hint="eastAsia" w:ascii="Times New Roman" w:hAnsi="Times New Roman" w:cs="Times New Roman"/>
                      <w:bCs/>
                      <w:color w:val="0000FF"/>
                      <w:szCs w:val="21"/>
                      <w:highlight w:val="none"/>
                      <w:lang w:val="en-US" w:eastAsia="zh-CN"/>
                    </w:rPr>
                    <w:t>储油区应</w:t>
                  </w:r>
                  <w:r>
                    <w:rPr>
                      <w:rFonts w:hint="default" w:ascii="Times New Roman" w:hAnsi="Times New Roman" w:cs="Times New Roman"/>
                      <w:bCs/>
                      <w:color w:val="0000FF"/>
                      <w:szCs w:val="21"/>
                      <w:highlight w:val="none"/>
                    </w:rPr>
                    <w:t>配备有</w:t>
                  </w:r>
                  <w:r>
                    <w:rPr>
                      <w:rFonts w:hint="eastAsia" w:ascii="Times New Roman" w:hAnsi="Times New Roman" w:eastAsia="宋体" w:cs="Times New Roman"/>
                      <w:bCs/>
                      <w:color w:val="0000FF"/>
                      <w:szCs w:val="21"/>
                      <w:highlight w:val="none"/>
                      <w:lang w:val="en-US" w:eastAsia="zh-CN"/>
                    </w:rPr>
                    <w:t>消防沙</w:t>
                  </w:r>
                  <w:r>
                    <w:rPr>
                      <w:rFonts w:hint="default" w:ascii="Times New Roman" w:hAnsi="Times New Roman" w:cs="Times New Roman"/>
                      <w:bCs/>
                      <w:color w:val="0000FF"/>
                      <w:szCs w:val="21"/>
                      <w:highlight w:val="none"/>
                    </w:rPr>
                    <w:t>、手提式干粉灭火器等，对每个工作人员进行消防培训</w:t>
                  </w:r>
                  <w:r>
                    <w:rPr>
                      <w:rFonts w:hint="default" w:ascii="Times New Roman" w:hAnsi="Times New Roman" w:cs="Times New Roman"/>
                      <w:bCs/>
                      <w:color w:val="0000FF"/>
                      <w:szCs w:val="21"/>
                      <w:highlight w:val="none"/>
                      <w:lang w:val="en-US" w:eastAsia="zh-CN"/>
                    </w:rPr>
                    <w:t>，</w:t>
                  </w:r>
                  <w:r>
                    <w:rPr>
                      <w:rFonts w:hint="default" w:ascii="Times New Roman" w:hAnsi="Times New Roman" w:cs="Times New Roman"/>
                      <w:bCs/>
                      <w:color w:val="0000FF"/>
                      <w:szCs w:val="21"/>
                      <w:highlight w:val="none"/>
                    </w:rPr>
                    <w:t>基底采用防渗混凝土处理，</w:t>
                  </w:r>
                  <w:r>
                    <w:rPr>
                      <w:rFonts w:hint="eastAsia" w:ascii="Times New Roman" w:hAnsi="Times New Roman" w:eastAsia="宋体" w:cs="Times New Roman"/>
                      <w:bCs/>
                      <w:color w:val="0000FF"/>
                      <w:szCs w:val="21"/>
                      <w:highlight w:val="none"/>
                      <w:lang w:val="en-US" w:eastAsia="zh-CN"/>
                    </w:rPr>
                    <w:t>储油区</w:t>
                  </w:r>
                  <w:r>
                    <w:rPr>
                      <w:rFonts w:hint="default" w:ascii="Times New Roman" w:hAnsi="Times New Roman" w:cs="Times New Roman"/>
                      <w:bCs/>
                      <w:color w:val="0000FF"/>
                      <w:szCs w:val="21"/>
                      <w:highlight w:val="none"/>
                    </w:rPr>
                    <w:t>禁止吸烟</w:t>
                  </w:r>
                  <w:r>
                    <w:rPr>
                      <w:rFonts w:hint="eastAsia" w:ascii="Times New Roman" w:hAnsi="Times New Roman" w:eastAsia="宋体" w:cs="Times New Roman"/>
                      <w:bCs/>
                      <w:color w:val="0000FF"/>
                      <w:szCs w:val="21"/>
                      <w:highlight w:val="none"/>
                      <w:lang w:val="en-US" w:eastAsia="zh-CN"/>
                    </w:rPr>
                    <w:t>及</w:t>
                  </w:r>
                  <w:r>
                    <w:rPr>
                      <w:rFonts w:hint="default" w:ascii="Times New Roman" w:hAnsi="Times New Roman" w:cs="Times New Roman"/>
                      <w:bCs/>
                      <w:color w:val="0000FF"/>
                      <w:szCs w:val="21"/>
                      <w:highlight w:val="none"/>
                    </w:rPr>
                    <w:t>明火</w:t>
                  </w:r>
                  <w:r>
                    <w:rPr>
                      <w:rFonts w:hint="eastAsia" w:ascii="Times New Roman" w:hAnsi="Times New Roman" w:eastAsia="宋体" w:cs="Times New Roman"/>
                      <w:bCs/>
                      <w:color w:val="0000FF"/>
                      <w:szCs w:val="21"/>
                      <w:highlight w:val="none"/>
                      <w:lang w:eastAsia="zh-CN"/>
                    </w:rPr>
                    <w:t>，</w:t>
                  </w:r>
                  <w:r>
                    <w:rPr>
                      <w:rFonts w:hint="eastAsia" w:ascii="Times New Roman" w:hAnsi="Times New Roman" w:eastAsia="宋体" w:cs="Times New Roman"/>
                      <w:bCs/>
                      <w:color w:val="0000FF"/>
                      <w:szCs w:val="21"/>
                      <w:highlight w:val="none"/>
                      <w:lang w:val="en-US" w:eastAsia="zh-CN"/>
                    </w:rPr>
                    <w:t>并应在显眼处张贴标识标牌。</w:t>
                  </w:r>
                </w:p>
              </w:tc>
            </w:tr>
          </w:tbl>
          <w:p>
            <w:pPr>
              <w:pStyle w:val="5"/>
              <w:spacing w:line="360" w:lineRule="auto"/>
              <w:outlineLvl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2.3项目主要设备</w:t>
            </w:r>
            <w:bookmarkEnd w:id="20"/>
          </w:p>
          <w:p>
            <w:pPr>
              <w:spacing w:before="27" w:line="360" w:lineRule="auto"/>
              <w:ind w:left="105" w:right="95" w:firstLine="489" w:firstLineChars="204"/>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本项目主要生产设备详见下表2-2。</w:t>
            </w:r>
          </w:p>
          <w:p>
            <w:pPr>
              <w:pStyle w:val="21"/>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表2-2  主要生产设备一览表</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77"/>
              <w:gridCol w:w="2384"/>
              <w:gridCol w:w="680"/>
              <w:gridCol w:w="68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序号</w:t>
                  </w:r>
                </w:p>
              </w:tc>
              <w:tc>
                <w:tcPr>
                  <w:tcW w:w="1241"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设备名称</w:t>
                  </w:r>
                </w:p>
              </w:tc>
              <w:tc>
                <w:tcPr>
                  <w:tcW w:w="1424"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规格型号</w:t>
                  </w:r>
                </w:p>
              </w:tc>
              <w:tc>
                <w:tcPr>
                  <w:tcW w:w="406"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数量</w:t>
                  </w:r>
                </w:p>
              </w:tc>
              <w:tc>
                <w:tcPr>
                  <w:tcW w:w="411"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单位</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混凝土搅拌</w:t>
                  </w:r>
                  <w:r>
                    <w:rPr>
                      <w:rFonts w:hint="eastAsia" w:ascii="Times New Roman" w:hAnsi="Times New Roman" w:eastAsia="宋体" w:cs="Times New Roman"/>
                      <w:sz w:val="21"/>
                      <w:szCs w:val="21"/>
                      <w:lang w:val="en-US" w:eastAsia="zh-CN"/>
                    </w:rPr>
                    <w:t>机</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HZS180</w:t>
                  </w:r>
                  <w:r>
                    <w:rPr>
                      <w:rFonts w:hint="default" w:ascii="Times New Roman" w:hAnsi="Times New Roman" w:eastAsia="宋体" w:cs="Times New Roman"/>
                      <w:sz w:val="21"/>
                      <w:szCs w:val="21"/>
                      <w:lang w:val="en-US" w:eastAsia="zh-CN"/>
                    </w:rPr>
                    <w:t>C8</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套</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180m</w:t>
                  </w:r>
                  <w:r>
                    <w:rPr>
                      <w:rFonts w:hint="default" w:ascii="Times New Roman" w:hAnsi="Times New Roman" w:eastAsia="宋体" w:cs="Times New Roman"/>
                      <w:bCs/>
                      <w:sz w:val="21"/>
                      <w:szCs w:val="21"/>
                      <w:vertAlign w:val="superscript"/>
                      <w:lang w:val="en-US" w:eastAsia="zh-CN"/>
                    </w:rPr>
                    <w:t>3</w:t>
                  </w:r>
                  <w:r>
                    <w:rPr>
                      <w:rFonts w:hint="default" w:ascii="Times New Roman" w:hAnsi="Times New Roman" w:eastAsia="宋体" w:cs="Times New Roman"/>
                      <w:bCs/>
                      <w:sz w:val="21"/>
                      <w:szCs w:val="21"/>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皮带输送机</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套</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砂石分离机</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NCSF-40</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1</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台</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54t/h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混凝土</w:t>
                  </w:r>
                  <w:r>
                    <w:rPr>
                      <w:rFonts w:hint="default" w:ascii="Times New Roman" w:hAnsi="Times New Roman" w:eastAsia="宋体" w:cs="Times New Roman"/>
                      <w:sz w:val="21"/>
                      <w:szCs w:val="21"/>
                      <w:lang w:val="en-US" w:eastAsia="zh-CN"/>
                    </w:rPr>
                    <w:t>搅拌</w:t>
                  </w:r>
                  <w:r>
                    <w:rPr>
                      <w:rFonts w:hint="default" w:ascii="Times New Roman" w:hAnsi="Times New Roman" w:eastAsia="宋体" w:cs="Times New Roman"/>
                      <w:sz w:val="21"/>
                      <w:szCs w:val="21"/>
                    </w:rPr>
                    <w:t>车</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SY412</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lang w:val="en-US" w:eastAsia="zh-CN"/>
                    </w:rPr>
                    <w:t>20</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辆</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容积12m</w:t>
                  </w:r>
                  <w:r>
                    <w:rPr>
                      <w:rFonts w:hint="default" w:ascii="Times New Roman" w:hAnsi="Times New Roman" w:eastAsia="宋体" w:cs="Times New Roman"/>
                      <w:bCs/>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泵车</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SYN5446THB56C8</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辆</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8.3-12Mpa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50型铲车</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855N</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辆</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载重6t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7</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砂石运输车</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DFZ5180TPBSZ5</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辆</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载重8t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8</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粉料运输车</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CTY9403GXHA</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辆</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载重28t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9</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水泥筒仓</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300t</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4</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个</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10</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矿粉筒仓</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200t</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lang w:val="en-US" w:eastAsia="zh-CN"/>
                    </w:rPr>
                    <w:t>个</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11</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粉煤灰筒仓</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200t</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lang w:val="en-US" w:eastAsia="zh-CN"/>
                    </w:rPr>
                    <w:t>个</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12</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污水搅拌装置</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NCJ-3500</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3</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套</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13</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污水压滤设备</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NCYL-60</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1</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台</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燃料为柴油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14</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脉冲式收尘机</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NCCC-36F</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8</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台</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筒仓配套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15</w:t>
                  </w:r>
                </w:p>
              </w:tc>
              <w:tc>
                <w:tcPr>
                  <w:tcW w:w="1241"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highlight w:val="none"/>
                      <w:lang w:val="en-US" w:eastAsia="zh-CN"/>
                    </w:rPr>
                    <w:t>除尘装置</w:t>
                  </w:r>
                </w:p>
              </w:tc>
              <w:tc>
                <w:tcPr>
                  <w:tcW w:w="1424"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06"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411"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套</w:t>
                  </w:r>
                </w:p>
              </w:tc>
              <w:tc>
                <w:tcPr>
                  <w:tcW w:w="1049" w:type="pct"/>
                  <w:noWrap w:val="0"/>
                  <w:vAlign w:val="center"/>
                </w:tcPr>
                <w:p>
                  <w:pPr>
                    <w:wordWrap w:val="0"/>
                    <w:spacing w:line="240" w:lineRule="auto"/>
                    <w:jc w:val="both"/>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搅拌站主机自带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noWrap w:val="0"/>
                  <w:vAlign w:val="center"/>
                </w:tcPr>
                <w:p>
                  <w:pPr>
                    <w:wordWrap w:val="0"/>
                    <w:spacing w:line="240"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w:t>
                  </w:r>
                </w:p>
              </w:tc>
              <w:tc>
                <w:tcPr>
                  <w:tcW w:w="124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降尘雾化喷淋机</w:t>
                  </w:r>
                </w:p>
              </w:tc>
              <w:tc>
                <w:tcPr>
                  <w:tcW w:w="1424"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P30</w:t>
                  </w:r>
                </w:p>
              </w:tc>
              <w:tc>
                <w:tcPr>
                  <w:tcW w:w="406"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5</w:t>
                  </w:r>
                </w:p>
              </w:tc>
              <w:tc>
                <w:tcPr>
                  <w:tcW w:w="411"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台</w:t>
                  </w:r>
                </w:p>
              </w:tc>
              <w:tc>
                <w:tcPr>
                  <w:tcW w:w="1049" w:type="pct"/>
                  <w:noWrap w:val="0"/>
                  <w:vAlign w:val="center"/>
                </w:tcPr>
                <w:p>
                  <w:pPr>
                    <w:wordWrap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r>
          </w:tbl>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产能分析：本项目</w:t>
            </w:r>
            <w:r>
              <w:rPr>
                <w:rFonts w:hint="default" w:ascii="Times New Roman" w:hAnsi="Times New Roman" w:eastAsia="宋体" w:cs="Times New Roman"/>
                <w:sz w:val="24"/>
                <w:szCs w:val="24"/>
                <w:lang w:val="en-US" w:eastAsia="zh-CN"/>
              </w:rPr>
              <w:t>生产设备主要为</w:t>
            </w:r>
            <w:r>
              <w:rPr>
                <w:rFonts w:hint="default" w:ascii="Times New Roman" w:hAnsi="Times New Roman" w:eastAsia="宋体" w:cs="Times New Roman"/>
                <w:sz w:val="24"/>
                <w:szCs w:val="24"/>
              </w:rPr>
              <w:t>HZS180</w:t>
            </w:r>
            <w:r>
              <w:rPr>
                <w:rFonts w:hint="default" w:ascii="Times New Roman" w:hAnsi="Times New Roman" w:eastAsia="宋体" w:cs="Times New Roman"/>
                <w:sz w:val="24"/>
                <w:szCs w:val="24"/>
                <w:lang w:val="en-US" w:eastAsia="zh-CN"/>
              </w:rPr>
              <w:t>C8</w:t>
            </w:r>
            <w:r>
              <w:rPr>
                <w:rFonts w:hint="default" w:ascii="Times New Roman" w:hAnsi="Times New Roman" w:eastAsia="宋体" w:cs="Times New Roman"/>
                <w:sz w:val="24"/>
                <w:szCs w:val="24"/>
              </w:rPr>
              <w:t>型混凝土搅拌</w:t>
            </w:r>
            <w:r>
              <w:rPr>
                <w:rFonts w:hint="default" w:ascii="Times New Roman" w:hAnsi="Times New Roman" w:eastAsia="宋体" w:cs="Times New Roman"/>
                <w:sz w:val="24"/>
                <w:szCs w:val="24"/>
                <w:lang w:val="en-US" w:eastAsia="zh-CN"/>
              </w:rPr>
              <w:t>站</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单条生产线</w:t>
            </w:r>
            <w:r>
              <w:rPr>
                <w:rFonts w:hint="default" w:ascii="Times New Roman" w:hAnsi="Times New Roman" w:eastAsia="宋体" w:cs="Times New Roman"/>
                <w:sz w:val="24"/>
                <w:szCs w:val="24"/>
              </w:rPr>
              <w:t>最大产能为</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bCs/>
                <w:sz w:val="24"/>
                <w:szCs w:val="24"/>
                <w:lang w:val="en-US" w:eastAsia="zh-CN"/>
              </w:rPr>
              <w:t>80m</w:t>
            </w:r>
            <w:r>
              <w:rPr>
                <w:rFonts w:hint="default" w:ascii="Times New Roman" w:hAnsi="Times New Roman" w:eastAsia="宋体" w:cs="Times New Roman"/>
                <w:bCs/>
                <w:sz w:val="24"/>
                <w:szCs w:val="24"/>
                <w:vertAlign w:val="superscript"/>
                <w:lang w:val="en-US" w:eastAsia="zh-CN"/>
              </w:rPr>
              <w:t>3</w:t>
            </w:r>
            <w:r>
              <w:rPr>
                <w:rFonts w:hint="default" w:ascii="Times New Roman" w:hAnsi="Times New Roman" w:eastAsia="宋体" w:cs="Times New Roman"/>
                <w:bCs/>
                <w:sz w:val="24"/>
                <w:szCs w:val="24"/>
                <w:lang w:val="en-US" w:eastAsia="zh-CN"/>
              </w:rPr>
              <w:t>/h</w:t>
            </w:r>
            <w:r>
              <w:rPr>
                <w:rFonts w:hint="default" w:ascii="Times New Roman" w:hAnsi="Times New Roman" w:eastAsia="宋体" w:cs="Times New Roman"/>
                <w:sz w:val="24"/>
                <w:szCs w:val="24"/>
              </w:rPr>
              <w:t>，项目按年生产时间</w:t>
            </w:r>
            <w:r>
              <w:rPr>
                <w:rFonts w:hint="default" w:ascii="Times New Roman" w:hAnsi="Times New Roman" w:eastAsia="宋体" w:cs="Times New Roman"/>
                <w:sz w:val="24"/>
                <w:szCs w:val="24"/>
                <w:lang w:val="en-US" w:eastAsia="zh-CN"/>
              </w:rPr>
              <w:t>330</w:t>
            </w:r>
            <w:r>
              <w:rPr>
                <w:rFonts w:hint="default" w:ascii="Times New Roman" w:hAnsi="Times New Roman" w:eastAsia="宋体" w:cs="Times New Roman"/>
                <w:sz w:val="24"/>
                <w:szCs w:val="24"/>
              </w:rPr>
              <w:t>天，每天</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小时制，则项目最大产能可达</w:t>
            </w:r>
            <w:r>
              <w:rPr>
                <w:rFonts w:hint="default" w:ascii="Times New Roman" w:hAnsi="Times New Roman" w:eastAsia="宋体" w:cs="Times New Roman"/>
                <w:sz w:val="24"/>
                <w:szCs w:val="24"/>
                <w:lang w:val="en-US" w:eastAsia="zh-CN"/>
              </w:rPr>
              <w:t>95.04万</w:t>
            </w:r>
            <w:r>
              <w:rPr>
                <w:rFonts w:hint="default" w:ascii="Times New Roman" w:hAnsi="Times New Roman" w:eastAsia="宋体" w:cs="Times New Roman"/>
                <w:bCs/>
                <w:sz w:val="24"/>
                <w:szCs w:val="24"/>
                <w:lang w:val="en-US" w:eastAsia="zh-CN"/>
              </w:rPr>
              <w:t>m</w:t>
            </w:r>
            <w:r>
              <w:rPr>
                <w:rFonts w:hint="default" w:ascii="Times New Roman" w:hAnsi="Times New Roman" w:eastAsia="宋体" w:cs="Times New Roman"/>
                <w:bCs/>
                <w:sz w:val="24"/>
                <w:szCs w:val="24"/>
                <w:vertAlign w:val="superscript"/>
                <w:lang w:val="en-US" w:eastAsia="zh-CN"/>
              </w:rPr>
              <w:t>3</w:t>
            </w: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lang w:val="en-US" w:eastAsia="zh-CN"/>
              </w:rPr>
              <w:t>成品运输车辆按每天运输一次计，</w:t>
            </w:r>
            <w:r>
              <w:rPr>
                <w:rFonts w:hint="default" w:ascii="Times New Roman" w:hAnsi="Times New Roman" w:eastAsia="宋体" w:cs="Times New Roman"/>
                <w:sz w:val="24"/>
                <w:szCs w:val="24"/>
              </w:rPr>
              <w:t>混凝土</w:t>
            </w:r>
            <w:r>
              <w:rPr>
                <w:rFonts w:hint="default" w:ascii="Times New Roman" w:hAnsi="Times New Roman" w:eastAsia="宋体" w:cs="Times New Roman"/>
                <w:sz w:val="24"/>
                <w:szCs w:val="24"/>
                <w:lang w:val="en-US" w:eastAsia="zh-CN"/>
              </w:rPr>
              <w:t>搅拌</w:t>
            </w:r>
            <w:r>
              <w:rPr>
                <w:rFonts w:hint="default" w:ascii="Times New Roman" w:hAnsi="Times New Roman" w:eastAsia="宋体" w:cs="Times New Roman"/>
                <w:sz w:val="24"/>
                <w:szCs w:val="24"/>
              </w:rPr>
              <w:t>车</w:t>
            </w:r>
            <w:r>
              <w:rPr>
                <w:rFonts w:hint="default" w:ascii="Times New Roman" w:hAnsi="Times New Roman" w:eastAsia="宋体" w:cs="Times New Roman"/>
                <w:sz w:val="24"/>
                <w:szCs w:val="24"/>
                <w:lang w:val="en-US" w:eastAsia="zh-CN"/>
              </w:rPr>
              <w:t>单辆</w:t>
            </w:r>
            <w:r>
              <w:rPr>
                <w:rFonts w:hint="default" w:ascii="Times New Roman" w:hAnsi="Times New Roman" w:eastAsia="宋体" w:cs="Times New Roman"/>
                <w:bCs/>
                <w:sz w:val="24"/>
                <w:szCs w:val="24"/>
                <w:lang w:val="en-US" w:eastAsia="zh-CN"/>
              </w:rPr>
              <w:t>容积12m</w:t>
            </w:r>
            <w:r>
              <w:rPr>
                <w:rFonts w:hint="default" w:ascii="Times New Roman" w:hAnsi="Times New Roman" w:eastAsia="宋体" w:cs="Times New Roman"/>
                <w:bCs/>
                <w:sz w:val="24"/>
                <w:szCs w:val="24"/>
                <w:vertAlign w:val="superscript"/>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20辆运输能力为63.36</w:t>
            </w:r>
            <w:r>
              <w:rPr>
                <w:rFonts w:hint="default" w:ascii="Times New Roman" w:hAnsi="Times New Roman" w:eastAsia="宋体" w:cs="Times New Roman"/>
                <w:bCs/>
                <w:sz w:val="24"/>
                <w:szCs w:val="24"/>
                <w:lang w:val="en-US" w:eastAsia="zh-CN"/>
              </w:rPr>
              <w:t>m</w:t>
            </w:r>
            <w:r>
              <w:rPr>
                <w:rFonts w:hint="default" w:ascii="Times New Roman" w:hAnsi="Times New Roman" w:eastAsia="宋体" w:cs="Times New Roman"/>
                <w:bCs/>
                <w:sz w:val="24"/>
                <w:szCs w:val="24"/>
                <w:vertAlign w:val="superscript"/>
                <w:lang w:val="en-US" w:eastAsia="zh-CN"/>
              </w:rPr>
              <w:t>3</w:t>
            </w: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均</w:t>
            </w:r>
            <w:r>
              <w:rPr>
                <w:rFonts w:hint="default" w:ascii="Times New Roman" w:hAnsi="Times New Roman" w:eastAsia="宋体" w:cs="Times New Roman"/>
                <w:sz w:val="24"/>
                <w:szCs w:val="24"/>
              </w:rPr>
              <w:t>大于项目年产6</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万</w:t>
            </w:r>
            <w:r>
              <w:rPr>
                <w:rFonts w:hint="default" w:ascii="Times New Roman" w:hAnsi="Times New Roman" w:eastAsia="宋体" w:cs="Times New Roman"/>
                <w:bCs/>
                <w:sz w:val="24"/>
                <w:szCs w:val="24"/>
                <w:lang w:val="en-US" w:eastAsia="zh-CN"/>
              </w:rPr>
              <w:t>m</w:t>
            </w:r>
            <w:r>
              <w:rPr>
                <w:rFonts w:hint="default" w:ascii="Times New Roman" w:hAnsi="Times New Roman" w:eastAsia="宋体" w:cs="Times New Roman"/>
                <w:bCs/>
                <w:sz w:val="24"/>
                <w:szCs w:val="24"/>
                <w:vertAlign w:val="superscript"/>
                <w:lang w:val="en-US" w:eastAsia="zh-CN"/>
              </w:rPr>
              <w:t>3</w:t>
            </w:r>
            <w:r>
              <w:rPr>
                <w:rFonts w:hint="default" w:ascii="Times New Roman" w:hAnsi="Times New Roman" w:eastAsia="宋体" w:cs="Times New Roman"/>
                <w:sz w:val="24"/>
                <w:szCs w:val="24"/>
              </w:rPr>
              <w:t>/a混凝土生产能力，项目设备能满足产能需求。</w:t>
            </w:r>
          </w:p>
          <w:p>
            <w:pPr>
              <w:pStyle w:val="5"/>
              <w:spacing w:line="360" w:lineRule="auto"/>
              <w:outlineLvl w:val="2"/>
              <w:rPr>
                <w:rFonts w:hint="default" w:ascii="Times New Roman" w:hAnsi="Times New Roman" w:eastAsia="宋体" w:cs="Times New Roman"/>
                <w:sz w:val="24"/>
                <w:szCs w:val="24"/>
              </w:rPr>
            </w:pPr>
            <w:bookmarkStart w:id="21" w:name="_Toc21488"/>
            <w:r>
              <w:rPr>
                <w:rFonts w:hint="default" w:ascii="Times New Roman" w:hAnsi="Times New Roman" w:eastAsia="宋体" w:cs="Times New Roman"/>
                <w:sz w:val="24"/>
                <w:szCs w:val="24"/>
              </w:rPr>
              <w:t>2.4主要原辅材料及能源消耗</w:t>
            </w:r>
            <w:bookmarkEnd w:id="21"/>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项目主要原辅材料及能源消耗见表2-3。</w:t>
            </w:r>
          </w:p>
          <w:p>
            <w:pPr>
              <w:pStyle w:val="24"/>
              <w:spacing w:line="240" w:lineRule="auto"/>
              <w:ind w:firstLine="420"/>
              <w:jc w:val="center"/>
              <w:rPr>
                <w:rFonts w:hint="default" w:ascii="Times New Roman" w:hAnsi="Times New Roman" w:eastAsia="宋体" w:cs="Times New Roman"/>
                <w:b/>
                <w:bCs/>
                <w:snapToGrid w:val="0"/>
                <w:color w:val="000000"/>
                <w:kern w:val="0"/>
                <w:sz w:val="21"/>
                <w:szCs w:val="21"/>
                <w:lang w:val="en-GB"/>
              </w:rPr>
            </w:pPr>
            <w:r>
              <w:rPr>
                <w:rFonts w:hint="default" w:ascii="Times New Roman" w:hAnsi="Times New Roman" w:eastAsia="宋体" w:cs="Times New Roman"/>
                <w:b/>
                <w:bCs/>
                <w:snapToGrid w:val="0"/>
                <w:color w:val="000000"/>
                <w:kern w:val="0"/>
                <w:sz w:val="21"/>
                <w:szCs w:val="21"/>
                <w:lang w:val="en-GB"/>
              </w:rPr>
              <w:t>表2-3  主要原辅材料及能源消耗一览表</w:t>
            </w:r>
          </w:p>
          <w:tbl>
            <w:tblPr>
              <w:tblStyle w:val="15"/>
              <w:tblW w:w="4997" w:type="pct"/>
              <w:jc w:val="center"/>
              <w:tblLayout w:type="autofit"/>
              <w:tblCellMar>
                <w:top w:w="15" w:type="dxa"/>
                <w:left w:w="15" w:type="dxa"/>
                <w:bottom w:w="15" w:type="dxa"/>
                <w:right w:w="15" w:type="dxa"/>
              </w:tblCellMar>
            </w:tblPr>
            <w:tblGrid>
              <w:gridCol w:w="575"/>
              <w:gridCol w:w="1044"/>
              <w:gridCol w:w="1453"/>
              <w:gridCol w:w="1624"/>
              <w:gridCol w:w="1624"/>
              <w:gridCol w:w="2057"/>
            </w:tblGrid>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序号</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名称</w:t>
                  </w:r>
                </w:p>
              </w:tc>
              <w:tc>
                <w:tcPr>
                  <w:tcW w:w="86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ind w:firstLine="17" w:firstLineChars="8"/>
                    <w:jc w:val="center"/>
                    <w:rPr>
                      <w:rFonts w:hint="default" w:ascii="Times New Roman" w:hAnsi="Times New Roman" w:eastAsia="宋体" w:cs="Times New Roman"/>
                      <w:b/>
                      <w:sz w:val="21"/>
                      <w:szCs w:val="21"/>
                    </w:rPr>
                  </w:pPr>
                  <w:r>
                    <w:rPr>
                      <w:rFonts w:hint="default" w:ascii="Times New Roman" w:hAnsi="Times New Roman" w:eastAsia="宋体" w:cs="Times New Roman"/>
                      <w:b/>
                      <w:kern w:val="0"/>
                      <w:sz w:val="21"/>
                      <w:szCs w:val="21"/>
                      <w:lang w:bidi="ar"/>
                    </w:rPr>
                    <w:t>年用量</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单位</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存储场所及方式</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ind w:firstLine="17" w:firstLineChars="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备注</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水泥</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FF"/>
                      <w:kern w:val="0"/>
                      <w:sz w:val="21"/>
                      <w:szCs w:val="21"/>
                      <w:highlight w:val="yellow"/>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158300</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t/a</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水泥筒仓</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当地采购</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2</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矿粉</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FF"/>
                      <w:kern w:val="0"/>
                      <w:sz w:val="21"/>
                      <w:szCs w:val="21"/>
                      <w:highlight w:val="yellow"/>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31200</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t/a</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粉料筒仓</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当地采购</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3</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粉煤灰</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FF"/>
                      <w:kern w:val="0"/>
                      <w:sz w:val="21"/>
                      <w:szCs w:val="21"/>
                      <w:highlight w:val="yellow"/>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24900</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t/a</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粉料筒仓</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外购</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4</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机制砂</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FF"/>
                      <w:kern w:val="0"/>
                      <w:sz w:val="21"/>
                      <w:szCs w:val="21"/>
                      <w:highlight w:val="yellow"/>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519000</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t/a</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堆料场</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当地采购</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5</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碎石</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FF"/>
                      <w:kern w:val="0"/>
                      <w:sz w:val="21"/>
                      <w:szCs w:val="21"/>
                      <w:highlight w:val="yellow"/>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594500</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t/a</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堆料场</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当地采购</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6</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外加剂</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FF"/>
                      <w:kern w:val="0"/>
                      <w:sz w:val="21"/>
                      <w:szCs w:val="21"/>
                      <w:highlight w:val="yellow"/>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4555.75</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t/a</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外加剂箱</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当地采购</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7</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z w:val="21"/>
                      <w:szCs w:val="21"/>
                    </w:rPr>
                    <w:t>电</w:t>
                  </w:r>
                </w:p>
              </w:tc>
              <w:tc>
                <w:tcPr>
                  <w:tcW w:w="86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00"/>
                      <w:kern w:val="0"/>
                      <w:sz w:val="21"/>
                      <w:szCs w:val="21"/>
                      <w:u w:val="none"/>
                      <w:lang w:val="en-US" w:eastAsia="zh-CN"/>
                    </w:rPr>
                  </w:pPr>
                  <w:r>
                    <w:rPr>
                      <w:rFonts w:hint="default" w:ascii="Times New Roman" w:hAnsi="Times New Roman" w:eastAsia="宋体" w:cs="Times New Roman"/>
                      <w:sz w:val="21"/>
                      <w:szCs w:val="21"/>
                      <w:u w:val="none"/>
                      <w:lang w:val="en-US" w:eastAsia="zh-CN"/>
                    </w:rPr>
                    <w:t>288</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万度</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240" w:lineRule="auto"/>
                    <w:jc w:val="center"/>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eastAsia="宋体" w:cs="Times New Roman"/>
                      <w:sz w:val="21"/>
                      <w:szCs w:val="21"/>
                    </w:rPr>
                    <w:t>接自</w:t>
                  </w:r>
                  <w:r>
                    <w:rPr>
                      <w:rFonts w:hint="default" w:ascii="Times New Roman" w:hAnsi="Times New Roman" w:eastAsia="宋体" w:cs="Times New Roman"/>
                      <w:sz w:val="21"/>
                      <w:szCs w:val="21"/>
                      <w:lang w:val="en-US" w:eastAsia="zh-CN"/>
                    </w:rPr>
                    <w:t>辰溪</w:t>
                  </w:r>
                  <w:r>
                    <w:rPr>
                      <w:rFonts w:hint="default" w:ascii="Times New Roman" w:hAnsi="Times New Roman" w:eastAsia="宋体" w:cs="Times New Roman"/>
                      <w:sz w:val="21"/>
                      <w:szCs w:val="21"/>
                    </w:rPr>
                    <w:t>县国家电网</w:t>
                  </w:r>
                </w:p>
              </w:tc>
            </w:tr>
            <w:tr>
              <w:tblPrEx>
                <w:tblCellMar>
                  <w:top w:w="15" w:type="dxa"/>
                  <w:left w:w="15" w:type="dxa"/>
                  <w:bottom w:w="15" w:type="dxa"/>
                  <w:right w:w="15" w:type="dxa"/>
                </w:tblCellMar>
              </w:tblPrEx>
              <w:trPr>
                <w:trHeight w:val="283"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wordWrap/>
                    <w:spacing w:line="240" w:lineRule="auto"/>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8</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FF"/>
                      <w:kern w:val="0"/>
                      <w:sz w:val="21"/>
                      <w:szCs w:val="21"/>
                      <w:highlight w:val="none"/>
                      <w:u w:val="single"/>
                      <w:lang w:val="en-US" w:eastAsia="zh-CN"/>
                    </w:rPr>
                  </w:pPr>
                  <w:r>
                    <w:rPr>
                      <w:rFonts w:hint="default" w:ascii="Times New Roman" w:hAnsi="Times New Roman" w:eastAsia="宋体" w:cs="Times New Roman"/>
                      <w:color w:val="0000FF"/>
                      <w:sz w:val="21"/>
                      <w:szCs w:val="21"/>
                      <w:highlight w:val="none"/>
                      <w:u w:val="none"/>
                    </w:rPr>
                    <w:t>水</w:t>
                  </w:r>
                </w:p>
              </w:tc>
              <w:tc>
                <w:tcPr>
                  <w:tcW w:w="86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FF"/>
                      <w:kern w:val="0"/>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130680</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FF"/>
                      <w:kern w:val="0"/>
                      <w:sz w:val="21"/>
                      <w:szCs w:val="21"/>
                      <w:highlight w:val="none"/>
                      <w:lang w:val="en-US" w:eastAsia="zh-CN"/>
                    </w:rPr>
                  </w:pPr>
                  <w:r>
                    <w:rPr>
                      <w:rFonts w:hint="default" w:ascii="Times New Roman" w:hAnsi="Times New Roman" w:eastAsia="宋体" w:cs="Times New Roman"/>
                      <w:color w:val="0000FF"/>
                      <w:sz w:val="21"/>
                      <w:szCs w:val="21"/>
                      <w:highlight w:val="none"/>
                      <w:u w:val="none"/>
                      <w:lang w:val="en-US" w:eastAsia="zh-CN"/>
                    </w:rPr>
                    <w:t>m</w:t>
                  </w:r>
                  <w:r>
                    <w:rPr>
                      <w:rFonts w:hint="default" w:ascii="Times New Roman" w:hAnsi="Times New Roman" w:eastAsia="宋体" w:cs="Times New Roman"/>
                      <w:color w:val="0000FF"/>
                      <w:sz w:val="21"/>
                      <w:szCs w:val="21"/>
                      <w:highlight w:val="none"/>
                      <w:u w:val="none"/>
                      <w:vertAlign w:val="superscript"/>
                      <w:lang w:val="en-US" w:eastAsia="zh-CN"/>
                    </w:rPr>
                    <w:t>3</w:t>
                  </w:r>
                  <w:r>
                    <w:rPr>
                      <w:rFonts w:hint="default" w:ascii="Times New Roman" w:hAnsi="Times New Roman" w:eastAsia="宋体" w:cs="Times New Roman"/>
                      <w:color w:val="0000FF"/>
                      <w:sz w:val="21"/>
                      <w:szCs w:val="21"/>
                      <w:highlight w:val="none"/>
                      <w:u w:val="none"/>
                      <w:lang w:val="en-US" w:eastAsia="zh-CN"/>
                    </w:rPr>
                    <w:t>/a</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default" w:ascii="Times New Roman" w:hAnsi="Times New Roman" w:eastAsia="宋体" w:cs="Times New Roman"/>
                      <w:color w:val="0000FF"/>
                      <w:sz w:val="21"/>
                      <w:szCs w:val="21"/>
                      <w:lang w:val="en-US" w:eastAsia="zh-CN"/>
                    </w:rPr>
                    <w:t>-</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wordWrap/>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eastAsia" w:ascii="Times New Roman" w:hAnsi="Times New Roman" w:eastAsia="宋体" w:cs="Times New Roman"/>
                      <w:color w:val="0000FF"/>
                      <w:sz w:val="21"/>
                      <w:szCs w:val="21"/>
                      <w:lang w:val="en-US" w:eastAsia="zh-CN"/>
                    </w:rPr>
                    <w:t>新鲜用水，不含回用水量</w:t>
                  </w:r>
                </w:p>
              </w:tc>
            </w:tr>
          </w:tbl>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原辅料的理化性质及毒性毒理情况：</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①</w:t>
            </w:r>
            <w:r>
              <w:rPr>
                <w:rFonts w:hint="default" w:ascii="Times New Roman" w:hAnsi="Times New Roman" w:eastAsia="宋体" w:cs="Times New Roman"/>
                <w:sz w:val="24"/>
                <w:szCs w:val="24"/>
              </w:rPr>
              <w:t>水泥：细磨成粉末状，加入适量水后，可成为塑性浆体，既能在空气中硬化，又能在水中硬化，并能将砂、石等材料牢固地胶结在一起的水硬性胶凝材料，</w:t>
            </w:r>
            <w:r>
              <w:rPr>
                <w:rFonts w:hint="default" w:ascii="Times New Roman" w:hAnsi="Times New Roman" w:eastAsia="宋体" w:cs="Times New Roman"/>
                <w:sz w:val="24"/>
                <w:szCs w:val="24"/>
                <w:lang w:eastAsia="zh-CN"/>
              </w:rPr>
              <w:t>统称</w:t>
            </w:r>
            <w:r>
              <w:rPr>
                <w:rFonts w:hint="default" w:ascii="Times New Roman" w:hAnsi="Times New Roman" w:eastAsia="宋体" w:cs="Times New Roman"/>
                <w:sz w:val="24"/>
                <w:szCs w:val="24"/>
              </w:rPr>
              <w:t>为水泥。水泥特别适用于制造混凝土、预制混凝土、清水混凝土、</w:t>
            </w:r>
            <w:r>
              <w:rPr>
                <w:rFonts w:hint="default" w:ascii="Times New Roman" w:hAnsi="Times New Roman" w:eastAsia="宋体" w:cs="Times New Roman"/>
                <w:sz w:val="24"/>
                <w:szCs w:val="24"/>
                <w:lang w:eastAsia="zh-CN"/>
              </w:rPr>
              <w:t>黏合剂</w:t>
            </w:r>
            <w:r>
              <w:rPr>
                <w:rFonts w:hint="default" w:ascii="Times New Roman" w:hAnsi="Times New Roman" w:eastAsia="宋体" w:cs="Times New Roman"/>
                <w:sz w:val="24"/>
                <w:szCs w:val="24"/>
              </w:rPr>
              <w:t>等特别场合，普遍用于彩色路面砖、透水砖、文化石、雕塑工艺品、水磨石、耐磨地坪、腻子等，具有高光线反射性能，使制造的路边石、路标、路中央分隔线拥有更高的交通安全性能。</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rPr>
              <w:t>粉煤灰：粉煤灰是从煤燃烧后的烟气中收捕的细灰，粉煤灰是燃煤电厂排出的主要固废。粉煤灰是我国当前排量较大的工业废渣之一，随着电力工业的发展，燃煤电厂的粉煤灰排放量逐年增加。粉煤灰可作为混凝土的掺合料。</w:t>
            </w:r>
          </w:p>
          <w:p>
            <w:pPr>
              <w:pStyle w:val="24"/>
              <w:spacing w:line="360" w:lineRule="auto"/>
              <w:ind w:firstLine="420"/>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③</w:t>
            </w:r>
            <w:r>
              <w:rPr>
                <w:rFonts w:hint="eastAsia" w:ascii="Times New Roman" w:hAnsi="Times New Roman" w:eastAsia="宋体" w:cs="Times New Roman"/>
                <w:color w:val="0000FF"/>
                <w:sz w:val="24"/>
                <w:szCs w:val="24"/>
                <w:lang w:val="en-US" w:eastAsia="zh-CN"/>
              </w:rPr>
              <w:t>矿粉：是用水淬高炉矿渣，经干燥，粉磨等工艺处理后得到的高细度，高活性粉料。</w:t>
            </w:r>
          </w:p>
          <w:p>
            <w:pPr>
              <w:pStyle w:val="24"/>
              <w:spacing w:line="360" w:lineRule="auto"/>
              <w:ind w:firstLine="420"/>
              <w:rPr>
                <w:rFonts w:hint="default"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lang w:val="en-US" w:eastAsia="zh-CN"/>
              </w:rPr>
              <w:t>④碎石：</w:t>
            </w:r>
            <w:r>
              <w:rPr>
                <w:rFonts w:hint="default" w:ascii="Times New Roman" w:hAnsi="Times New Roman" w:eastAsia="宋体" w:cs="Times New Roman"/>
                <w:color w:val="0000FF"/>
                <w:sz w:val="24"/>
                <w:szCs w:val="24"/>
              </w:rPr>
              <w:t>来源于采石加工场，包括多种规格，主要成分为石灰岩石质，是混凝土的主要骨料。</w:t>
            </w:r>
          </w:p>
          <w:p>
            <w:pPr>
              <w:pStyle w:val="24"/>
              <w:spacing w:line="360" w:lineRule="auto"/>
              <w:ind w:firstLine="420"/>
              <w:rPr>
                <w:rFonts w:hint="eastAsia" w:ascii="Times New Roman" w:hAnsi="Times New Roman" w:eastAsia="宋体" w:cs="Times New Roman"/>
                <w:color w:val="0000FF"/>
                <w:sz w:val="24"/>
                <w:szCs w:val="24"/>
                <w:lang w:eastAsia="zh-CN"/>
              </w:rPr>
            </w:pPr>
            <w:r>
              <w:rPr>
                <w:rFonts w:hint="eastAsia" w:ascii="Times New Roman" w:hAnsi="Times New Roman" w:eastAsia="宋体" w:cs="Times New Roman"/>
                <w:color w:val="0000FF"/>
                <w:sz w:val="24"/>
                <w:szCs w:val="24"/>
                <w:lang w:val="en-US" w:eastAsia="zh-CN"/>
              </w:rPr>
              <w:t>⑤</w:t>
            </w:r>
            <w:r>
              <w:rPr>
                <w:rFonts w:hint="default" w:ascii="Times New Roman" w:hAnsi="Times New Roman" w:eastAsia="宋体" w:cs="Times New Roman"/>
                <w:color w:val="0000FF"/>
                <w:sz w:val="24"/>
                <w:szCs w:val="24"/>
              </w:rPr>
              <w:t>机制砂</w:t>
            </w:r>
            <w:r>
              <w:rPr>
                <w:rFonts w:hint="eastAsia" w:ascii="Times New Roman" w:hAnsi="Times New Roman" w:eastAsia="宋体" w:cs="Times New Roman"/>
                <w:color w:val="0000FF"/>
                <w:sz w:val="24"/>
                <w:szCs w:val="24"/>
                <w:lang w:eastAsia="zh-CN"/>
              </w:rPr>
              <w:t>：</w:t>
            </w:r>
            <w:r>
              <w:rPr>
                <w:rFonts w:hint="default" w:ascii="Times New Roman" w:hAnsi="Times New Roman" w:eastAsia="宋体" w:cs="Times New Roman"/>
                <w:color w:val="0000FF"/>
                <w:sz w:val="24"/>
                <w:szCs w:val="24"/>
              </w:rPr>
              <w:t>通过</w:t>
            </w:r>
            <w:r>
              <w:rPr>
                <w:rFonts w:hint="default" w:ascii="Times New Roman" w:hAnsi="Times New Roman" w:eastAsia="宋体" w:cs="Times New Roman"/>
                <w:color w:val="0000FF"/>
                <w:sz w:val="24"/>
                <w:szCs w:val="24"/>
              </w:rPr>
              <w:fldChar w:fldCharType="begin"/>
            </w:r>
            <w:r>
              <w:rPr>
                <w:rFonts w:hint="default" w:ascii="Times New Roman" w:hAnsi="Times New Roman" w:eastAsia="宋体" w:cs="Times New Roman"/>
                <w:color w:val="0000FF"/>
                <w:sz w:val="24"/>
                <w:szCs w:val="24"/>
              </w:rPr>
              <w:instrText xml:space="preserve"> HYPERLINK "https://baike.baidu.com/item/%E5%88%B6%E7%A0%82%E6%9C%BA/10908832?fromModule=lemma_inlink" \t "https://baike.baidu.com/item/_blank" </w:instrText>
            </w:r>
            <w:r>
              <w:rPr>
                <w:rFonts w:hint="default" w:ascii="Times New Roman" w:hAnsi="Times New Roman" w:eastAsia="宋体" w:cs="Times New Roman"/>
                <w:color w:val="0000FF"/>
                <w:sz w:val="24"/>
                <w:szCs w:val="24"/>
              </w:rPr>
              <w:fldChar w:fldCharType="separate"/>
            </w:r>
            <w:r>
              <w:rPr>
                <w:rFonts w:hint="default" w:ascii="Times New Roman" w:hAnsi="Times New Roman" w:eastAsia="宋体" w:cs="Times New Roman"/>
                <w:color w:val="0000FF"/>
                <w:sz w:val="24"/>
                <w:szCs w:val="24"/>
              </w:rPr>
              <w:t>制砂机</w:t>
            </w:r>
            <w:r>
              <w:rPr>
                <w:rFonts w:hint="default" w:ascii="Times New Roman" w:hAnsi="Times New Roman" w:eastAsia="宋体" w:cs="Times New Roman"/>
                <w:color w:val="0000FF"/>
                <w:sz w:val="24"/>
                <w:szCs w:val="24"/>
              </w:rPr>
              <w:fldChar w:fldCharType="end"/>
            </w:r>
            <w:r>
              <w:rPr>
                <w:rFonts w:hint="default" w:ascii="Times New Roman" w:hAnsi="Times New Roman" w:eastAsia="宋体" w:cs="Times New Roman"/>
                <w:color w:val="0000FF"/>
                <w:sz w:val="24"/>
                <w:szCs w:val="24"/>
              </w:rPr>
              <w:t>和其它附属设备加工而成的砂子</w:t>
            </w:r>
            <w:r>
              <w:rPr>
                <w:rFonts w:hint="eastAsia" w:ascii="Times New Roman" w:hAnsi="Times New Roman" w:eastAsia="宋体" w:cs="Times New Roman"/>
                <w:color w:val="0000FF"/>
                <w:sz w:val="24"/>
                <w:szCs w:val="24"/>
                <w:lang w:eastAsia="zh-CN"/>
              </w:rPr>
              <w:t>。</w:t>
            </w:r>
          </w:p>
          <w:p>
            <w:pPr>
              <w:pStyle w:val="24"/>
              <w:spacing w:line="360" w:lineRule="auto"/>
              <w:ind w:firstLine="42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⑥</w:t>
            </w:r>
            <w:r>
              <w:rPr>
                <w:rFonts w:hint="default" w:ascii="Times New Roman" w:hAnsi="Times New Roman" w:eastAsia="宋体" w:cs="Times New Roman"/>
                <w:sz w:val="24"/>
                <w:szCs w:val="24"/>
              </w:rPr>
              <w:t>外加剂：本项目使用的外加剂为聚羧酸高性能减水剂，</w:t>
            </w:r>
            <w:r>
              <w:rPr>
                <w:rFonts w:hint="default" w:ascii="Times New Roman" w:hAnsi="Times New Roman" w:eastAsia="宋体" w:cs="Times New Roman"/>
                <w:sz w:val="24"/>
                <w:szCs w:val="24"/>
                <w:lang w:val="en-US" w:eastAsia="zh-CN"/>
              </w:rPr>
              <w:t>是以</w:t>
            </w:r>
            <w:r>
              <w:rPr>
                <w:rFonts w:hint="default" w:ascii="Times New Roman" w:hAnsi="Times New Roman" w:eastAsia="宋体" w:cs="Times New Roman"/>
                <w:sz w:val="24"/>
                <w:szCs w:val="24"/>
              </w:rPr>
              <w:t>聚羧酸</w:t>
            </w:r>
            <w:r>
              <w:rPr>
                <w:rFonts w:hint="default" w:ascii="Times New Roman" w:hAnsi="Times New Roman" w:eastAsia="宋体" w:cs="Times New Roman"/>
                <w:sz w:val="24"/>
                <w:szCs w:val="24"/>
                <w:lang w:val="en-US" w:eastAsia="zh-CN"/>
              </w:rPr>
              <w:t>盐为主体的多种高分子有机化合物，经接枝共聚生成的，属当今世界技术领先的环保型混凝土外加剂。</w:t>
            </w:r>
            <w:r>
              <w:rPr>
                <w:rFonts w:hint="default" w:ascii="Times New Roman" w:hAnsi="Times New Roman" w:eastAsia="宋体" w:cs="Times New Roman"/>
                <w:sz w:val="24"/>
                <w:szCs w:val="24"/>
              </w:rPr>
              <w:t>具有增稠、保水、增强、延长砂浆开放时间等多种性能，可以提高砂浆的各种物理、化学性能和耐久性。本产品为非易燃、易爆水溶性溶液，无腐蚀、无毒害作用。</w:t>
            </w:r>
          </w:p>
          <w:p>
            <w:pPr>
              <w:pStyle w:val="24"/>
              <w:spacing w:line="360" w:lineRule="auto"/>
              <w:ind w:left="0" w:leftChars="0" w:firstLine="0" w:firstLineChars="0"/>
              <w:rPr>
                <w:rFonts w:hint="default" w:ascii="Times New Roman" w:hAnsi="Times New Roman" w:eastAsia="宋体" w:cs="Times New Roman"/>
                <w:sz w:val="24"/>
                <w:szCs w:val="24"/>
              </w:rPr>
            </w:pPr>
            <w:r>
              <w:drawing>
                <wp:inline distT="0" distB="0" distL="114300" distR="114300">
                  <wp:extent cx="5337810" cy="3157855"/>
                  <wp:effectExtent l="0" t="0" r="15240" b="444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3"/>
                          <a:stretch>
                            <a:fillRect/>
                          </a:stretch>
                        </pic:blipFill>
                        <pic:spPr>
                          <a:xfrm>
                            <a:off x="0" y="0"/>
                            <a:ext cx="5337810" cy="3157855"/>
                          </a:xfrm>
                          <a:prstGeom prst="rect">
                            <a:avLst/>
                          </a:prstGeom>
                          <a:noFill/>
                          <a:ln>
                            <a:noFill/>
                          </a:ln>
                        </pic:spPr>
                      </pic:pic>
                    </a:graphicData>
                  </a:graphic>
                </wp:inline>
              </w:drawing>
            </w:r>
          </w:p>
          <w:p>
            <w:pPr>
              <w:pStyle w:val="5"/>
              <w:spacing w:line="360" w:lineRule="auto"/>
              <w:jc w:val="center"/>
              <w:outlineLvl w:val="2"/>
              <w:rPr>
                <w:rFonts w:hint="default" w:ascii="Times New Roman" w:hAnsi="Times New Roman" w:eastAsia="宋体" w:cs="Times New Roman"/>
                <w:sz w:val="24"/>
                <w:szCs w:val="24"/>
                <w:highlight w:val="none"/>
                <w:lang w:val="en-US" w:eastAsia="zh-CN"/>
              </w:rPr>
            </w:pPr>
            <w:bookmarkStart w:id="22" w:name="_Toc12147"/>
            <w:r>
              <w:rPr>
                <w:rFonts w:hint="eastAsia" w:ascii="Times New Roman" w:hAnsi="Times New Roman" w:eastAsia="宋体" w:cs="Times New Roman"/>
                <w:sz w:val="24"/>
                <w:szCs w:val="24"/>
                <w:highlight w:val="none"/>
                <w:lang w:val="en-US" w:eastAsia="zh-CN"/>
              </w:rPr>
              <w:t>图2-1 物料平衡图（t/a）</w:t>
            </w:r>
          </w:p>
          <w:p>
            <w:pPr>
              <w:pStyle w:val="5"/>
              <w:spacing w:line="360" w:lineRule="auto"/>
              <w:outlineLvl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2.5产品方案</w:t>
            </w:r>
            <w:bookmarkEnd w:id="22"/>
          </w:p>
          <w:p>
            <w:pPr>
              <w:pStyle w:val="24"/>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本项目主要的产品方案见表2-4。</w:t>
            </w:r>
          </w:p>
          <w:p>
            <w:pPr>
              <w:pStyle w:val="24"/>
              <w:spacing w:line="240" w:lineRule="auto"/>
              <w:ind w:firstLine="420"/>
              <w:jc w:val="center"/>
              <w:rPr>
                <w:rFonts w:hint="default" w:ascii="Times New Roman" w:hAnsi="Times New Roman" w:eastAsia="宋体" w:cs="Times New Roman"/>
                <w:b/>
                <w:bCs/>
                <w:snapToGrid w:val="0"/>
                <w:color w:val="000000"/>
                <w:kern w:val="0"/>
                <w:sz w:val="21"/>
                <w:szCs w:val="21"/>
                <w:lang w:val="en-GB"/>
              </w:rPr>
            </w:pPr>
            <w:r>
              <w:rPr>
                <w:rFonts w:hint="default" w:ascii="Times New Roman" w:hAnsi="Times New Roman" w:eastAsia="宋体" w:cs="Times New Roman"/>
                <w:b/>
                <w:bCs/>
                <w:snapToGrid w:val="0"/>
                <w:color w:val="000000"/>
                <w:kern w:val="0"/>
                <w:sz w:val="21"/>
                <w:szCs w:val="21"/>
                <w:lang w:val="en-GB"/>
              </w:rPr>
              <w:t>表2-4  主要产品一览表</w:t>
            </w:r>
          </w:p>
          <w:tbl>
            <w:tblPr>
              <w:tblStyle w:val="15"/>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722"/>
              <w:gridCol w:w="166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2" w:type="pct"/>
                  <w:noWrap w:val="0"/>
                  <w:vAlign w:val="center"/>
                </w:tcPr>
                <w:p>
                  <w:pPr>
                    <w:wordWrap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产品名称</w:t>
                  </w:r>
                </w:p>
              </w:tc>
              <w:tc>
                <w:tcPr>
                  <w:tcW w:w="1026" w:type="pct"/>
                  <w:noWrap w:val="0"/>
                  <w:vAlign w:val="center"/>
                </w:tcPr>
                <w:p>
                  <w:pPr>
                    <w:wordWrap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年产量（</w:t>
                  </w:r>
                  <w:r>
                    <w:rPr>
                      <w:rFonts w:hint="default" w:ascii="Times New Roman" w:hAnsi="Times New Roman" w:eastAsia="宋体" w:cs="Times New Roman"/>
                      <w:bCs/>
                      <w:sz w:val="21"/>
                      <w:szCs w:val="21"/>
                      <w:lang w:val="en-US" w:eastAsia="zh-CN"/>
                    </w:rPr>
                    <w:t>m</w:t>
                  </w:r>
                  <w:r>
                    <w:rPr>
                      <w:rFonts w:hint="default" w:ascii="Times New Roman" w:hAnsi="Times New Roman" w:eastAsia="宋体" w:cs="Times New Roman"/>
                      <w:bCs/>
                      <w:sz w:val="21"/>
                      <w:szCs w:val="21"/>
                      <w:vertAlign w:val="superscript"/>
                      <w:lang w:val="en-US" w:eastAsia="zh-CN"/>
                    </w:rPr>
                    <w:t>3</w:t>
                  </w:r>
                  <w:r>
                    <w:rPr>
                      <w:rFonts w:hint="default" w:ascii="Times New Roman" w:hAnsi="Times New Roman" w:eastAsia="宋体" w:cs="Times New Roman"/>
                      <w:bCs/>
                      <w:sz w:val="21"/>
                      <w:szCs w:val="21"/>
                    </w:rPr>
                    <w:t>/a）</w:t>
                  </w:r>
                </w:p>
              </w:tc>
              <w:tc>
                <w:tcPr>
                  <w:tcW w:w="992" w:type="pct"/>
                  <w:noWrap w:val="0"/>
                  <w:vAlign w:val="center"/>
                </w:tcPr>
                <w:p>
                  <w:pPr>
                    <w:wordWrap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产品去向</w:t>
                  </w:r>
                </w:p>
              </w:tc>
              <w:tc>
                <w:tcPr>
                  <w:tcW w:w="2288" w:type="pct"/>
                  <w:noWrap w:val="0"/>
                  <w:vAlign w:val="center"/>
                </w:tcPr>
                <w:p>
                  <w:pPr>
                    <w:wordWrap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2" w:type="pct"/>
                  <w:noWrap w:val="0"/>
                  <w:vAlign w:val="center"/>
                </w:tcPr>
                <w:p>
                  <w:pPr>
                    <w:wordWrap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混凝土</w:t>
                  </w:r>
                </w:p>
              </w:tc>
              <w:tc>
                <w:tcPr>
                  <w:tcW w:w="1026" w:type="pct"/>
                  <w:noWrap w:val="0"/>
                  <w:vAlign w:val="center"/>
                </w:tcPr>
                <w:p>
                  <w:pPr>
                    <w:wordWrap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60万</w:t>
                  </w:r>
                </w:p>
              </w:tc>
              <w:tc>
                <w:tcPr>
                  <w:tcW w:w="992" w:type="pct"/>
                  <w:noWrap w:val="0"/>
                  <w:vAlign w:val="center"/>
                </w:tcPr>
                <w:p>
                  <w:pPr>
                    <w:wordWrap w:val="0"/>
                    <w:jc w:val="center"/>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C10-C60</w:t>
                  </w:r>
                </w:p>
              </w:tc>
              <w:tc>
                <w:tcPr>
                  <w:tcW w:w="2288" w:type="pct"/>
                  <w:noWrap w:val="0"/>
                  <w:vAlign w:val="center"/>
                </w:tcPr>
                <w:p>
                  <w:pPr>
                    <w:wordWrap w:val="0"/>
                    <w:jc w:val="center"/>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不在厂内存储，搅拌罐车外运</w:t>
                  </w:r>
                </w:p>
              </w:tc>
            </w:tr>
          </w:tbl>
          <w:p>
            <w:pPr>
              <w:pStyle w:val="5"/>
              <w:spacing w:line="360" w:lineRule="auto"/>
              <w:outlineLvl w:val="2"/>
              <w:rPr>
                <w:rFonts w:hint="default" w:ascii="Times New Roman" w:hAnsi="Times New Roman" w:eastAsia="宋体" w:cs="Times New Roman"/>
                <w:sz w:val="24"/>
                <w:szCs w:val="24"/>
              </w:rPr>
            </w:pPr>
            <w:bookmarkStart w:id="23" w:name="_Toc15799"/>
            <w:r>
              <w:rPr>
                <w:rFonts w:hint="default" w:ascii="Times New Roman" w:hAnsi="Times New Roman" w:eastAsia="宋体" w:cs="Times New Roman"/>
                <w:sz w:val="24"/>
                <w:szCs w:val="24"/>
              </w:rPr>
              <w:t>2.6公用工程</w:t>
            </w:r>
            <w:bookmarkEnd w:id="23"/>
          </w:p>
          <w:p>
            <w:pPr>
              <w:pStyle w:val="24"/>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1、给水</w:t>
            </w:r>
          </w:p>
          <w:p>
            <w:pPr>
              <w:pStyle w:val="24"/>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本项目用水为</w:t>
            </w:r>
            <w:r>
              <w:rPr>
                <w:rFonts w:hint="eastAsia" w:ascii="Times New Roman" w:hAnsi="Times New Roman" w:eastAsia="宋体" w:cs="Times New Roman"/>
                <w:sz w:val="24"/>
                <w:szCs w:val="24"/>
                <w:lang w:val="en-US" w:eastAsia="zh-CN"/>
              </w:rPr>
              <w:t>进出车辆冲洗用水、</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lang w:val="en-US" w:eastAsia="zh-CN"/>
              </w:rPr>
              <w:t>清洗用水、</w:t>
            </w:r>
            <w:r>
              <w:rPr>
                <w:rFonts w:hint="eastAsia" w:ascii="Times New Roman" w:hAnsi="Times New Roman" w:eastAsia="宋体" w:cs="Times New Roman"/>
                <w:sz w:val="24"/>
                <w:szCs w:val="24"/>
                <w:lang w:val="en-US" w:eastAsia="zh-CN"/>
              </w:rPr>
              <w:t>搅拌站清洗用水、</w:t>
            </w:r>
            <w:r>
              <w:rPr>
                <w:rFonts w:hint="default" w:ascii="Times New Roman" w:hAnsi="Times New Roman" w:eastAsia="宋体" w:cs="Times New Roman"/>
                <w:sz w:val="24"/>
                <w:szCs w:val="24"/>
                <w:lang w:val="en-US" w:eastAsia="zh-CN"/>
              </w:rPr>
              <w:t>场地清洗用水、</w:t>
            </w:r>
            <w:r>
              <w:rPr>
                <w:rFonts w:hint="eastAsia" w:ascii="Times New Roman" w:hAnsi="Times New Roman" w:eastAsia="宋体" w:cs="Times New Roman"/>
                <w:sz w:val="24"/>
                <w:szCs w:val="24"/>
                <w:lang w:val="en-US" w:eastAsia="zh-CN"/>
              </w:rPr>
              <w:t>产品配料用水、</w:t>
            </w:r>
            <w:r>
              <w:rPr>
                <w:rFonts w:hint="default" w:ascii="Times New Roman" w:hAnsi="Times New Roman" w:eastAsia="宋体" w:cs="Times New Roman"/>
                <w:sz w:val="24"/>
                <w:szCs w:val="24"/>
                <w:lang w:val="en-US" w:eastAsia="zh-CN"/>
              </w:rPr>
              <w:t>喷雾降尘用水及员工生活用水。</w:t>
            </w:r>
          </w:p>
          <w:p>
            <w:pPr>
              <w:pStyle w:val="24"/>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2、排水</w:t>
            </w:r>
          </w:p>
          <w:p>
            <w:pPr>
              <w:tabs>
                <w:tab w:val="left" w:pos="1021"/>
              </w:tabs>
              <w:wordWrap/>
              <w:spacing w:line="360" w:lineRule="auto"/>
              <w:ind w:left="-61" w:leftChars="-29" w:firstLine="480" w:firstLineChars="200"/>
              <w:jc w:val="left"/>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sz w:val="24"/>
                <w:szCs w:val="24"/>
                <w:lang w:val="en-US" w:eastAsia="zh-CN"/>
              </w:rPr>
              <w:t>本项目废水主要为</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lang w:val="en-US" w:eastAsia="zh-CN"/>
              </w:rPr>
              <w:t>清洗废水、</w:t>
            </w:r>
            <w:r>
              <w:rPr>
                <w:rFonts w:hint="eastAsia" w:ascii="Times New Roman" w:hAnsi="Times New Roman" w:eastAsia="宋体" w:cs="Times New Roman"/>
                <w:sz w:val="24"/>
                <w:szCs w:val="24"/>
                <w:lang w:val="en-US" w:eastAsia="zh-CN"/>
              </w:rPr>
              <w:t>进出车辆冲洗废水、</w:t>
            </w:r>
            <w:r>
              <w:rPr>
                <w:rFonts w:hint="default" w:ascii="Times New Roman" w:hAnsi="Times New Roman" w:eastAsia="宋体" w:cs="Times New Roman"/>
                <w:sz w:val="24"/>
                <w:szCs w:val="24"/>
                <w:lang w:val="en-US" w:eastAsia="zh-CN"/>
              </w:rPr>
              <w:t>场地清洗废水、喷雾降尘废水、生活废水和初期雨水</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。本项目采取雨污分流，</w:t>
            </w:r>
            <w:r>
              <w:rPr>
                <w:rFonts w:hint="default" w:ascii="Times New Roman" w:hAnsi="Times New Roman" w:eastAsia="宋体" w:cs="Times New Roman"/>
                <w:sz w:val="24"/>
                <w:szCs w:val="24"/>
                <w:highlight w:val="none"/>
              </w:rPr>
              <w:t>搅拌</w:t>
            </w:r>
            <w:r>
              <w:rPr>
                <w:rFonts w:hint="eastAsia" w:ascii="Times New Roman" w:hAnsi="Times New Roman" w:eastAsia="宋体" w:cs="Times New Roman"/>
                <w:sz w:val="24"/>
                <w:szCs w:val="24"/>
                <w:highlight w:val="none"/>
                <w:lang w:val="en-US" w:eastAsia="zh-CN"/>
              </w:rPr>
              <w:t>站</w:t>
            </w:r>
            <w:r>
              <w:rPr>
                <w:rFonts w:hint="default" w:ascii="Times New Roman" w:hAnsi="Times New Roman" w:eastAsia="宋体" w:cs="Times New Roman"/>
                <w:sz w:val="24"/>
                <w:szCs w:val="24"/>
                <w:highlight w:val="none"/>
              </w:rPr>
              <w:t>清洗废水、</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highlight w:val="none"/>
              </w:rPr>
              <w:t>清洗废水经三级沉淀池沉淀处理后回用于生产；</w:t>
            </w:r>
            <w:r>
              <w:rPr>
                <w:rFonts w:hint="eastAsia" w:ascii="Times New Roman" w:hAnsi="Times New Roman" w:eastAsia="宋体" w:cs="Times New Roman"/>
                <w:sz w:val="24"/>
                <w:szCs w:val="24"/>
                <w:highlight w:val="none"/>
                <w:lang w:val="en-US" w:eastAsia="zh-CN"/>
              </w:rPr>
              <w:t>搅拌区</w:t>
            </w:r>
            <w:r>
              <w:rPr>
                <w:rFonts w:hint="default" w:ascii="Times New Roman" w:hAnsi="Times New Roman" w:eastAsia="宋体" w:cs="Times New Roman"/>
                <w:sz w:val="24"/>
                <w:szCs w:val="24"/>
                <w:lang w:val="en-US" w:eastAsia="zh-CN"/>
              </w:rPr>
              <w:t>场地清洗废水</w:t>
            </w:r>
            <w:r>
              <w:rPr>
                <w:rFonts w:hint="eastAsia" w:ascii="Times New Roman" w:hAnsi="Times New Roman" w:eastAsia="宋体" w:cs="Times New Roman"/>
                <w:sz w:val="24"/>
                <w:szCs w:val="24"/>
                <w:lang w:val="en-US" w:eastAsia="zh-CN"/>
              </w:rPr>
              <w:t>与搅拌区、堆场区初期雨水</w:t>
            </w:r>
            <w:r>
              <w:rPr>
                <w:rFonts w:hint="default" w:ascii="Times New Roman" w:hAnsi="Times New Roman" w:eastAsia="宋体" w:cs="Times New Roman"/>
                <w:sz w:val="24"/>
                <w:szCs w:val="24"/>
                <w:lang w:val="en-US" w:eastAsia="zh-CN"/>
              </w:rPr>
              <w:t>收集后</w:t>
            </w:r>
            <w:r>
              <w:rPr>
                <w:rFonts w:hint="default" w:ascii="Times New Roman" w:hAnsi="Times New Roman" w:eastAsia="宋体" w:cs="Times New Roman"/>
                <w:color w:val="0000FF"/>
                <w:sz w:val="24"/>
                <w:szCs w:val="24"/>
                <w:lang w:val="en-US" w:eastAsia="zh-CN"/>
              </w:rPr>
              <w:t>经</w:t>
            </w:r>
            <w:r>
              <w:rPr>
                <w:rFonts w:hint="eastAsia" w:ascii="Times New Roman" w:hAnsi="Times New Roman" w:eastAsia="宋体" w:cs="Times New Roman"/>
                <w:color w:val="0000FF"/>
                <w:sz w:val="24"/>
                <w:szCs w:val="24"/>
                <w:lang w:val="en-US" w:eastAsia="zh-CN"/>
              </w:rPr>
              <w:t>1#</w:t>
            </w:r>
            <w:r>
              <w:rPr>
                <w:rFonts w:hint="default" w:ascii="Times New Roman" w:hAnsi="Times New Roman" w:eastAsia="宋体" w:cs="Times New Roman"/>
                <w:color w:val="0000FF"/>
                <w:sz w:val="24"/>
                <w:szCs w:val="24"/>
                <w:lang w:val="en-US" w:eastAsia="zh-CN"/>
              </w:rPr>
              <w:t>隔油沉淀池处理后循环回用于场地清洗，不外排</w:t>
            </w:r>
            <w:r>
              <w:rPr>
                <w:rFonts w:hint="default" w:ascii="Times New Roman" w:hAnsi="Times New Roman" w:eastAsia="宋体" w:cs="Times New Roman"/>
                <w:bCs/>
                <w:color w:val="0000FF"/>
                <w:sz w:val="24"/>
                <w:szCs w:val="24"/>
                <w:lang w:val="en-US" w:eastAsia="zh-CN"/>
              </w:rPr>
              <w:t>；</w:t>
            </w:r>
            <w:r>
              <w:rPr>
                <w:rFonts w:hint="eastAsia" w:ascii="Times New Roman" w:hAnsi="Times New Roman" w:eastAsia="宋体" w:cs="Times New Roman"/>
                <w:bCs/>
                <w:color w:val="0000FF"/>
                <w:sz w:val="24"/>
                <w:szCs w:val="24"/>
                <w:lang w:val="en-US" w:eastAsia="zh-CN"/>
              </w:rPr>
              <w:t>停车场初期雨水经过2#隔油沉淀池沉淀后用于厂区洒水抑尘；进出车辆冲洗废水经3#隔油</w:t>
            </w:r>
            <w:r>
              <w:rPr>
                <w:rFonts w:hint="default" w:ascii="Times New Roman" w:hAnsi="Times New Roman" w:eastAsia="宋体" w:cs="Times New Roman"/>
                <w:bCs/>
                <w:color w:val="0000FF"/>
                <w:sz w:val="24"/>
                <w:szCs w:val="24"/>
                <w:lang w:val="en-US" w:eastAsia="zh-CN"/>
              </w:rPr>
              <w:t>沉淀池</w:t>
            </w:r>
            <w:r>
              <w:rPr>
                <w:rFonts w:hint="eastAsia" w:ascii="Times New Roman" w:hAnsi="Times New Roman" w:eastAsia="宋体" w:cs="Times New Roman"/>
                <w:bCs/>
                <w:color w:val="0000FF"/>
                <w:sz w:val="24"/>
                <w:szCs w:val="24"/>
                <w:lang w:val="en-US" w:eastAsia="zh-CN"/>
              </w:rPr>
              <w:t>沉淀后用于车辆冲洗</w:t>
            </w:r>
            <w:r>
              <w:rPr>
                <w:rFonts w:hint="default" w:ascii="Times New Roman" w:hAnsi="Times New Roman" w:eastAsia="宋体" w:cs="Times New Roman"/>
                <w:bCs/>
                <w:color w:val="0000FF"/>
                <w:sz w:val="24"/>
                <w:szCs w:val="24"/>
                <w:lang w:val="en-US" w:eastAsia="zh-CN"/>
              </w:rPr>
              <w:t>，不外排</w:t>
            </w:r>
            <w:r>
              <w:rPr>
                <w:rFonts w:hint="eastAsia" w:ascii="Times New Roman" w:hAnsi="Times New Roman" w:eastAsia="宋体" w:cs="Times New Roman"/>
                <w:bCs/>
                <w:color w:val="0000FF"/>
                <w:sz w:val="24"/>
                <w:szCs w:val="24"/>
                <w:lang w:val="en-US" w:eastAsia="zh-CN"/>
              </w:rPr>
              <w:t>；</w:t>
            </w:r>
            <w:r>
              <w:rPr>
                <w:rFonts w:hint="default" w:ascii="Times New Roman" w:hAnsi="Times New Roman" w:eastAsia="宋体" w:cs="Times New Roman"/>
                <w:sz w:val="24"/>
                <w:szCs w:val="24"/>
                <w:lang w:val="en-US" w:eastAsia="zh-CN"/>
              </w:rPr>
              <w:t>喷雾降尘用水全部蒸发损耗，无废水产生或外排；食堂废水经隔油池处理后和其它生活污水经厂区</w:t>
            </w:r>
            <w:r>
              <w:rPr>
                <w:rFonts w:hint="eastAsia" w:ascii="Times New Roman" w:hAnsi="Times New Roman" w:eastAsia="宋体" w:cs="Times New Roman"/>
                <w:color w:val="0000FF"/>
                <w:sz w:val="24"/>
                <w:szCs w:val="24"/>
                <w:lang w:val="en-US" w:eastAsia="zh-CN"/>
              </w:rPr>
              <w:t>生化池收集处理后接入</w:t>
            </w:r>
            <w:r>
              <w:rPr>
                <w:rFonts w:hint="eastAsia" w:ascii="Times New Roman" w:hAnsi="Times New Roman" w:eastAsia="宋体" w:cs="Times New Roman"/>
                <w:color w:val="0000FF"/>
                <w:sz w:val="24"/>
                <w:szCs w:val="24"/>
                <w:lang w:val="en-US" w:eastAsia="zh-CN"/>
              </w:rPr>
              <w:t>辰溪县污水处理厂。</w:t>
            </w:r>
          </w:p>
          <w:p>
            <w:pPr>
              <w:pStyle w:val="24"/>
              <w:spacing w:line="360" w:lineRule="auto"/>
              <w:ind w:left="0" w:leftChars="0" w:firstLine="0" w:firstLineChars="0"/>
              <w:rPr>
                <w:rFonts w:hint="default" w:ascii="Times New Roman" w:hAnsi="Times New Roman" w:eastAsia="宋体" w:cs="Times New Roman"/>
                <w:sz w:val="24"/>
                <w:szCs w:val="24"/>
                <w:lang w:val="en-US" w:eastAsia="zh-CN"/>
              </w:rPr>
            </w:pPr>
            <w:r>
              <w:drawing>
                <wp:inline distT="0" distB="0" distL="114300" distR="114300">
                  <wp:extent cx="5330190" cy="6969125"/>
                  <wp:effectExtent l="0" t="0" r="3810" b="317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4"/>
                          <a:stretch>
                            <a:fillRect/>
                          </a:stretch>
                        </pic:blipFill>
                        <pic:spPr>
                          <a:xfrm>
                            <a:off x="0" y="0"/>
                            <a:ext cx="5330190" cy="6969125"/>
                          </a:xfrm>
                          <a:prstGeom prst="rect">
                            <a:avLst/>
                          </a:prstGeom>
                          <a:noFill/>
                          <a:ln>
                            <a:noFill/>
                          </a:ln>
                        </pic:spPr>
                      </pic:pic>
                    </a:graphicData>
                  </a:graphic>
                </wp:inline>
              </w:drawing>
            </w:r>
          </w:p>
          <w:p>
            <w:pPr>
              <w:pStyle w:val="24"/>
              <w:spacing w:line="360" w:lineRule="auto"/>
              <w:ind w:firstLine="42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图2-1 项目水平衡图（最大日用水量，单位m</w:t>
            </w:r>
            <w:r>
              <w:rPr>
                <w:rFonts w:hint="eastAsia" w:ascii="Times New Roman" w:hAnsi="Times New Roman" w:eastAsia="宋体" w:cs="Times New Roman"/>
                <w:b/>
                <w:bCs/>
                <w:sz w:val="24"/>
                <w:szCs w:val="24"/>
                <w:vertAlign w:val="superscript"/>
                <w:lang w:val="en-US" w:eastAsia="zh-CN"/>
              </w:rPr>
              <w:t>3</w:t>
            </w:r>
            <w:r>
              <w:rPr>
                <w:rFonts w:hint="eastAsia" w:ascii="Times New Roman" w:hAnsi="Times New Roman" w:eastAsia="宋体" w:cs="Times New Roman"/>
                <w:b/>
                <w:bCs/>
                <w:sz w:val="24"/>
                <w:szCs w:val="24"/>
                <w:lang w:val="en-US" w:eastAsia="zh-CN"/>
              </w:rPr>
              <w:t>/d）</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3、供电系统</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项目厂内单独设</w:t>
            </w:r>
            <w:r>
              <w:rPr>
                <w:rFonts w:hint="default" w:ascii="Times New Roman" w:hAnsi="Times New Roman" w:eastAsia="宋体" w:cs="Times New Roman"/>
                <w:sz w:val="24"/>
                <w:szCs w:val="24"/>
                <w:lang w:val="en-US" w:eastAsia="zh-CN"/>
              </w:rPr>
              <w:t>发配电间</w:t>
            </w:r>
            <w:r>
              <w:rPr>
                <w:rFonts w:hint="default" w:ascii="Times New Roman" w:hAnsi="Times New Roman" w:eastAsia="宋体" w:cs="Times New Roman"/>
                <w:sz w:val="24"/>
                <w:szCs w:val="24"/>
              </w:rPr>
              <w:t>，电力由当地供电公司提供。</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4、供热</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本项目办公室、实验室采用空调制热、制冷。</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5、运输道路</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本项目厂区</w:t>
            </w:r>
            <w:r>
              <w:rPr>
                <w:rFonts w:hint="default" w:ascii="Times New Roman" w:hAnsi="Times New Roman" w:eastAsia="宋体" w:cs="Times New Roman"/>
                <w:sz w:val="24"/>
                <w:szCs w:val="24"/>
                <w:lang w:val="en-US" w:eastAsia="zh-CN"/>
              </w:rPr>
              <w:t>南侧临近乡道</w:t>
            </w:r>
            <w:r>
              <w:rPr>
                <w:rFonts w:hint="default" w:ascii="Times New Roman" w:hAnsi="Times New Roman" w:eastAsia="宋体" w:cs="Times New Roman"/>
                <w:sz w:val="24"/>
                <w:szCs w:val="24"/>
              </w:rPr>
              <w:t>，主要原辅材料和成品运输可通过</w:t>
            </w:r>
            <w:r>
              <w:rPr>
                <w:rFonts w:hint="default" w:ascii="Times New Roman" w:hAnsi="Times New Roman" w:eastAsia="宋体" w:cs="Times New Roman"/>
                <w:sz w:val="24"/>
                <w:szCs w:val="24"/>
                <w:lang w:val="en-US" w:eastAsia="zh-CN"/>
              </w:rPr>
              <w:t>乡道</w:t>
            </w:r>
            <w:r>
              <w:rPr>
                <w:rFonts w:hint="default" w:ascii="Times New Roman" w:hAnsi="Times New Roman" w:eastAsia="宋体" w:cs="Times New Roman"/>
                <w:sz w:val="24"/>
                <w:szCs w:val="24"/>
              </w:rPr>
              <w:t>进行。</w:t>
            </w:r>
          </w:p>
          <w:p>
            <w:pPr>
              <w:pStyle w:val="5"/>
              <w:spacing w:line="360" w:lineRule="auto"/>
              <w:outlineLvl w:val="2"/>
              <w:rPr>
                <w:rFonts w:hint="default" w:ascii="Times New Roman" w:hAnsi="Times New Roman" w:eastAsia="宋体" w:cs="Times New Roman"/>
                <w:sz w:val="24"/>
                <w:szCs w:val="24"/>
              </w:rPr>
            </w:pPr>
            <w:bookmarkStart w:id="24" w:name="_Toc8046"/>
            <w:r>
              <w:rPr>
                <w:rFonts w:hint="default" w:ascii="Times New Roman" w:hAnsi="Times New Roman" w:eastAsia="宋体" w:cs="Times New Roman"/>
                <w:sz w:val="24"/>
                <w:szCs w:val="24"/>
              </w:rPr>
              <w:t>2.7劳动定员及工作制度</w:t>
            </w:r>
            <w:bookmarkEnd w:id="24"/>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本项目劳动定员为</w:t>
            </w:r>
            <w:r>
              <w:rPr>
                <w:rFonts w:hint="default" w:ascii="Times New Roman" w:hAnsi="Times New Roman" w:eastAsia="宋体" w:cs="Times New Roman"/>
                <w:sz w:val="24"/>
                <w:szCs w:val="24"/>
                <w:lang w:val="en-US" w:eastAsia="zh-CN"/>
              </w:rPr>
              <w:t>70</w:t>
            </w:r>
            <w:r>
              <w:rPr>
                <w:rFonts w:hint="default" w:ascii="Times New Roman" w:hAnsi="Times New Roman" w:eastAsia="宋体" w:cs="Times New Roman"/>
                <w:sz w:val="24"/>
                <w:szCs w:val="24"/>
              </w:rPr>
              <w:t>人，</w:t>
            </w:r>
            <w:r>
              <w:rPr>
                <w:rFonts w:hint="default" w:ascii="Times New Roman" w:hAnsi="Times New Roman" w:eastAsia="宋体" w:cs="Times New Roman"/>
                <w:sz w:val="24"/>
                <w:szCs w:val="24"/>
                <w:lang w:val="en-US" w:eastAsia="zh-CN"/>
              </w:rPr>
              <w:t>其中约10人住宿</w:t>
            </w:r>
            <w:r>
              <w:rPr>
                <w:rFonts w:hint="default" w:ascii="Times New Roman" w:hAnsi="Times New Roman" w:eastAsia="宋体" w:cs="Times New Roman"/>
                <w:sz w:val="24"/>
                <w:szCs w:val="24"/>
              </w:rPr>
              <w:t>，年工作</w:t>
            </w:r>
            <w:r>
              <w:rPr>
                <w:rFonts w:hint="default" w:ascii="Times New Roman" w:hAnsi="Times New Roman" w:eastAsia="宋体" w:cs="Times New Roman"/>
                <w:sz w:val="24"/>
                <w:szCs w:val="24"/>
                <w:lang w:val="en-US" w:eastAsia="zh-CN"/>
              </w:rPr>
              <w:t>330</w:t>
            </w:r>
            <w:r>
              <w:rPr>
                <w:rFonts w:hint="default" w:ascii="Times New Roman" w:hAnsi="Times New Roman" w:eastAsia="宋体" w:cs="Times New Roman"/>
                <w:sz w:val="24"/>
                <w:szCs w:val="24"/>
              </w:rPr>
              <w:t>天，生产班制为1班</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小时制，夜间不进行生产。</w:t>
            </w:r>
          </w:p>
          <w:p>
            <w:pPr>
              <w:pStyle w:val="5"/>
              <w:spacing w:line="360" w:lineRule="auto"/>
              <w:outlineLvl w:val="2"/>
              <w:rPr>
                <w:rFonts w:hint="default" w:ascii="Times New Roman" w:hAnsi="Times New Roman" w:eastAsia="宋体" w:cs="Times New Roman"/>
                <w:sz w:val="24"/>
                <w:szCs w:val="24"/>
              </w:rPr>
            </w:pPr>
            <w:bookmarkStart w:id="25" w:name="_Toc18418"/>
            <w:r>
              <w:rPr>
                <w:rFonts w:hint="default" w:ascii="Times New Roman" w:hAnsi="Times New Roman" w:eastAsia="宋体" w:cs="Times New Roman"/>
                <w:sz w:val="24"/>
                <w:szCs w:val="24"/>
              </w:rPr>
              <w:t>2.8平面布置</w:t>
            </w:r>
            <w:bookmarkEnd w:id="25"/>
          </w:p>
          <w:p>
            <w:pPr>
              <w:spacing w:before="180" w:line="360" w:lineRule="auto"/>
              <w:ind w:left="105" w:right="165" w:firstLine="489"/>
              <w:rPr>
                <w:rFonts w:hint="default" w:ascii="Times New Roman" w:hAnsi="Times New Roman" w:eastAsia="宋体" w:cs="Times New Roman"/>
                <w:spacing w:val="9"/>
                <w:sz w:val="24"/>
                <w:szCs w:val="24"/>
                <w:highlight w:val="none"/>
                <w:u w:val="none" w:color="auto"/>
                <w:lang w:val="en-US" w:eastAsia="zh-CN"/>
              </w:rPr>
            </w:pPr>
            <w:r>
              <w:rPr>
                <w:rFonts w:hint="default" w:ascii="Times New Roman" w:hAnsi="Times New Roman" w:eastAsia="宋体" w:cs="Times New Roman"/>
                <w:spacing w:val="9"/>
                <w:sz w:val="24"/>
                <w:szCs w:val="24"/>
                <w:highlight w:val="none"/>
                <w:u w:val="none" w:color="auto"/>
                <w:lang w:val="en-US" w:eastAsia="zh-CN"/>
              </w:rPr>
              <w:t>厂区原料堆场、搅拌楼及三级沉淀池位于厂区北部，门卫室、洗车区位于厂区南部，综合楼、宿舍、卫生间、污水处理设施位于厂区西南部，停车场及维修车间、危废暂存间、储油区位于厂区东南部。</w:t>
            </w:r>
          </w:p>
          <w:p>
            <w:pPr>
              <w:pStyle w:val="24"/>
              <w:spacing w:line="36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spacing w:val="9"/>
                <w:kern w:val="0"/>
                <w:sz w:val="24"/>
                <w:szCs w:val="24"/>
                <w:highlight w:val="none"/>
                <w:u w:val="none" w:color="auto"/>
                <w:lang w:val="en-US" w:eastAsia="zh-CN"/>
              </w:rPr>
              <w:t>厂区内布局合理、物流顺畅，卫生条件和交通、安全、消防均满足企业需要及行业要求。项目平面布置图详见附图2。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37" w:type="dxa"/>
            <w:noWrap w:val="0"/>
            <w:vAlign w:val="center"/>
          </w:tcPr>
          <w:p>
            <w:pPr>
              <w:pStyle w:val="13"/>
              <w:adjustRightInd w:val="0"/>
              <w:snapToGrid w:val="0"/>
              <w:spacing w:before="0" w:beforeAutospacing="0" w:after="0" w:afterAutospacing="0"/>
              <w:jc w:val="center"/>
              <w:rPr>
                <w:rFonts w:hint="default" w:ascii="Times New Roman" w:hAnsi="Times New Roman" w:eastAsia="宋体" w:cs="Times New Roman"/>
                <w:sz w:val="21"/>
                <w:szCs w:val="21"/>
              </w:rPr>
            </w:pPr>
            <w:r>
              <w:rPr>
                <w:rFonts w:hint="default" w:ascii="Times New Roman" w:hAnsi="Times New Roman" w:eastAsia="宋体" w:cs="Times New Roman"/>
                <w:bCs/>
                <w:snapToGrid w:val="0"/>
                <w:color w:val="000000"/>
                <w:kern w:val="0"/>
                <w:sz w:val="24"/>
                <w:szCs w:val="24"/>
                <w:lang w:val="en-US" w:eastAsia="zh-CN"/>
              </w:rPr>
              <w:t>工艺流程和产排污环节</w:t>
            </w:r>
          </w:p>
        </w:tc>
        <w:tc>
          <w:tcPr>
            <w:tcW w:w="8624" w:type="dxa"/>
            <w:noWrap w:val="0"/>
            <w:vAlign w:val="top"/>
          </w:tcPr>
          <w:p>
            <w:pPr>
              <w:pStyle w:val="5"/>
              <w:outlineLvl w:val="2"/>
              <w:rPr>
                <w:rFonts w:hint="default" w:ascii="Times New Roman" w:hAnsi="Times New Roman" w:eastAsia="宋体" w:cs="Times New Roman"/>
                <w:sz w:val="24"/>
                <w:szCs w:val="24"/>
              </w:rPr>
            </w:pPr>
            <w:bookmarkStart w:id="26" w:name="_Toc19424"/>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工艺流程及简述</w:t>
            </w:r>
            <w:bookmarkEnd w:id="26"/>
          </w:p>
          <w:p>
            <w:pPr>
              <w:pStyle w:val="24"/>
              <w:numPr>
                <w:ilvl w:val="0"/>
                <w:numId w:val="3"/>
              </w:numPr>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w:t>
            </w:r>
          </w:p>
          <w:p>
            <w:pPr>
              <w:pStyle w:val="24"/>
              <w:numPr>
                <w:ilvl w:val="0"/>
                <w:numId w:val="0"/>
              </w:numPr>
              <w:rPr>
                <w:rFonts w:hint="default" w:ascii="Times New Roman" w:hAnsi="Times New Roman" w:eastAsia="宋体" w:cs="Times New Roman"/>
                <w:sz w:val="24"/>
                <w:szCs w:val="24"/>
              </w:rPr>
            </w:pPr>
            <w:r>
              <w:rPr>
                <w:rFonts w:hint="default" w:ascii="Times New Roman" w:hAnsi="Times New Roman" w:eastAsia="宋体" w:cs="Times New Roman"/>
              </w:rPr>
              <w:object>
                <v:shape id="_x0000_i1025" o:spt="75" type="#_x0000_t75" style="height:77pt;width:421.05pt;" o:ole="t" filled="f" o:preferrelative="t" stroked="f" coordsize="21600,21600">
                  <v:path/>
                  <v:fill on="f" focussize="0,0"/>
                  <v:stroke on="f"/>
                  <v:imagedata r:id="rId16" o:title=""/>
                  <o:lock v:ext="edit" aspectratio="f"/>
                  <w10:wrap type="none"/>
                  <w10:anchorlock/>
                </v:shape>
                <o:OLEObject Type="Embed" ProgID="Visio.Drawing.11" ShapeID="_x0000_i1025" DrawAspect="Content" ObjectID="_1468075725" r:id="rId15">
                  <o:LockedField>false</o:LockedField>
                </o:OLEObject>
              </w:object>
            </w:r>
          </w:p>
          <w:p>
            <w:pPr>
              <w:pStyle w:val="24"/>
              <w:ind w:firstLine="420"/>
              <w:jc w:val="center"/>
              <w:rPr>
                <w:rFonts w:hint="default" w:ascii="Times New Roman" w:hAnsi="Times New Roman" w:eastAsia="宋体" w:cs="Times New Roman"/>
                <w:sz w:val="21"/>
                <w:szCs w:val="21"/>
              </w:rPr>
            </w:pPr>
            <w:r>
              <w:rPr>
                <w:rFonts w:hint="default" w:ascii="Times New Roman" w:hAnsi="Times New Roman" w:eastAsia="宋体" w:cs="Times New Roman"/>
                <w:sz w:val="24"/>
                <w:szCs w:val="24"/>
              </w:rPr>
              <w:t>图2-2  施工期施工流程及排污节点图</w:t>
            </w: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施工采用机械与人工结合的施工方法，施工机械主要有混凝土运送车、挖掘机、装载机、大型载重车、振捣机、切割机、电焊机等。主要施工工艺有：场地平整，设备安装，配套设施土建施工等。</w:t>
            </w: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项目在综合楼用地范围内设置临时施工营地，施工期污染物有扬尘、施工人员生活污水、设备噪声以及包装废弃物与施工人员生活垃圾。</w:t>
            </w:r>
          </w:p>
          <w:p>
            <w:pPr>
              <w:pStyle w:val="24"/>
              <w:numPr>
                <w:ilvl w:val="0"/>
                <w:numId w:val="3"/>
              </w:numPr>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营运期</w:t>
            </w:r>
          </w:p>
          <w:p>
            <w:pPr>
              <w:pStyle w:val="21"/>
              <w:rPr>
                <w:rFonts w:hint="default" w:ascii="Times New Roman" w:hAnsi="Times New Roman" w:eastAsia="宋体" w:cs="Times New Roman"/>
              </w:rPr>
            </w:pPr>
            <w:r>
              <w:drawing>
                <wp:inline distT="0" distB="0" distL="114300" distR="114300">
                  <wp:extent cx="5364480" cy="4235450"/>
                  <wp:effectExtent l="0" t="0" r="7620" b="1270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7"/>
                          <a:stretch>
                            <a:fillRect/>
                          </a:stretch>
                        </pic:blipFill>
                        <pic:spPr>
                          <a:xfrm>
                            <a:off x="0" y="0"/>
                            <a:ext cx="5364480" cy="4235450"/>
                          </a:xfrm>
                          <a:prstGeom prst="rect">
                            <a:avLst/>
                          </a:prstGeom>
                          <a:noFill/>
                          <a:ln>
                            <a:noFill/>
                          </a:ln>
                        </pic:spPr>
                      </pic:pic>
                    </a:graphicData>
                  </a:graphic>
                </wp:inline>
              </w:drawing>
            </w:r>
          </w:p>
          <w:p>
            <w:pPr>
              <w:pStyle w:val="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图2-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工艺流程及产污环节图</w:t>
            </w:r>
          </w:p>
          <w:p>
            <w:pPr>
              <w:pStyle w:val="36"/>
              <w:rPr>
                <w:rFonts w:hint="default" w:ascii="Times New Roman" w:hAnsi="Times New Roman" w:eastAsia="宋体" w:cs="Times New Roman"/>
              </w:rPr>
            </w:pP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工艺流程简介及产污环节：</w:t>
            </w: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本项目生产工艺相对比较简单，所有工序均为物理过程，系统流程分为4个阶段：配料、投料、搅拌和卸料。生产原料主要为碎石、砂、水泥、粉煤灰、矿粉、外加剂等。</w:t>
            </w: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配料：生产过程由电脑控制，按照不同型号混凝土的原料配比，对原材料进行称量。技术人员在计算机的帮助下，各种型号的混凝土在生产之前必须在实验室里反复实验，已达到各种原辅料之间的最佳配比，进而按先进、合理、经济的配方进行配料。</w:t>
            </w: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投料：砂、石存放于砂石堆场，生产时</w:t>
            </w:r>
            <w:r>
              <w:rPr>
                <w:rFonts w:hint="eastAsia" w:ascii="Times New Roman" w:hAnsi="Times New Roman" w:eastAsia="宋体" w:cs="Times New Roman"/>
                <w:sz w:val="24"/>
                <w:szCs w:val="24"/>
                <w:lang w:val="en-US" w:eastAsia="zh-CN"/>
              </w:rPr>
              <w:t>使用密闭</w:t>
            </w:r>
            <w:r>
              <w:rPr>
                <w:rFonts w:hint="default" w:ascii="Times New Roman" w:hAnsi="Times New Roman" w:eastAsia="宋体" w:cs="Times New Roman"/>
                <w:sz w:val="24"/>
                <w:szCs w:val="24"/>
                <w:lang w:val="en-US" w:eastAsia="zh-CN"/>
              </w:rPr>
              <w:t>皮带</w:t>
            </w:r>
            <w:r>
              <w:rPr>
                <w:rFonts w:hint="eastAsia" w:ascii="Times New Roman" w:hAnsi="Times New Roman" w:eastAsia="宋体" w:cs="Times New Roman"/>
                <w:sz w:val="24"/>
                <w:szCs w:val="24"/>
                <w:lang w:val="en-US" w:eastAsia="zh-CN"/>
              </w:rPr>
              <w:t>输送</w:t>
            </w:r>
            <w:r>
              <w:rPr>
                <w:rFonts w:hint="default" w:ascii="Times New Roman" w:hAnsi="Times New Roman" w:eastAsia="宋体" w:cs="Times New Roman"/>
                <w:sz w:val="24"/>
                <w:szCs w:val="24"/>
                <w:lang w:val="en-US" w:eastAsia="zh-CN"/>
              </w:rPr>
              <w:t>，计量后直接进入搅拌</w:t>
            </w:r>
            <w:r>
              <w:rPr>
                <w:rFonts w:hint="eastAsia" w:ascii="Times New Roman" w:hAnsi="Times New Roman" w:eastAsia="宋体" w:cs="Times New Roman"/>
                <w:sz w:val="24"/>
                <w:szCs w:val="24"/>
                <w:lang w:val="en-US" w:eastAsia="zh-CN"/>
              </w:rPr>
              <w:t>站</w:t>
            </w:r>
            <w:r>
              <w:rPr>
                <w:rFonts w:hint="default" w:ascii="Times New Roman" w:hAnsi="Times New Roman" w:eastAsia="宋体" w:cs="Times New Roman"/>
                <w:sz w:val="24"/>
                <w:szCs w:val="24"/>
                <w:lang w:val="en-US" w:eastAsia="zh-CN"/>
              </w:rPr>
              <w:t>，水泥、粉煤灰等加入相应的原料仓中，经计量后单独加入搅拌</w:t>
            </w:r>
            <w:r>
              <w:rPr>
                <w:rFonts w:hint="eastAsia" w:ascii="Times New Roman" w:hAnsi="Times New Roman" w:eastAsia="宋体" w:cs="Times New Roman"/>
                <w:sz w:val="24"/>
                <w:szCs w:val="24"/>
                <w:lang w:val="en-US" w:eastAsia="zh-CN"/>
              </w:rPr>
              <w:t>站</w:t>
            </w:r>
            <w:r>
              <w:rPr>
                <w:rFonts w:hint="default" w:ascii="Times New Roman" w:hAnsi="Times New Roman" w:eastAsia="宋体" w:cs="Times New Roman"/>
                <w:sz w:val="24"/>
                <w:szCs w:val="24"/>
                <w:lang w:val="en-US" w:eastAsia="zh-CN"/>
              </w:rPr>
              <w:t>中，液态外加剂由计量系统抽入搅拌</w:t>
            </w:r>
            <w:r>
              <w:rPr>
                <w:rFonts w:hint="eastAsia" w:ascii="Times New Roman" w:hAnsi="Times New Roman" w:eastAsia="宋体" w:cs="Times New Roman"/>
                <w:sz w:val="24"/>
                <w:szCs w:val="24"/>
                <w:lang w:val="en-US" w:eastAsia="zh-CN"/>
              </w:rPr>
              <w:t>站</w:t>
            </w:r>
            <w:r>
              <w:rPr>
                <w:rFonts w:hint="default" w:ascii="Times New Roman" w:hAnsi="Times New Roman" w:eastAsia="宋体" w:cs="Times New Roman"/>
                <w:sz w:val="24"/>
                <w:szCs w:val="24"/>
                <w:lang w:val="en-US" w:eastAsia="zh-CN"/>
              </w:rPr>
              <w:t>；水由清水称量系统抽入供给，所有原辅料称量后一起送至搅拌</w:t>
            </w:r>
            <w:r>
              <w:rPr>
                <w:rFonts w:hint="eastAsia" w:ascii="Times New Roman" w:hAnsi="Times New Roman" w:eastAsia="宋体" w:cs="Times New Roman"/>
                <w:sz w:val="24"/>
                <w:szCs w:val="24"/>
                <w:lang w:val="en-US" w:eastAsia="zh-CN"/>
              </w:rPr>
              <w:t>站</w:t>
            </w:r>
            <w:r>
              <w:rPr>
                <w:rFonts w:hint="default" w:ascii="Times New Roman" w:hAnsi="Times New Roman" w:eastAsia="宋体" w:cs="Times New Roman"/>
                <w:sz w:val="24"/>
                <w:szCs w:val="24"/>
                <w:lang w:val="en-US" w:eastAsia="zh-CN"/>
              </w:rPr>
              <w:t>内。项目厂内共设置</w:t>
            </w:r>
            <w:r>
              <w:rPr>
                <w:rFonts w:hint="eastAsia" w:ascii="Times New Roman" w:hAnsi="Times New Roman" w:eastAsia="宋体" w:cs="Times New Roman"/>
                <w:sz w:val="24"/>
                <w:szCs w:val="24"/>
                <w:lang w:val="en-US" w:eastAsia="zh-CN"/>
              </w:rPr>
              <w:t>8个筒</w:t>
            </w:r>
            <w:r>
              <w:rPr>
                <w:rFonts w:hint="default" w:ascii="Times New Roman" w:hAnsi="Times New Roman" w:eastAsia="宋体" w:cs="Times New Roman"/>
                <w:sz w:val="24"/>
                <w:szCs w:val="24"/>
                <w:lang w:val="en-US" w:eastAsia="zh-CN"/>
              </w:rPr>
              <w:t>仓，用于存储水泥、矿粉、粉煤灰等。</w:t>
            </w:r>
          </w:p>
          <w:p>
            <w:pPr>
              <w:pStyle w:val="35"/>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搅拌、卸料：投入搅拌</w:t>
            </w:r>
            <w:r>
              <w:rPr>
                <w:rFonts w:hint="eastAsia" w:ascii="Times New Roman" w:hAnsi="Times New Roman" w:eastAsia="宋体" w:cs="Times New Roman"/>
                <w:sz w:val="24"/>
                <w:szCs w:val="24"/>
                <w:lang w:val="en-US" w:eastAsia="zh-CN"/>
              </w:rPr>
              <w:t>站</w:t>
            </w:r>
            <w:r>
              <w:rPr>
                <w:rFonts w:hint="default" w:ascii="Times New Roman" w:hAnsi="Times New Roman" w:eastAsia="宋体" w:cs="Times New Roman"/>
                <w:sz w:val="24"/>
                <w:szCs w:val="24"/>
                <w:lang w:val="en-US" w:eastAsia="zh-CN"/>
              </w:rPr>
              <w:t>中的原料经过充分的搅拌，使水泥和砂子、石子的亲和力达到最大。搅拌到程序设定时间，主机自动开门卸料。整个生产过程由计算机控制，生产出的混凝土由搅拌车运送到各个施工现场。</w:t>
            </w:r>
          </w:p>
          <w:p>
            <w:pPr>
              <w:pStyle w:val="5"/>
              <w:spacing w:line="360" w:lineRule="auto"/>
              <w:outlineLvl w:val="2"/>
              <w:rPr>
                <w:rFonts w:hint="default" w:ascii="Times New Roman" w:hAnsi="Times New Roman" w:eastAsia="宋体" w:cs="Times New Roman"/>
                <w:sz w:val="24"/>
                <w:szCs w:val="24"/>
              </w:rPr>
            </w:pPr>
            <w:bookmarkStart w:id="27" w:name="_Toc21588"/>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主要污染工序</w:t>
            </w:r>
            <w:bookmarkEnd w:id="27"/>
          </w:p>
          <w:p>
            <w:pPr>
              <w:pStyle w:val="24"/>
              <w:spacing w:line="240" w:lineRule="auto"/>
              <w:ind w:firstLine="420"/>
              <w:jc w:val="center"/>
              <w:rPr>
                <w:rFonts w:hint="default" w:ascii="Times New Roman" w:hAnsi="Times New Roman" w:eastAsia="宋体" w:cs="Times New Roman"/>
                <w:b/>
                <w:bCs/>
                <w:snapToGrid w:val="0"/>
                <w:color w:val="000000"/>
                <w:kern w:val="0"/>
                <w:sz w:val="21"/>
                <w:szCs w:val="21"/>
                <w:lang w:val="en-GB"/>
              </w:rPr>
            </w:pPr>
            <w:r>
              <w:rPr>
                <w:rFonts w:hint="default" w:ascii="Times New Roman" w:hAnsi="Times New Roman" w:eastAsia="宋体" w:cs="Times New Roman"/>
                <w:b/>
                <w:bCs/>
                <w:snapToGrid w:val="0"/>
                <w:color w:val="000000"/>
                <w:kern w:val="0"/>
                <w:sz w:val="21"/>
                <w:szCs w:val="21"/>
                <w:lang w:val="en-GB"/>
              </w:rPr>
              <w:t>表2-5  营运期主要产排污环节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23"/>
              <w:gridCol w:w="1659"/>
              <w:gridCol w:w="1141"/>
              <w:gridCol w:w="2898"/>
              <w:gridCol w:w="777"/>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730" w:type="pct"/>
                  <w:gridSpan w:val="2"/>
                  <w:noWrap w:val="0"/>
                  <w:vAlign w:val="center"/>
                </w:tcPr>
                <w:p>
                  <w:pPr>
                    <w:pStyle w:val="22"/>
                    <w:spacing w:line="240" w:lineRule="auto"/>
                    <w:rPr>
                      <w:rStyle w:val="29"/>
                      <w:rFonts w:hint="default" w:ascii="Times New Roman" w:hAnsi="Times New Roman" w:eastAsia="宋体" w:cs="Times New Roman"/>
                      <w:b/>
                      <w:bCs w:val="0"/>
                      <w:color w:val="000000"/>
                      <w:sz w:val="21"/>
                      <w:szCs w:val="21"/>
                    </w:rPr>
                  </w:pPr>
                  <w:r>
                    <w:rPr>
                      <w:rStyle w:val="29"/>
                      <w:rFonts w:hint="default" w:ascii="Times New Roman" w:hAnsi="Times New Roman" w:eastAsia="宋体" w:cs="Times New Roman"/>
                      <w:b/>
                      <w:bCs w:val="0"/>
                      <w:color w:val="000000"/>
                      <w:sz w:val="21"/>
                      <w:szCs w:val="21"/>
                    </w:rPr>
                    <w:t>类型</w:t>
                  </w:r>
                </w:p>
              </w:tc>
              <w:tc>
                <w:tcPr>
                  <w:tcW w:w="994" w:type="pct"/>
                  <w:noWrap w:val="0"/>
                  <w:vAlign w:val="center"/>
                </w:tcPr>
                <w:p>
                  <w:pPr>
                    <w:pStyle w:val="22"/>
                    <w:spacing w:line="240" w:lineRule="auto"/>
                    <w:rPr>
                      <w:rStyle w:val="29"/>
                      <w:rFonts w:hint="default" w:ascii="Times New Roman" w:hAnsi="Times New Roman" w:eastAsia="宋体" w:cs="Times New Roman"/>
                      <w:b/>
                      <w:bCs w:val="0"/>
                      <w:color w:val="000000"/>
                      <w:sz w:val="21"/>
                      <w:szCs w:val="21"/>
                    </w:rPr>
                  </w:pPr>
                  <w:r>
                    <w:rPr>
                      <w:rStyle w:val="29"/>
                      <w:rFonts w:hint="default" w:ascii="Times New Roman" w:hAnsi="Times New Roman" w:eastAsia="宋体" w:cs="Times New Roman"/>
                      <w:b/>
                      <w:bCs w:val="0"/>
                      <w:color w:val="000000"/>
                      <w:sz w:val="21"/>
                      <w:szCs w:val="21"/>
                    </w:rPr>
                    <w:t>污染源</w:t>
                  </w:r>
                </w:p>
              </w:tc>
              <w:tc>
                <w:tcPr>
                  <w:tcW w:w="684" w:type="pct"/>
                  <w:noWrap w:val="0"/>
                  <w:vAlign w:val="center"/>
                </w:tcPr>
                <w:p>
                  <w:pPr>
                    <w:pStyle w:val="22"/>
                    <w:spacing w:line="240" w:lineRule="auto"/>
                    <w:rPr>
                      <w:rStyle w:val="29"/>
                      <w:rFonts w:hint="default" w:ascii="Times New Roman" w:hAnsi="Times New Roman" w:eastAsia="宋体" w:cs="Times New Roman"/>
                      <w:b/>
                      <w:bCs w:val="0"/>
                      <w:color w:val="000000"/>
                      <w:sz w:val="21"/>
                      <w:szCs w:val="21"/>
                    </w:rPr>
                  </w:pPr>
                  <w:r>
                    <w:rPr>
                      <w:rStyle w:val="29"/>
                      <w:rFonts w:hint="default" w:ascii="Times New Roman" w:hAnsi="Times New Roman" w:eastAsia="宋体" w:cs="Times New Roman"/>
                      <w:b/>
                      <w:bCs w:val="0"/>
                      <w:color w:val="000000"/>
                      <w:sz w:val="21"/>
                      <w:szCs w:val="21"/>
                    </w:rPr>
                    <w:t>污染因子</w:t>
                  </w:r>
                </w:p>
              </w:tc>
              <w:tc>
                <w:tcPr>
                  <w:tcW w:w="1733" w:type="pct"/>
                  <w:noWrap w:val="0"/>
                  <w:vAlign w:val="center"/>
                </w:tcPr>
                <w:p>
                  <w:pPr>
                    <w:pStyle w:val="22"/>
                    <w:spacing w:line="240" w:lineRule="auto"/>
                    <w:rPr>
                      <w:rStyle w:val="29"/>
                      <w:rFonts w:hint="default" w:ascii="Times New Roman" w:hAnsi="Times New Roman" w:eastAsia="宋体" w:cs="Times New Roman"/>
                      <w:b/>
                      <w:bCs w:val="0"/>
                      <w:color w:val="000000"/>
                      <w:sz w:val="21"/>
                      <w:szCs w:val="21"/>
                    </w:rPr>
                  </w:pPr>
                  <w:r>
                    <w:rPr>
                      <w:rStyle w:val="29"/>
                      <w:rFonts w:hint="default" w:ascii="Times New Roman" w:hAnsi="Times New Roman" w:eastAsia="宋体" w:cs="Times New Roman"/>
                      <w:b/>
                      <w:bCs w:val="0"/>
                      <w:color w:val="000000"/>
                      <w:sz w:val="21"/>
                      <w:szCs w:val="21"/>
                    </w:rPr>
                    <w:t>防治措施</w:t>
                  </w:r>
                </w:p>
              </w:tc>
              <w:tc>
                <w:tcPr>
                  <w:tcW w:w="467" w:type="pct"/>
                  <w:noWrap w:val="0"/>
                  <w:vAlign w:val="center"/>
                </w:tcPr>
                <w:p>
                  <w:pPr>
                    <w:pStyle w:val="22"/>
                    <w:spacing w:line="240" w:lineRule="auto"/>
                    <w:rPr>
                      <w:rStyle w:val="29"/>
                      <w:rFonts w:hint="default" w:ascii="Times New Roman" w:hAnsi="Times New Roman" w:eastAsia="宋体" w:cs="Times New Roman"/>
                      <w:b/>
                      <w:bCs w:val="0"/>
                      <w:color w:val="000000"/>
                      <w:sz w:val="21"/>
                      <w:szCs w:val="21"/>
                    </w:rPr>
                  </w:pPr>
                  <w:r>
                    <w:rPr>
                      <w:rStyle w:val="29"/>
                      <w:rFonts w:hint="default" w:ascii="Times New Roman" w:hAnsi="Times New Roman" w:eastAsia="宋体" w:cs="Times New Roman"/>
                      <w:b/>
                      <w:bCs w:val="0"/>
                      <w:color w:val="000000"/>
                      <w:sz w:val="21"/>
                      <w:szCs w:val="21"/>
                    </w:rPr>
                    <w:t>排放特征</w:t>
                  </w:r>
                </w:p>
              </w:tc>
              <w:tc>
                <w:tcPr>
                  <w:tcW w:w="389" w:type="pct"/>
                  <w:noWrap w:val="0"/>
                  <w:vAlign w:val="center"/>
                </w:tcPr>
                <w:p>
                  <w:pPr>
                    <w:pStyle w:val="22"/>
                    <w:spacing w:line="240" w:lineRule="auto"/>
                    <w:rPr>
                      <w:rStyle w:val="29"/>
                      <w:rFonts w:hint="default" w:ascii="Times New Roman" w:hAnsi="Times New Roman" w:eastAsia="宋体" w:cs="Times New Roman"/>
                      <w:b/>
                      <w:bCs w:val="0"/>
                      <w:color w:val="000000"/>
                      <w:sz w:val="21"/>
                      <w:szCs w:val="21"/>
                    </w:rPr>
                  </w:pPr>
                  <w:r>
                    <w:rPr>
                      <w:rStyle w:val="29"/>
                      <w:rFonts w:hint="default" w:ascii="Times New Roman" w:hAnsi="Times New Roman" w:eastAsia="宋体" w:cs="Times New Roman"/>
                      <w:b/>
                      <w:bCs w:val="0"/>
                      <w:color w:val="000000"/>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35" w:type="pct"/>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营运期</w:t>
                  </w:r>
                </w:p>
              </w:tc>
              <w:tc>
                <w:tcPr>
                  <w:tcW w:w="495" w:type="pct"/>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废气</w:t>
                  </w: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lang w:val="en-US"/>
                    </w:rPr>
                    <w:t>堆场</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粉尘</w:t>
                  </w:r>
                </w:p>
              </w:tc>
              <w:tc>
                <w:tcPr>
                  <w:tcW w:w="1733" w:type="pct"/>
                  <w:noWrap w:val="0"/>
                  <w:vAlign w:val="center"/>
                </w:tcPr>
                <w:p>
                  <w:pPr>
                    <w:spacing w:line="240" w:lineRule="auto"/>
                    <w:ind w:firstLine="420" w:firstLineChars="200"/>
                    <w:jc w:val="lef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骨料堆场设棚，三面围挡及喷雾降尘装置，不定期喷雾降尘，粉尘阻隔率可达80%</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粉尘排放高度约4m。</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lang w:val="en-US"/>
                    </w:rPr>
                    <w:t>无</w:t>
                  </w:r>
                  <w:r>
                    <w:rPr>
                      <w:rStyle w:val="29"/>
                      <w:rFonts w:hint="default" w:ascii="Times New Roman" w:hAnsi="Times New Roman" w:eastAsia="宋体" w:cs="Times New Roman"/>
                      <w:color w:val="000000"/>
                      <w:sz w:val="21"/>
                      <w:szCs w:val="21"/>
                    </w:rPr>
                    <w:t>组织</w:t>
                  </w:r>
                </w:p>
              </w:tc>
              <w:tc>
                <w:tcPr>
                  <w:tcW w:w="389" w:type="pct"/>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lang w:val="en-US"/>
                    </w:rPr>
                  </w:pPr>
                  <w:r>
                    <w:rPr>
                      <w:rStyle w:val="29"/>
                      <w:rFonts w:hint="default" w:ascii="Times New Roman" w:hAnsi="Times New Roman" w:eastAsia="宋体" w:cs="Times New Roman"/>
                      <w:color w:val="000000"/>
                      <w:sz w:val="21"/>
                      <w:szCs w:val="21"/>
                      <w:lang w:val="en-US"/>
                    </w:rPr>
                    <w:t>筒仓</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粉尘</w:t>
                  </w:r>
                </w:p>
              </w:tc>
              <w:tc>
                <w:tcPr>
                  <w:tcW w:w="1733" w:type="pct"/>
                  <w:noWrap w:val="0"/>
                  <w:vAlign w:val="center"/>
                </w:tcPr>
                <w:p>
                  <w:pPr>
                    <w:spacing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筒仓下料</w:t>
                  </w:r>
                  <w:r>
                    <w:rPr>
                      <w:rFonts w:hint="default" w:ascii="Times New Roman" w:hAnsi="Times New Roman" w:eastAsia="宋体" w:cs="Times New Roman"/>
                      <w:sz w:val="21"/>
                      <w:szCs w:val="21"/>
                    </w:rPr>
                    <w:t>均在密闭环境下进行，产生的粉尘经密闭收集后，统一经“</w:t>
                  </w:r>
                  <w:r>
                    <w:rPr>
                      <w:rFonts w:hint="default" w:ascii="Times New Roman" w:hAnsi="Times New Roman" w:eastAsia="宋体" w:cs="Times New Roman"/>
                      <w:sz w:val="21"/>
                      <w:szCs w:val="21"/>
                      <w:lang w:val="en-US" w:eastAsia="zh-CN"/>
                    </w:rPr>
                    <w:t>脉冲反吹布袋除尘器</w:t>
                  </w:r>
                  <w:r>
                    <w:rPr>
                      <w:rFonts w:hint="default" w:ascii="Times New Roman" w:hAnsi="Times New Roman" w:eastAsia="宋体" w:cs="Times New Roman"/>
                      <w:sz w:val="21"/>
                      <w:szCs w:val="21"/>
                    </w:rPr>
                    <w:t>”处理，再由</w:t>
                  </w:r>
                  <w:r>
                    <w:rPr>
                      <w:rFonts w:hint="eastAsia" w:ascii="Times New Roman" w:hAnsi="Times New Roman" w:eastAsia="宋体" w:cs="Times New Roman"/>
                      <w:sz w:val="21"/>
                      <w:szCs w:val="21"/>
                      <w:lang w:val="en-US" w:eastAsia="zh-CN"/>
                    </w:rPr>
                    <w:t>筒仓呼吸口</w:t>
                  </w:r>
                  <w:r>
                    <w:rPr>
                      <w:rFonts w:hint="default" w:ascii="Times New Roman" w:hAnsi="Times New Roman" w:eastAsia="宋体" w:cs="Times New Roman"/>
                      <w:sz w:val="21"/>
                      <w:szCs w:val="21"/>
                    </w:rPr>
                    <w:t>排放</w:t>
                  </w:r>
                  <w:r>
                    <w:rPr>
                      <w:rFonts w:hint="eastAsia" w:ascii="Times New Roman" w:hAnsi="Times New Roman" w:eastAsia="宋体" w:cs="Times New Roman"/>
                      <w:sz w:val="21"/>
                      <w:szCs w:val="21"/>
                      <w:lang w:eastAsia="zh-CN"/>
                    </w:rPr>
                    <w:t>。</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lang w:val="en-US"/>
                    </w:rPr>
                  </w:pPr>
                  <w:r>
                    <w:rPr>
                      <w:rStyle w:val="29"/>
                      <w:rFonts w:hint="default" w:ascii="Times New Roman" w:hAnsi="Times New Roman" w:eastAsia="宋体" w:cs="Times New Roman"/>
                      <w:color w:val="000000"/>
                      <w:sz w:val="21"/>
                      <w:szCs w:val="21"/>
                      <w:lang w:val="en-US"/>
                    </w:rPr>
                    <w:t>无</w:t>
                  </w:r>
                  <w:r>
                    <w:rPr>
                      <w:rStyle w:val="29"/>
                      <w:rFonts w:hint="default" w:ascii="Times New Roman" w:hAnsi="Times New Roman" w:eastAsia="宋体" w:cs="Times New Roman"/>
                      <w:color w:val="000000"/>
                      <w:sz w:val="21"/>
                      <w:szCs w:val="21"/>
                    </w:rPr>
                    <w:t>组织</w:t>
                  </w:r>
                </w:p>
              </w:tc>
              <w:tc>
                <w:tcPr>
                  <w:tcW w:w="389"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lang w:val="en-US"/>
                    </w:rPr>
                  </w:pPr>
                  <w:r>
                    <w:rPr>
                      <w:rStyle w:val="29"/>
                      <w:rFonts w:hint="default" w:ascii="Times New Roman" w:hAnsi="Times New Roman" w:eastAsia="宋体" w:cs="Times New Roman"/>
                      <w:color w:val="000000"/>
                      <w:sz w:val="21"/>
                      <w:szCs w:val="21"/>
                      <w:lang w:val="en-US"/>
                    </w:rPr>
                    <w:t>搅拌楼</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粉尘</w:t>
                  </w:r>
                </w:p>
              </w:tc>
              <w:tc>
                <w:tcPr>
                  <w:tcW w:w="1733" w:type="pct"/>
                  <w:noWrap w:val="0"/>
                  <w:vAlign w:val="center"/>
                </w:tcPr>
                <w:p>
                  <w:pPr>
                    <w:spacing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通过风机引入重力+</w:t>
                  </w:r>
                  <w:r>
                    <w:rPr>
                      <w:rFonts w:hint="default" w:ascii="Times New Roman" w:hAnsi="Times New Roman" w:eastAsia="宋体" w:cs="Times New Roman"/>
                      <w:sz w:val="21"/>
                      <w:szCs w:val="21"/>
                      <w:lang w:val="en-US" w:eastAsia="zh-CN"/>
                    </w:rPr>
                    <w:t>脉冲反吹布袋除尘器</w:t>
                  </w:r>
                  <w:r>
                    <w:rPr>
                      <w:rFonts w:hint="default" w:ascii="Times New Roman" w:hAnsi="Times New Roman" w:eastAsia="宋体" w:cs="Times New Roman"/>
                      <w:sz w:val="21"/>
                      <w:szCs w:val="21"/>
                    </w:rPr>
                    <w:t>进行处理后排放</w:t>
                  </w:r>
                  <w:r>
                    <w:rPr>
                      <w:rFonts w:hint="eastAsia" w:ascii="Times New Roman" w:hAnsi="Times New Roman" w:eastAsia="宋体" w:cs="Times New Roman"/>
                      <w:sz w:val="21"/>
                      <w:szCs w:val="21"/>
                      <w:lang w:eastAsia="zh-CN"/>
                    </w:rPr>
                    <w:t>。</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lang w:val="en-US"/>
                    </w:rPr>
                    <w:t>无</w:t>
                  </w:r>
                  <w:r>
                    <w:rPr>
                      <w:rStyle w:val="29"/>
                      <w:rFonts w:hint="default" w:ascii="Times New Roman" w:hAnsi="Times New Roman" w:eastAsia="宋体" w:cs="Times New Roman"/>
                      <w:color w:val="000000"/>
                      <w:sz w:val="21"/>
                      <w:szCs w:val="21"/>
                    </w:rPr>
                    <w:t>组织</w:t>
                  </w:r>
                </w:p>
              </w:tc>
              <w:tc>
                <w:tcPr>
                  <w:tcW w:w="389"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运输车辆动力起尘</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扬尘</w:t>
                  </w:r>
                </w:p>
              </w:tc>
              <w:tc>
                <w:tcPr>
                  <w:tcW w:w="1733" w:type="pct"/>
                  <w:noWrap w:val="0"/>
                  <w:vAlign w:val="center"/>
                </w:tcPr>
                <w:p>
                  <w:pPr>
                    <w:spacing w:line="24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定期洒水降尘</w:t>
                  </w:r>
                  <w:r>
                    <w:rPr>
                      <w:rFonts w:hint="eastAsia" w:ascii="Times New Roman" w:hAnsi="Times New Roman" w:eastAsia="宋体" w:cs="Times New Roman"/>
                      <w:sz w:val="21"/>
                      <w:szCs w:val="21"/>
                      <w:lang w:eastAsia="zh-CN"/>
                    </w:rPr>
                    <w:t>。</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lang w:val="en-US"/>
                    </w:rPr>
                    <w:t>无</w:t>
                  </w:r>
                  <w:r>
                    <w:rPr>
                      <w:rStyle w:val="29"/>
                      <w:rFonts w:hint="default" w:ascii="Times New Roman" w:hAnsi="Times New Roman" w:eastAsia="宋体" w:cs="Times New Roman"/>
                      <w:color w:val="000000"/>
                      <w:sz w:val="21"/>
                      <w:szCs w:val="21"/>
                    </w:rPr>
                    <w:t>组织</w:t>
                  </w:r>
                </w:p>
              </w:tc>
              <w:tc>
                <w:tcPr>
                  <w:tcW w:w="389"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食堂油烟</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油烟</w:t>
                  </w:r>
                </w:p>
              </w:tc>
              <w:tc>
                <w:tcPr>
                  <w:tcW w:w="1733" w:type="pc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采用油烟净化器处理后引至楼顶排放</w:t>
                  </w:r>
                  <w:r>
                    <w:rPr>
                      <w:rFonts w:hint="eastAsia" w:ascii="Times New Roman" w:hAnsi="Times New Roman" w:eastAsia="宋体" w:cs="Times New Roman"/>
                      <w:sz w:val="21"/>
                      <w:szCs w:val="21"/>
                      <w:lang w:eastAsia="zh-CN"/>
                    </w:rPr>
                    <w:t>。</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389"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废水</w:t>
                  </w: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运输车辆清洗废水</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SS、COD</w:t>
                  </w:r>
                  <w:r>
                    <w:rPr>
                      <w:rStyle w:val="29"/>
                      <w:rFonts w:hint="default" w:ascii="Times New Roman" w:hAnsi="Times New Roman" w:eastAsia="宋体" w:cs="Times New Roman"/>
                      <w:color w:val="000000"/>
                      <w:sz w:val="21"/>
                      <w:szCs w:val="21"/>
                      <w:vertAlign w:val="subscript"/>
                    </w:rPr>
                    <w:t>Cr</w:t>
                  </w:r>
                  <w:r>
                    <w:rPr>
                      <w:rStyle w:val="29"/>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石油类</w:t>
                  </w:r>
                </w:p>
              </w:tc>
              <w:tc>
                <w:tcPr>
                  <w:tcW w:w="1733" w:type="pc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洗车槽内循环使用，最终全部以蒸发损耗的形式消耗</w:t>
                  </w:r>
                  <w:r>
                    <w:rPr>
                      <w:rFonts w:hint="eastAsia" w:ascii="Times New Roman" w:hAnsi="Times New Roman" w:eastAsia="宋体" w:cs="Times New Roman"/>
                      <w:sz w:val="21"/>
                      <w:szCs w:val="21"/>
                      <w:lang w:eastAsia="zh-CN"/>
                    </w:rPr>
                    <w:t>。</w:t>
                  </w:r>
                </w:p>
              </w:tc>
              <w:tc>
                <w:tcPr>
                  <w:tcW w:w="857" w:type="pct"/>
                  <w:gridSpan w:val="2"/>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不排放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场地清洗废水</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SS、石油类</w:t>
                  </w:r>
                </w:p>
              </w:tc>
              <w:tc>
                <w:tcPr>
                  <w:tcW w:w="1733" w:type="pc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经隔油沉淀池处理后循环</w:t>
                  </w:r>
                  <w:r>
                    <w:rPr>
                      <w:rStyle w:val="29"/>
                      <w:rFonts w:hint="eastAsia" w:ascii="Times New Roman" w:hAnsi="Times New Roman" w:eastAsia="宋体" w:cs="Times New Roman"/>
                      <w:color w:val="000000"/>
                      <w:sz w:val="21"/>
                      <w:szCs w:val="21"/>
                      <w:lang w:val="en-US"/>
                    </w:rPr>
                    <w:t>使用</w:t>
                  </w:r>
                  <w:r>
                    <w:rPr>
                      <w:rStyle w:val="29"/>
                      <w:rFonts w:hint="default" w:ascii="Times New Roman" w:hAnsi="Times New Roman" w:eastAsia="宋体" w:cs="Times New Roman"/>
                      <w:color w:val="000000"/>
                      <w:sz w:val="21"/>
                      <w:szCs w:val="21"/>
                    </w:rPr>
                    <w:t>，不外排</w:t>
                  </w:r>
                  <w:r>
                    <w:rPr>
                      <w:rFonts w:hint="eastAsia" w:ascii="Times New Roman" w:hAnsi="Times New Roman" w:eastAsia="宋体" w:cs="Times New Roman"/>
                      <w:sz w:val="21"/>
                      <w:szCs w:val="21"/>
                      <w:lang w:eastAsia="zh-CN"/>
                    </w:rPr>
                    <w:t>。</w:t>
                  </w:r>
                </w:p>
              </w:tc>
              <w:tc>
                <w:tcPr>
                  <w:tcW w:w="857" w:type="pct"/>
                  <w:gridSpan w:val="2"/>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喷雾降尘废水</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1733" w:type="pc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全部蒸发损耗，无废水产生或外排</w:t>
                  </w:r>
                  <w:r>
                    <w:rPr>
                      <w:rFonts w:hint="eastAsia" w:ascii="Times New Roman" w:hAnsi="Times New Roman" w:eastAsia="宋体" w:cs="Times New Roman"/>
                      <w:sz w:val="21"/>
                      <w:szCs w:val="21"/>
                      <w:lang w:eastAsia="zh-CN"/>
                    </w:rPr>
                    <w:t>。</w:t>
                  </w:r>
                </w:p>
              </w:tc>
              <w:tc>
                <w:tcPr>
                  <w:tcW w:w="857" w:type="pct"/>
                  <w:gridSpan w:val="2"/>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生活废水</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COD</w:t>
                  </w:r>
                  <w:r>
                    <w:rPr>
                      <w:rStyle w:val="29"/>
                      <w:rFonts w:hint="default" w:ascii="Times New Roman" w:hAnsi="Times New Roman" w:eastAsia="宋体" w:cs="Times New Roman"/>
                      <w:color w:val="000000"/>
                      <w:sz w:val="21"/>
                      <w:szCs w:val="21"/>
                      <w:vertAlign w:val="subscript"/>
                    </w:rPr>
                    <w:t>Cr</w:t>
                  </w:r>
                  <w:r>
                    <w:rPr>
                      <w:rStyle w:val="29"/>
                      <w:rFonts w:hint="default" w:ascii="Times New Roman" w:hAnsi="Times New Roman" w:eastAsia="宋体" w:cs="Times New Roman"/>
                      <w:color w:val="000000"/>
                      <w:sz w:val="21"/>
                      <w:szCs w:val="21"/>
                    </w:rPr>
                    <w:t>、BOD</w:t>
                  </w:r>
                  <w:r>
                    <w:rPr>
                      <w:rStyle w:val="29"/>
                      <w:rFonts w:hint="default" w:ascii="Times New Roman" w:hAnsi="Times New Roman" w:eastAsia="宋体" w:cs="Times New Roman"/>
                      <w:color w:val="000000"/>
                      <w:sz w:val="21"/>
                      <w:szCs w:val="21"/>
                      <w:vertAlign w:val="subscript"/>
                    </w:rPr>
                    <w:t>5</w:t>
                  </w:r>
                  <w:r>
                    <w:rPr>
                      <w:rStyle w:val="29"/>
                      <w:rFonts w:hint="default" w:ascii="Times New Roman" w:hAnsi="Times New Roman" w:eastAsia="宋体" w:cs="Times New Roman"/>
                      <w:color w:val="000000"/>
                      <w:sz w:val="21"/>
                      <w:szCs w:val="21"/>
                    </w:rPr>
                    <w:t>、NH</w:t>
                  </w:r>
                  <w:r>
                    <w:rPr>
                      <w:rStyle w:val="29"/>
                      <w:rFonts w:hint="default" w:ascii="Times New Roman" w:hAnsi="Times New Roman" w:eastAsia="宋体" w:cs="Times New Roman"/>
                      <w:color w:val="000000"/>
                      <w:sz w:val="21"/>
                      <w:szCs w:val="21"/>
                      <w:vertAlign w:val="subscript"/>
                    </w:rPr>
                    <w:t>3</w:t>
                  </w:r>
                  <w:r>
                    <w:rPr>
                      <w:rStyle w:val="29"/>
                      <w:rFonts w:hint="default" w:ascii="Times New Roman" w:hAnsi="Times New Roman" w:eastAsia="宋体" w:cs="Times New Roman"/>
                      <w:color w:val="000000"/>
                      <w:sz w:val="21"/>
                      <w:szCs w:val="21"/>
                    </w:rPr>
                    <w:t>-N、动植物油</w:t>
                  </w:r>
                </w:p>
              </w:tc>
              <w:tc>
                <w:tcPr>
                  <w:tcW w:w="1733" w:type="pc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lang w:val="en-US"/>
                    </w:rPr>
                  </w:pPr>
                  <w:r>
                    <w:rPr>
                      <w:rStyle w:val="29"/>
                      <w:rFonts w:hint="default" w:ascii="Times New Roman" w:hAnsi="Times New Roman" w:eastAsia="宋体" w:cs="Times New Roman"/>
                      <w:color w:val="000000"/>
                      <w:sz w:val="21"/>
                      <w:szCs w:val="21"/>
                    </w:rPr>
                    <w:t>食堂生活废水经隔油池处理后和其它</w:t>
                  </w:r>
                  <w:r>
                    <w:rPr>
                      <w:rFonts w:hint="eastAsia" w:ascii="Times New Roman" w:hAnsi="Times New Roman" w:eastAsia="宋体" w:cs="Times New Roman"/>
                      <w:bCs/>
                      <w:color w:val="0000FF"/>
                      <w:sz w:val="21"/>
                      <w:szCs w:val="21"/>
                      <w:lang w:val="en-US" w:eastAsia="zh-CN"/>
                    </w:rPr>
                    <w:t>生活污水经生化池收集处理后接入辰溪县污水处理厂。</w:t>
                  </w:r>
                </w:p>
              </w:tc>
              <w:tc>
                <w:tcPr>
                  <w:tcW w:w="857" w:type="pct"/>
                  <w:gridSpan w:val="2"/>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初期雨水</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SS、石油类</w:t>
                  </w:r>
                </w:p>
              </w:tc>
              <w:tc>
                <w:tcPr>
                  <w:tcW w:w="1733" w:type="pc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rPr>
                  </w:pPr>
                  <w:r>
                    <w:rPr>
                      <w:rFonts w:hint="eastAsia" w:ascii="Times New Roman" w:hAnsi="Times New Roman" w:eastAsia="宋体" w:cs="Times New Roman"/>
                      <w:bCs/>
                      <w:color w:val="0000FF"/>
                      <w:sz w:val="21"/>
                      <w:szCs w:val="21"/>
                      <w:lang w:val="en-US" w:eastAsia="zh-CN"/>
                    </w:rPr>
                    <w:t>初期雨水经过隔油沉淀池沉淀后用于厂区洒水抑尘</w:t>
                  </w:r>
                  <w:r>
                    <w:rPr>
                      <w:rFonts w:hint="eastAsia" w:ascii="Times New Roman" w:hAnsi="Times New Roman" w:cs="Times New Roman"/>
                      <w:bCs/>
                      <w:color w:val="0000FF"/>
                      <w:sz w:val="21"/>
                      <w:szCs w:val="21"/>
                      <w:lang w:val="en-US" w:eastAsia="zh-CN"/>
                    </w:rPr>
                    <w:t>。</w:t>
                  </w:r>
                </w:p>
              </w:tc>
              <w:tc>
                <w:tcPr>
                  <w:tcW w:w="857" w:type="pct"/>
                  <w:gridSpan w:val="2"/>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噪声</w:t>
                  </w: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Leq（A）</w:t>
                  </w:r>
                </w:p>
              </w:tc>
              <w:tc>
                <w:tcPr>
                  <w:tcW w:w="1733" w:type="pc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隔声、减震、厂区设置绿化带等措施</w:t>
                  </w:r>
                  <w:r>
                    <w:rPr>
                      <w:rFonts w:hint="eastAsia" w:ascii="Times New Roman" w:hAnsi="Times New Roman" w:eastAsia="宋体" w:cs="Times New Roman"/>
                      <w:sz w:val="21"/>
                      <w:szCs w:val="21"/>
                      <w:lang w:eastAsia="zh-CN"/>
                    </w:rPr>
                    <w:t>。</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389"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固体废物</w:t>
                  </w:r>
                </w:p>
              </w:tc>
              <w:tc>
                <w:tcPr>
                  <w:tcW w:w="994" w:type="pct"/>
                  <w:noWrap w:val="0"/>
                  <w:vAlign w:val="center"/>
                </w:tcPr>
                <w:p>
                  <w:pPr>
                    <w:pStyle w:val="22"/>
                    <w:spacing w:line="240" w:lineRule="auto"/>
                    <w:rPr>
                      <w:rFonts w:hint="default" w:ascii="Times New Roman" w:hAnsi="Times New Roman" w:eastAsia="宋体" w:cs="Times New Roman"/>
                      <w:bCs/>
                      <w:color w:val="000000"/>
                      <w:kern w:val="2"/>
                      <w:sz w:val="21"/>
                      <w:szCs w:val="21"/>
                      <w:u w:val="none"/>
                      <w:lang w:val="en-US" w:eastAsia="zh-CN" w:bidi="ar-SA"/>
                    </w:rPr>
                  </w:pPr>
                  <w:r>
                    <w:rPr>
                      <w:rStyle w:val="29"/>
                      <w:rFonts w:hint="default" w:ascii="Times New Roman" w:hAnsi="Times New Roman" w:eastAsia="宋体" w:cs="Times New Roman"/>
                      <w:color w:val="000000"/>
                      <w:sz w:val="21"/>
                      <w:szCs w:val="21"/>
                      <w:u w:val="none"/>
                    </w:rPr>
                    <w:t>除尘器收集的除尘灰</w:t>
                  </w:r>
                </w:p>
              </w:tc>
              <w:tc>
                <w:tcPr>
                  <w:tcW w:w="684" w:type="pct"/>
                  <w:noWrap w:val="0"/>
                  <w:vAlign w:val="center"/>
                </w:tcPr>
                <w:p>
                  <w:pPr>
                    <w:pStyle w:val="22"/>
                    <w:spacing w:line="240" w:lineRule="auto"/>
                    <w:rPr>
                      <w:rFonts w:hint="default" w:ascii="Times New Roman" w:hAnsi="Times New Roman" w:eastAsia="宋体" w:cs="Times New Roman"/>
                      <w:bCs/>
                      <w:color w:val="000000"/>
                      <w:kern w:val="2"/>
                      <w:sz w:val="21"/>
                      <w:szCs w:val="21"/>
                      <w:lang w:val="en-US" w:eastAsia="zh-CN" w:bidi="ar-SA"/>
                    </w:rPr>
                  </w:pPr>
                  <w:r>
                    <w:rPr>
                      <w:rStyle w:val="29"/>
                      <w:rFonts w:hint="default" w:ascii="Times New Roman" w:hAnsi="Times New Roman" w:eastAsia="宋体" w:cs="Times New Roman"/>
                      <w:color w:val="000000"/>
                      <w:sz w:val="21"/>
                      <w:szCs w:val="21"/>
                    </w:rPr>
                    <w:t>/</w:t>
                  </w:r>
                </w:p>
              </w:tc>
              <w:tc>
                <w:tcPr>
                  <w:tcW w:w="1733" w:type="pct"/>
                  <w:vMerge w:val="restart"/>
                  <w:noWrap w:val="0"/>
                  <w:vAlign w:val="center"/>
                </w:tcPr>
                <w:p>
                  <w:pPr>
                    <w:pStyle w:val="22"/>
                    <w:spacing w:line="240" w:lineRule="auto"/>
                    <w:ind w:firstLine="420" w:firstLineChars="200"/>
                    <w:jc w:val="left"/>
                    <w:rPr>
                      <w:rFonts w:hint="default" w:ascii="Times New Roman" w:hAnsi="Times New Roman" w:eastAsia="宋体" w:cs="Times New Roman"/>
                      <w:bCs/>
                      <w:color w:val="000000"/>
                      <w:kern w:val="2"/>
                      <w:sz w:val="21"/>
                      <w:szCs w:val="21"/>
                      <w:lang w:val="en-US" w:eastAsia="zh-CN" w:bidi="ar-SA"/>
                    </w:rPr>
                  </w:pPr>
                  <w:r>
                    <w:rPr>
                      <w:rStyle w:val="29"/>
                      <w:rFonts w:hint="default" w:ascii="Times New Roman" w:hAnsi="Times New Roman" w:eastAsia="宋体" w:cs="Times New Roman"/>
                      <w:sz w:val="21"/>
                      <w:szCs w:val="21"/>
                    </w:rPr>
                    <w:t>回用于生产</w:t>
                  </w:r>
                  <w:r>
                    <w:rPr>
                      <w:rFonts w:hint="eastAsia" w:ascii="Times New Roman" w:hAnsi="Times New Roman" w:eastAsia="宋体" w:cs="Times New Roman"/>
                      <w:sz w:val="21"/>
                      <w:szCs w:val="21"/>
                      <w:lang w:eastAsia="zh-CN"/>
                    </w:rPr>
                    <w:t>。</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389"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u w:val="none"/>
                    </w:rPr>
                  </w:pPr>
                  <w:r>
                    <w:rPr>
                      <w:rFonts w:hint="default" w:ascii="Times New Roman" w:hAnsi="Times New Roman" w:eastAsia="宋体" w:cs="Times New Roman"/>
                      <w:sz w:val="21"/>
                      <w:szCs w:val="21"/>
                      <w:u w:val="none"/>
                    </w:rPr>
                    <w:t>砂石及沉淀池沉渣</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1733" w:type="pct"/>
                  <w:vMerge w:val="continue"/>
                  <w:noWrap w:val="0"/>
                  <w:vAlign w:val="center"/>
                </w:tcPr>
                <w:p>
                  <w:pPr>
                    <w:pStyle w:val="22"/>
                    <w:spacing w:line="240" w:lineRule="auto"/>
                    <w:jc w:val="left"/>
                    <w:rPr>
                      <w:rStyle w:val="29"/>
                      <w:rFonts w:hint="default" w:ascii="Times New Roman" w:hAnsi="Times New Roman" w:eastAsia="宋体" w:cs="Times New Roman"/>
                      <w:color w:val="000000"/>
                      <w:sz w:val="21"/>
                      <w:szCs w:val="21"/>
                    </w:rPr>
                  </w:pP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389"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22"/>
                    <w:spacing w:line="240" w:lineRule="auto"/>
                    <w:rPr>
                      <w:rStyle w:val="29"/>
                      <w:rFonts w:hint="default" w:ascii="Times New Roman" w:hAnsi="Times New Roman" w:eastAsia="宋体" w:cs="Times New Roman"/>
                      <w:color w:val="000000"/>
                      <w:sz w:val="21"/>
                      <w:szCs w:val="21"/>
                      <w:u w:val="none"/>
                    </w:rPr>
                  </w:pPr>
                  <w:r>
                    <w:rPr>
                      <w:rStyle w:val="29"/>
                      <w:rFonts w:hint="default" w:ascii="Times New Roman" w:hAnsi="Times New Roman" w:eastAsia="宋体" w:cs="Times New Roman"/>
                      <w:sz w:val="21"/>
                      <w:szCs w:val="21"/>
                      <w:u w:val="none"/>
                    </w:rPr>
                    <w:t>生活垃圾</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1733" w:type="pct"/>
                  <w:vMerge w:val="restart"/>
                  <w:noWrap w:val="0"/>
                  <w:vAlign w:val="center"/>
                </w:tcPr>
                <w:p>
                  <w:pPr>
                    <w:pStyle w:val="22"/>
                    <w:spacing w:line="240" w:lineRule="auto"/>
                    <w:ind w:firstLine="420" w:firstLineChars="200"/>
                    <w:jc w:val="left"/>
                    <w:rPr>
                      <w:rStyle w:val="29"/>
                      <w:rFonts w:hint="default" w:ascii="Times New Roman" w:hAnsi="Times New Roman" w:eastAsia="宋体" w:cs="Times New Roman"/>
                      <w:sz w:val="21"/>
                      <w:szCs w:val="21"/>
                    </w:rPr>
                  </w:pPr>
                  <w:r>
                    <w:rPr>
                      <w:rStyle w:val="29"/>
                      <w:rFonts w:hint="default" w:ascii="Times New Roman" w:hAnsi="Times New Roman" w:eastAsia="宋体" w:cs="Times New Roman"/>
                      <w:sz w:val="21"/>
                      <w:szCs w:val="21"/>
                    </w:rPr>
                    <w:t>环卫部门收集处置</w:t>
                  </w:r>
                  <w:r>
                    <w:rPr>
                      <w:rFonts w:hint="eastAsia" w:ascii="Times New Roman" w:hAnsi="Times New Roman" w:eastAsia="宋体" w:cs="Times New Roman"/>
                      <w:sz w:val="21"/>
                      <w:szCs w:val="21"/>
                      <w:lang w:eastAsia="zh-CN"/>
                    </w:rPr>
                    <w:t>。</w:t>
                  </w:r>
                </w:p>
              </w:tc>
              <w:tc>
                <w:tcPr>
                  <w:tcW w:w="467"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389"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37"/>
                    <w:spacing w:line="240" w:lineRule="auto"/>
                    <w:rPr>
                      <w:rFonts w:hint="default" w:ascii="Times New Roman" w:hAnsi="Times New Roman" w:eastAsia="宋体" w:cs="Times New Roman"/>
                      <w:snapToGrid w:val="0"/>
                      <w:color w:val="000000"/>
                      <w:kern w:val="0"/>
                      <w:sz w:val="21"/>
                      <w:szCs w:val="21"/>
                      <w:u w:val="none"/>
                      <w:lang w:val="en-US" w:eastAsia="zh-CN"/>
                    </w:rPr>
                  </w:pPr>
                  <w:r>
                    <w:rPr>
                      <w:rFonts w:hint="default" w:ascii="Times New Roman" w:hAnsi="Times New Roman" w:eastAsia="宋体" w:cs="Times New Roman"/>
                      <w:snapToGrid w:val="0"/>
                      <w:color w:val="000000"/>
                      <w:kern w:val="0"/>
                      <w:sz w:val="21"/>
                      <w:szCs w:val="21"/>
                      <w:u w:val="none"/>
                      <w:lang w:val="en-US" w:eastAsia="zh-CN"/>
                    </w:rPr>
                    <w:t>餐厨垃圾</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1733" w:type="pct"/>
                  <w:vMerge w:val="continue"/>
                  <w:noWrap w:val="0"/>
                  <w:vAlign w:val="center"/>
                </w:tcPr>
                <w:p>
                  <w:pPr>
                    <w:pStyle w:val="22"/>
                    <w:spacing w:line="240" w:lineRule="auto"/>
                    <w:jc w:val="left"/>
                    <w:rPr>
                      <w:rStyle w:val="29"/>
                      <w:rFonts w:hint="default" w:ascii="Times New Roman" w:hAnsi="Times New Roman" w:eastAsia="宋体" w:cs="Times New Roman"/>
                      <w:color w:val="000000"/>
                      <w:sz w:val="21"/>
                      <w:szCs w:val="21"/>
                    </w:rPr>
                  </w:pPr>
                </w:p>
              </w:tc>
              <w:tc>
                <w:tcPr>
                  <w:tcW w:w="467" w:type="pct"/>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c>
                <w:tcPr>
                  <w:tcW w:w="389" w:type="pct"/>
                  <w:vMerge w:val="restar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37"/>
                    <w:spacing w:line="240" w:lineRule="auto"/>
                    <w:rPr>
                      <w:rFonts w:hint="default" w:ascii="Times New Roman" w:hAnsi="Times New Roman" w:eastAsia="宋体" w:cs="Times New Roman"/>
                      <w:snapToGrid w:val="0"/>
                      <w:color w:val="000000"/>
                      <w:kern w:val="0"/>
                      <w:sz w:val="21"/>
                      <w:szCs w:val="21"/>
                      <w:u w:val="none"/>
                      <w:lang w:eastAsia="zh-CN"/>
                    </w:rPr>
                  </w:pPr>
                  <w:r>
                    <w:rPr>
                      <w:rFonts w:hint="default" w:ascii="Times New Roman" w:hAnsi="Times New Roman" w:eastAsia="宋体" w:cs="Times New Roman"/>
                      <w:bCs/>
                      <w:color w:val="auto"/>
                      <w:sz w:val="21"/>
                      <w:szCs w:val="21"/>
                      <w:u w:val="none"/>
                    </w:rPr>
                    <w:t>含油抹布废手套</w:t>
                  </w:r>
                </w:p>
              </w:tc>
              <w:tc>
                <w:tcPr>
                  <w:tcW w:w="684" w:type="pct"/>
                  <w:noWrap w:val="0"/>
                  <w:vAlign w:val="center"/>
                </w:tcPr>
                <w:p>
                  <w:pPr>
                    <w:pStyle w:val="22"/>
                    <w:spacing w:line="240" w:lineRule="auto"/>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sz w:val="21"/>
                      <w:szCs w:val="21"/>
                      <w:lang w:val="en-US"/>
                    </w:rPr>
                    <w:t>矿物油</w:t>
                  </w:r>
                </w:p>
              </w:tc>
              <w:tc>
                <w:tcPr>
                  <w:tcW w:w="1733" w:type="pct"/>
                  <w:vMerge w:val="restart"/>
                  <w:noWrap w:val="0"/>
                  <w:vAlign w:val="center"/>
                </w:tcPr>
                <w:p>
                  <w:pPr>
                    <w:pStyle w:val="22"/>
                    <w:spacing w:line="240" w:lineRule="auto"/>
                    <w:ind w:firstLine="420" w:firstLineChars="200"/>
                    <w:jc w:val="left"/>
                    <w:rPr>
                      <w:rStyle w:val="29"/>
                      <w:rFonts w:hint="default" w:ascii="Times New Roman" w:hAnsi="Times New Roman" w:eastAsia="宋体" w:cs="Times New Roman"/>
                      <w:color w:val="000000"/>
                      <w:sz w:val="21"/>
                      <w:szCs w:val="21"/>
                    </w:rPr>
                  </w:pPr>
                  <w:r>
                    <w:rPr>
                      <w:rStyle w:val="29"/>
                      <w:rFonts w:hint="default" w:ascii="Times New Roman" w:hAnsi="Times New Roman" w:eastAsia="宋体" w:cs="Times New Roman"/>
                      <w:sz w:val="21"/>
                      <w:szCs w:val="21"/>
                    </w:rPr>
                    <w:t>交有危险废物处置资质部门处理</w:t>
                  </w:r>
                  <w:r>
                    <w:rPr>
                      <w:rFonts w:hint="eastAsia" w:ascii="Times New Roman" w:hAnsi="Times New Roman" w:eastAsia="宋体" w:cs="Times New Roman"/>
                      <w:sz w:val="21"/>
                      <w:szCs w:val="21"/>
                      <w:lang w:eastAsia="zh-CN"/>
                    </w:rPr>
                    <w:t>。</w:t>
                  </w:r>
                </w:p>
              </w:tc>
              <w:tc>
                <w:tcPr>
                  <w:tcW w:w="467"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389"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pStyle w:val="37"/>
                    <w:spacing w:line="240" w:lineRule="auto"/>
                    <w:rPr>
                      <w:rFonts w:hint="default" w:ascii="Times New Roman" w:hAnsi="Times New Roman" w:eastAsia="宋体" w:cs="Times New Roman"/>
                      <w:snapToGrid w:val="0"/>
                      <w:color w:val="000000"/>
                      <w:kern w:val="0"/>
                      <w:sz w:val="21"/>
                      <w:szCs w:val="21"/>
                      <w:u w:val="none"/>
                      <w:lang w:eastAsia="zh-CN"/>
                    </w:rPr>
                  </w:pPr>
                  <w:r>
                    <w:rPr>
                      <w:rFonts w:hint="default" w:ascii="Times New Roman" w:hAnsi="Times New Roman" w:eastAsia="宋体" w:cs="Times New Roman"/>
                      <w:color w:val="auto"/>
                      <w:sz w:val="21"/>
                      <w:szCs w:val="21"/>
                      <w:u w:val="none"/>
                      <w:lang w:val="en-US" w:eastAsia="zh-CN"/>
                    </w:rPr>
                    <w:t>废</w:t>
                  </w:r>
                  <w:r>
                    <w:rPr>
                      <w:rFonts w:hint="eastAsia" w:ascii="Times New Roman" w:hAnsi="Times New Roman" w:eastAsia="宋体" w:cs="Times New Roman"/>
                      <w:color w:val="auto"/>
                      <w:sz w:val="21"/>
                      <w:szCs w:val="21"/>
                      <w:u w:val="none"/>
                      <w:lang w:val="en-US" w:eastAsia="zh-CN"/>
                    </w:rPr>
                    <w:t>矿物</w:t>
                  </w:r>
                  <w:r>
                    <w:rPr>
                      <w:rFonts w:hint="default" w:ascii="Times New Roman" w:hAnsi="Times New Roman" w:eastAsia="宋体" w:cs="Times New Roman"/>
                      <w:color w:val="auto"/>
                      <w:sz w:val="21"/>
                      <w:szCs w:val="21"/>
                      <w:u w:val="none"/>
                      <w:lang w:val="en-US" w:eastAsia="zh-CN"/>
                    </w:rPr>
                    <w:t>油</w:t>
                  </w:r>
                </w:p>
              </w:tc>
              <w:tc>
                <w:tcPr>
                  <w:tcW w:w="684" w:type="pct"/>
                  <w:noWrap w:val="0"/>
                  <w:vAlign w:val="center"/>
                </w:tcPr>
                <w:p>
                  <w:pPr>
                    <w:pStyle w:val="22"/>
                    <w:spacing w:line="240" w:lineRule="auto"/>
                    <w:rPr>
                      <w:rStyle w:val="29"/>
                      <w:rFonts w:hint="default" w:ascii="Times New Roman" w:hAnsi="Times New Roman" w:eastAsia="宋体" w:cs="Times New Roman"/>
                      <w:sz w:val="21"/>
                      <w:szCs w:val="21"/>
                    </w:rPr>
                  </w:pPr>
                  <w:r>
                    <w:rPr>
                      <w:rStyle w:val="29"/>
                      <w:rFonts w:hint="default" w:ascii="Times New Roman" w:hAnsi="Times New Roman" w:eastAsia="宋体" w:cs="Times New Roman"/>
                      <w:sz w:val="21"/>
                      <w:szCs w:val="21"/>
                      <w:lang w:val="en-US"/>
                    </w:rPr>
                    <w:t>矿物油</w:t>
                  </w:r>
                </w:p>
              </w:tc>
              <w:tc>
                <w:tcPr>
                  <w:tcW w:w="1733" w:type="pct"/>
                  <w:vMerge w:val="continue"/>
                  <w:noWrap w:val="0"/>
                  <w:vAlign w:val="center"/>
                </w:tcPr>
                <w:p>
                  <w:pPr>
                    <w:pStyle w:val="22"/>
                    <w:spacing w:line="240" w:lineRule="auto"/>
                    <w:rPr>
                      <w:rStyle w:val="29"/>
                      <w:rFonts w:hint="default" w:ascii="Times New Roman" w:hAnsi="Times New Roman" w:eastAsia="宋体" w:cs="Times New Roman"/>
                      <w:sz w:val="21"/>
                      <w:szCs w:val="21"/>
                    </w:rPr>
                  </w:pPr>
                </w:p>
              </w:tc>
              <w:tc>
                <w:tcPr>
                  <w:tcW w:w="467"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389"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495"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994" w:type="pct"/>
                  <w:noWrap w:val="0"/>
                  <w:vAlign w:val="center"/>
                </w:tcPr>
                <w:p>
                  <w:pPr>
                    <w:adjustRightInd w:val="0"/>
                    <w:snapToGrid w:val="0"/>
                    <w:spacing w:line="240" w:lineRule="auto"/>
                    <w:jc w:val="center"/>
                    <w:rPr>
                      <w:rStyle w:val="29"/>
                      <w:rFonts w:hint="default" w:ascii="Times New Roman" w:hAnsi="Times New Roman" w:eastAsia="宋体" w:cs="Times New Roman"/>
                      <w:sz w:val="21"/>
                      <w:szCs w:val="21"/>
                      <w:u w:val="none"/>
                      <w:lang w:eastAsia="zh-CN"/>
                    </w:rPr>
                  </w:pPr>
                  <w:r>
                    <w:rPr>
                      <w:rFonts w:hint="default" w:ascii="Times New Roman" w:hAnsi="Times New Roman" w:eastAsia="宋体" w:cs="Times New Roman"/>
                      <w:color w:val="000000"/>
                      <w:sz w:val="21"/>
                      <w:szCs w:val="21"/>
                      <w:u w:val="none"/>
                      <w:lang w:val="en-US" w:eastAsia="zh-CN"/>
                    </w:rPr>
                    <w:t>废油桶</w:t>
                  </w:r>
                </w:p>
              </w:tc>
              <w:tc>
                <w:tcPr>
                  <w:tcW w:w="684" w:type="pct"/>
                  <w:noWrap w:val="0"/>
                  <w:vAlign w:val="center"/>
                </w:tcPr>
                <w:p>
                  <w:pPr>
                    <w:pStyle w:val="22"/>
                    <w:spacing w:line="240" w:lineRule="auto"/>
                    <w:rPr>
                      <w:rStyle w:val="29"/>
                      <w:rFonts w:hint="default" w:ascii="Times New Roman" w:hAnsi="Times New Roman" w:eastAsia="宋体" w:cs="Times New Roman"/>
                      <w:sz w:val="21"/>
                      <w:szCs w:val="21"/>
                    </w:rPr>
                  </w:pPr>
                  <w:r>
                    <w:rPr>
                      <w:rStyle w:val="29"/>
                      <w:rFonts w:hint="default" w:ascii="Times New Roman" w:hAnsi="Times New Roman" w:eastAsia="宋体" w:cs="Times New Roman"/>
                      <w:sz w:val="21"/>
                      <w:szCs w:val="21"/>
                      <w:lang w:val="en-US"/>
                    </w:rPr>
                    <w:t>矿物油</w:t>
                  </w:r>
                </w:p>
              </w:tc>
              <w:tc>
                <w:tcPr>
                  <w:tcW w:w="1733" w:type="pct"/>
                  <w:vMerge w:val="continue"/>
                  <w:noWrap w:val="0"/>
                  <w:vAlign w:val="center"/>
                </w:tcPr>
                <w:p>
                  <w:pPr>
                    <w:pStyle w:val="22"/>
                    <w:spacing w:line="240" w:lineRule="auto"/>
                    <w:rPr>
                      <w:rStyle w:val="29"/>
                      <w:rFonts w:hint="default" w:ascii="Times New Roman" w:hAnsi="Times New Roman" w:eastAsia="宋体" w:cs="Times New Roman"/>
                      <w:sz w:val="21"/>
                      <w:szCs w:val="21"/>
                    </w:rPr>
                  </w:pPr>
                </w:p>
              </w:tc>
              <w:tc>
                <w:tcPr>
                  <w:tcW w:w="467"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c>
                <w:tcPr>
                  <w:tcW w:w="389" w:type="pct"/>
                  <w:vMerge w:val="continue"/>
                  <w:noWrap w:val="0"/>
                  <w:vAlign w:val="center"/>
                </w:tcPr>
                <w:p>
                  <w:pPr>
                    <w:pStyle w:val="22"/>
                    <w:spacing w:line="240" w:lineRule="auto"/>
                    <w:rPr>
                      <w:rStyle w:val="29"/>
                      <w:rFonts w:hint="default" w:ascii="Times New Roman" w:hAnsi="Times New Roman" w:eastAsia="宋体" w:cs="Times New Roman"/>
                      <w:color w:val="000000"/>
                      <w:sz w:val="21"/>
                      <w:szCs w:val="21"/>
                    </w:rPr>
                  </w:pPr>
                </w:p>
              </w:tc>
            </w:tr>
          </w:tbl>
          <w:p>
            <w:pPr>
              <w:pStyle w:val="30"/>
              <w:ind w:firstLine="480"/>
              <w:rPr>
                <w:rFonts w:hint="default" w:ascii="Times New Roman" w:hAnsi="Times New Roman" w:eastAsia="宋体" w:cs="Times New Roman"/>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37" w:type="dxa"/>
            <w:noWrap w:val="0"/>
            <w:vAlign w:val="center"/>
          </w:tcPr>
          <w:p>
            <w:pPr>
              <w:pStyle w:val="13"/>
              <w:adjustRightInd w:val="0"/>
              <w:snapToGrid w:val="0"/>
              <w:spacing w:before="0" w:beforeAutospacing="0" w:after="0" w:afterAutospacing="0"/>
              <w:jc w:val="center"/>
              <w:rPr>
                <w:rFonts w:hint="default" w:ascii="Times New Roman" w:hAnsi="Times New Roman" w:eastAsia="宋体" w:cs="Times New Roman"/>
                <w:sz w:val="21"/>
                <w:szCs w:val="21"/>
              </w:rPr>
            </w:pPr>
            <w:r>
              <w:rPr>
                <w:rFonts w:hint="default" w:ascii="Times New Roman" w:hAnsi="Times New Roman" w:eastAsia="宋体" w:cs="Times New Roman"/>
                <w:bCs/>
                <w:snapToGrid w:val="0"/>
                <w:color w:val="000000"/>
                <w:kern w:val="0"/>
                <w:sz w:val="24"/>
                <w:szCs w:val="24"/>
              </w:rPr>
              <w:t>与项目有关的原有环境污染问题</w:t>
            </w:r>
          </w:p>
        </w:tc>
        <w:tc>
          <w:tcPr>
            <w:tcW w:w="8624" w:type="dxa"/>
            <w:noWrap w:val="0"/>
            <w:vAlign w:val="top"/>
          </w:tcPr>
          <w:p>
            <w:pPr>
              <w:pStyle w:val="4"/>
              <w:spacing w:line="360" w:lineRule="auto"/>
              <w:outlineLvl w:val="1"/>
              <w:rPr>
                <w:rFonts w:hint="default" w:ascii="Times New Roman" w:hAnsi="Times New Roman" w:eastAsia="宋体" w:cs="Times New Roman"/>
                <w:sz w:val="24"/>
                <w:szCs w:val="24"/>
              </w:rPr>
            </w:pPr>
            <w:bookmarkStart w:id="28" w:name="_Toc6192"/>
            <w:r>
              <w:rPr>
                <w:rFonts w:hint="default" w:ascii="Times New Roman" w:hAnsi="Times New Roman" w:eastAsia="宋体" w:cs="Times New Roman"/>
                <w:sz w:val="24"/>
                <w:szCs w:val="24"/>
                <w:lang w:val="en-US" w:eastAsia="zh-CN"/>
              </w:rPr>
              <w:t>2.3.1</w:t>
            </w:r>
            <w:r>
              <w:rPr>
                <w:rFonts w:hint="default" w:ascii="Times New Roman" w:hAnsi="Times New Roman" w:eastAsia="宋体" w:cs="Times New Roman"/>
                <w:sz w:val="24"/>
                <w:szCs w:val="24"/>
              </w:rPr>
              <w:t>企业发展历程</w:t>
            </w:r>
            <w:bookmarkEnd w:id="28"/>
          </w:p>
          <w:p>
            <w:pPr>
              <w:widowControl/>
              <w:spacing w:line="360" w:lineRule="auto"/>
              <w:ind w:firstLine="48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sz w:val="24"/>
                <w:highlight w:val="none"/>
                <w:lang w:eastAsia="zh-CN"/>
              </w:rPr>
              <w:t>辰溪县鼎鸿建材有限公司于</w:t>
            </w:r>
            <w:r>
              <w:rPr>
                <w:rFonts w:hint="default" w:ascii="Times New Roman" w:hAnsi="Times New Roman" w:eastAsia="宋体" w:cs="Times New Roman"/>
                <w:sz w:val="24"/>
                <w:highlight w:val="none"/>
                <w:lang w:val="en-US" w:eastAsia="zh-CN"/>
              </w:rPr>
              <w:t>2019年7月19日注册成立，注册资本壹仟万元，统一社会信用代码91431223MA4QM8XJ5Q。公司位于湖南省怀化市辰溪县辰阳镇，法定代表人</w:t>
            </w:r>
            <w:r>
              <w:rPr>
                <w:rFonts w:hint="eastAsia" w:ascii="Times New Roman" w:hAnsi="Times New Roman" w:eastAsia="宋体" w:cs="Times New Roman"/>
                <w:sz w:val="24"/>
                <w:highlight w:val="none"/>
                <w:lang w:val="en-US" w:eastAsia="zh-CN"/>
              </w:rPr>
              <w:t>杨晓亚</w:t>
            </w:r>
            <w:r>
              <w:rPr>
                <w:rFonts w:hint="default" w:ascii="Times New Roman" w:hAnsi="Times New Roman" w:eastAsia="宋体" w:cs="Times New Roman"/>
                <w:sz w:val="24"/>
                <w:highlight w:val="none"/>
                <w:lang w:val="en-US" w:eastAsia="zh-CN"/>
              </w:rPr>
              <w:t>，是一家从事建筑装饰用石开采；砂砾石加工与销售；混凝土生产与销售；混凝土预制件生产与销售；砖瓦及建筑砌块制造与销售；河道清淤整理；装配式建筑设计、安装、研发、咨询与推广；建材批发与零售（不含危险化学品及监控化学品）；建筑材料、建筑工程机械与设备经营租赁的企业。公司目前现有职员20人，经营混凝土生产与销售；河道清淤整理；砂砾石加工与销售等业务。</w:t>
            </w:r>
          </w:p>
          <w:p>
            <w:pPr>
              <w:pStyle w:val="38"/>
              <w:tabs>
                <w:tab w:val="left" w:pos="765"/>
              </w:tabs>
              <w:spacing w:before="0" w:after="0" w:line="360" w:lineRule="auto"/>
              <w:ind w:left="0" w:leftChars="0" w:firstLine="0" w:firstLineChars="0"/>
              <w:jc w:val="both"/>
              <w:outlineLvl w:val="9"/>
              <w:rPr>
                <w:rFonts w:hint="default" w:ascii="Times New Roman" w:hAnsi="Times New Roman" w:eastAsia="宋体" w:cs="Times New Roman"/>
                <w:b w:val="0"/>
                <w:color w:val="auto"/>
                <w:kern w:val="2"/>
                <w:szCs w:val="24"/>
                <w:lang w:val="en-US" w:eastAsia="zh-CN"/>
              </w:rPr>
            </w:pPr>
            <w:bookmarkStart w:id="29" w:name="_Toc10022"/>
            <w:r>
              <w:rPr>
                <w:rFonts w:hint="default" w:ascii="Times New Roman" w:hAnsi="Times New Roman" w:eastAsia="宋体" w:cs="Times New Roman"/>
                <w:b/>
                <w:snapToGrid w:val="0"/>
                <w:color w:val="000000"/>
                <w:kern w:val="0"/>
                <w:sz w:val="24"/>
                <w:szCs w:val="24"/>
                <w:lang w:val="en-US" w:eastAsia="zh-CN"/>
              </w:rPr>
              <w:t>2.3.2</w:t>
            </w:r>
            <w:r>
              <w:rPr>
                <w:rFonts w:hint="default" w:ascii="Times New Roman" w:hAnsi="Times New Roman" w:eastAsia="宋体" w:cs="Times New Roman"/>
                <w:b/>
                <w:snapToGrid w:val="0"/>
                <w:color w:val="000000"/>
                <w:kern w:val="0"/>
                <w:sz w:val="24"/>
                <w:szCs w:val="24"/>
              </w:rPr>
              <w:t>环保手续执行情况</w:t>
            </w:r>
            <w:bookmarkEnd w:id="29"/>
          </w:p>
          <w:p>
            <w:pPr>
              <w:spacing w:line="360" w:lineRule="auto"/>
              <w:ind w:left="106" w:right="165" w:firstLine="478"/>
              <w:rPr>
                <w:rFonts w:hint="default" w:ascii="Times New Roman" w:hAnsi="Times New Roman" w:eastAsia="宋体" w:cs="Times New Roman"/>
                <w:spacing w:val="9"/>
                <w:sz w:val="24"/>
                <w:szCs w:val="24"/>
                <w:highlight w:val="none"/>
                <w:lang w:val="en-US" w:eastAsia="zh-CN"/>
              </w:rPr>
            </w:pPr>
            <w:r>
              <w:rPr>
                <w:rFonts w:hint="default" w:ascii="Times New Roman" w:hAnsi="Times New Roman" w:eastAsia="宋体" w:cs="Times New Roman"/>
                <w:spacing w:val="9"/>
                <w:sz w:val="24"/>
                <w:szCs w:val="24"/>
                <w:highlight w:val="none"/>
                <w:lang w:val="en-US" w:eastAsia="zh-CN"/>
              </w:rPr>
              <w:t>2020年，</w:t>
            </w:r>
            <w:r>
              <w:rPr>
                <w:rFonts w:hint="default" w:ascii="Times New Roman" w:hAnsi="Times New Roman" w:eastAsia="宋体" w:cs="Times New Roman"/>
                <w:spacing w:val="9"/>
                <w:sz w:val="24"/>
                <w:szCs w:val="24"/>
                <w:highlight w:val="none"/>
              </w:rPr>
              <w:t>辰溪县鼎鸿建材有限公司</w:t>
            </w:r>
            <w:r>
              <w:rPr>
                <w:rFonts w:hint="default" w:ascii="Times New Roman" w:hAnsi="Times New Roman" w:eastAsia="宋体" w:cs="Times New Roman"/>
                <w:spacing w:val="9"/>
                <w:sz w:val="24"/>
                <w:szCs w:val="24"/>
                <w:highlight w:val="none"/>
                <w:lang w:val="en-US" w:eastAsia="zh-CN"/>
              </w:rPr>
              <w:t>提交了《</w:t>
            </w:r>
            <w:r>
              <w:rPr>
                <w:rFonts w:hint="default" w:ascii="Times New Roman" w:hAnsi="Times New Roman" w:eastAsia="宋体" w:cs="Times New Roman"/>
                <w:sz w:val="24"/>
              </w:rPr>
              <w:t>辰溪县鼎鸿建材有限公司新建年产50万吨商品混凝土项目</w:t>
            </w:r>
            <w:r>
              <w:rPr>
                <w:rFonts w:hint="default" w:ascii="Times New Roman" w:hAnsi="Times New Roman" w:eastAsia="宋体" w:cs="Times New Roman"/>
                <w:sz w:val="24"/>
                <w:lang w:val="en-US" w:eastAsia="zh-CN"/>
              </w:rPr>
              <w:t>环境影响报告表</w:t>
            </w:r>
            <w:r>
              <w:rPr>
                <w:rFonts w:hint="default" w:ascii="Times New Roman" w:hAnsi="Times New Roman" w:eastAsia="宋体" w:cs="Times New Roman"/>
                <w:spacing w:val="9"/>
                <w:sz w:val="24"/>
                <w:szCs w:val="24"/>
                <w:highlight w:val="none"/>
                <w:lang w:val="en-US" w:eastAsia="zh-CN"/>
              </w:rPr>
              <w:t>》，并于2020年7月取得了项目环评批复（</w:t>
            </w:r>
            <w:r>
              <w:rPr>
                <w:rFonts w:hint="default" w:ascii="Times New Roman" w:hAnsi="Times New Roman" w:eastAsia="宋体" w:cs="Times New Roman"/>
                <w:sz w:val="24"/>
                <w:szCs w:val="24"/>
                <w:lang w:val="en-US" w:eastAsia="zh-CN"/>
              </w:rPr>
              <w:t>怀环辰审</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号文</w:t>
            </w:r>
            <w:r>
              <w:rPr>
                <w:rFonts w:hint="default" w:ascii="Times New Roman" w:hAnsi="Times New Roman" w:eastAsia="宋体" w:cs="Times New Roman"/>
                <w:spacing w:val="9"/>
                <w:sz w:val="24"/>
                <w:szCs w:val="24"/>
                <w:highlight w:val="none"/>
                <w:lang w:val="en-US" w:eastAsia="zh-CN"/>
              </w:rPr>
              <w:t>）。</w:t>
            </w:r>
          </w:p>
          <w:p>
            <w:pPr>
              <w:spacing w:line="360" w:lineRule="auto"/>
              <w:ind w:left="106" w:right="165" w:firstLine="478"/>
              <w:rPr>
                <w:rFonts w:hint="default" w:ascii="Times New Roman" w:hAnsi="Times New Roman" w:eastAsia="宋体" w:cs="Times New Roman"/>
                <w:spacing w:val="9"/>
                <w:sz w:val="24"/>
                <w:szCs w:val="24"/>
                <w:highlight w:val="none"/>
                <w:lang w:val="en-US" w:eastAsia="zh-CN"/>
              </w:rPr>
            </w:pPr>
            <w:r>
              <w:rPr>
                <w:rFonts w:hint="default" w:ascii="Times New Roman" w:hAnsi="Times New Roman" w:eastAsia="宋体" w:cs="Times New Roman"/>
                <w:spacing w:val="9"/>
                <w:sz w:val="24"/>
                <w:szCs w:val="24"/>
                <w:highlight w:val="none"/>
              </w:rPr>
              <w:t>辰溪县鼎鸿建材有限公司</w:t>
            </w:r>
            <w:r>
              <w:rPr>
                <w:rFonts w:hint="default" w:ascii="Times New Roman" w:hAnsi="Times New Roman" w:eastAsia="宋体" w:cs="Times New Roman"/>
                <w:spacing w:val="9"/>
                <w:sz w:val="24"/>
                <w:szCs w:val="24"/>
                <w:highlight w:val="none"/>
                <w:lang w:val="en-US" w:eastAsia="zh-CN"/>
              </w:rPr>
              <w:t>在实际建设中拟扩大生产规模，重新进行了备案，取得了</w:t>
            </w:r>
            <w:r>
              <w:rPr>
                <w:rFonts w:hint="default" w:ascii="Times New Roman" w:hAnsi="Times New Roman" w:eastAsia="宋体" w:cs="Times New Roman"/>
                <w:spacing w:val="7"/>
                <w:sz w:val="24"/>
                <w:szCs w:val="24"/>
                <w:highlight w:val="none"/>
                <w:lang w:val="en-US" w:eastAsia="zh-CN"/>
              </w:rPr>
              <w:t>辰溪县发展和改革局</w:t>
            </w:r>
            <w:r>
              <w:rPr>
                <w:rFonts w:hint="eastAsia" w:ascii="Times New Roman" w:hAnsi="Times New Roman" w:eastAsia="宋体" w:cs="Times New Roman"/>
                <w:spacing w:val="7"/>
                <w:sz w:val="24"/>
                <w:szCs w:val="24"/>
                <w:highlight w:val="none"/>
                <w:lang w:val="en-US" w:eastAsia="zh-CN"/>
              </w:rPr>
              <w:t>下发的</w:t>
            </w:r>
            <w:r>
              <w:rPr>
                <w:rFonts w:hint="default" w:ascii="Times New Roman" w:hAnsi="Times New Roman" w:eastAsia="宋体" w:cs="Times New Roman"/>
                <w:spacing w:val="9"/>
                <w:sz w:val="24"/>
                <w:szCs w:val="24"/>
                <w:highlight w:val="none"/>
                <w:lang w:val="en-US" w:eastAsia="zh-CN"/>
              </w:rPr>
              <w:t>《辰溪县鼎鸿建材有限公司商品混凝土搅拌站备案证明》（辰发改工备〔2022〕17号），目前正展开重新报批工作。</w:t>
            </w:r>
          </w:p>
          <w:p>
            <w:pPr>
              <w:pStyle w:val="38"/>
              <w:tabs>
                <w:tab w:val="left" w:pos="765"/>
              </w:tabs>
              <w:spacing w:before="0" w:after="0" w:line="360" w:lineRule="auto"/>
              <w:ind w:left="0" w:leftChars="0" w:firstLine="0" w:firstLineChars="0"/>
              <w:jc w:val="both"/>
              <w:outlineLvl w:val="9"/>
              <w:rPr>
                <w:rFonts w:hint="default" w:ascii="Times New Roman" w:hAnsi="Times New Roman" w:eastAsia="宋体" w:cs="Times New Roman"/>
                <w:b/>
                <w:snapToGrid w:val="0"/>
                <w:color w:val="000000"/>
                <w:kern w:val="0"/>
                <w:sz w:val="24"/>
                <w:szCs w:val="24"/>
                <w:lang w:val="en-US" w:eastAsia="zh-CN"/>
              </w:rPr>
            </w:pPr>
            <w:bookmarkStart w:id="30" w:name="_Toc21522"/>
            <w:r>
              <w:rPr>
                <w:rFonts w:hint="default" w:ascii="Times New Roman" w:hAnsi="Times New Roman" w:eastAsia="宋体" w:cs="Times New Roman"/>
                <w:b/>
                <w:snapToGrid w:val="0"/>
                <w:color w:val="000000"/>
                <w:kern w:val="0"/>
                <w:sz w:val="24"/>
                <w:szCs w:val="24"/>
                <w:lang w:val="en-US" w:eastAsia="zh-CN"/>
              </w:rPr>
              <w:t>2.3.3</w:t>
            </w:r>
            <w:r>
              <w:rPr>
                <w:rFonts w:hint="default" w:ascii="Times New Roman" w:hAnsi="Times New Roman" w:eastAsia="宋体" w:cs="Times New Roman"/>
                <w:b/>
                <w:snapToGrid w:val="0"/>
                <w:color w:val="000000"/>
                <w:kern w:val="0"/>
                <w:sz w:val="24"/>
                <w:szCs w:val="24"/>
              </w:rPr>
              <w:t>与本项目有关的原有污染物情况</w:t>
            </w:r>
            <w:bookmarkEnd w:id="30"/>
          </w:p>
          <w:p>
            <w:pPr>
              <w:pStyle w:val="30"/>
              <w:spacing w:line="360" w:lineRule="auto"/>
              <w:ind w:firstLine="420"/>
              <w:rPr>
                <w:rFonts w:hint="default" w:ascii="Times New Roman" w:hAnsi="Times New Roman" w:eastAsia="宋体" w:cs="Times New Roman"/>
                <w:bCs/>
                <w:sz w:val="21"/>
                <w:szCs w:val="21"/>
                <w:lang w:val="en-US"/>
              </w:rPr>
            </w:pPr>
            <w:r>
              <w:rPr>
                <w:rFonts w:hint="eastAsia" w:ascii="Times New Roman" w:hAnsi="Times New Roman" w:eastAsia="宋体" w:cs="Times New Roman"/>
                <w:b w:val="0"/>
                <w:color w:val="auto"/>
                <w:kern w:val="2"/>
                <w:szCs w:val="24"/>
                <w:lang w:val="en-US" w:eastAsia="zh-CN"/>
              </w:rPr>
              <w:t>项目用地在本项目建设以前为空地，</w:t>
            </w:r>
            <w:r>
              <w:rPr>
                <w:rFonts w:hint="default" w:ascii="Times New Roman" w:hAnsi="Times New Roman" w:eastAsia="宋体" w:cs="Times New Roman"/>
                <w:b w:val="0"/>
                <w:color w:val="auto"/>
                <w:kern w:val="2"/>
                <w:szCs w:val="24"/>
                <w:lang w:val="en-US" w:eastAsia="zh-CN"/>
              </w:rPr>
              <w:t>无原有污染问题。</w:t>
            </w:r>
            <w:r>
              <w:rPr>
                <w:rFonts w:hint="eastAsia" w:ascii="Times New Roman" w:hAnsi="Times New Roman" w:eastAsia="宋体" w:cs="Times New Roman"/>
                <w:b w:val="0"/>
                <w:color w:val="0000FF"/>
                <w:kern w:val="2"/>
                <w:szCs w:val="24"/>
                <w:lang w:val="en-US" w:eastAsia="zh-CN"/>
              </w:rPr>
              <w:t>项目于2020年进行了一次环评，但尚未建成就已经发生了重大变动，现根据相关法律法规及原批复要求，重新报批，项目未进行生产，无污染产生。</w:t>
            </w:r>
          </w:p>
        </w:tc>
      </w:tr>
    </w:tbl>
    <w:p>
      <w:pPr>
        <w:pStyle w:val="3"/>
        <w:keepLines/>
        <w:overflowPunct/>
        <w:snapToGrid/>
        <w:spacing w:before="0" w:after="0" w:line="360" w:lineRule="auto"/>
        <w:ind w:left="0" w:firstLine="0"/>
        <w:outlineLvl w:val="9"/>
        <w:rPr>
          <w:rFonts w:hint="default" w:ascii="Times New Roman" w:hAnsi="Times New Roman" w:eastAsia="宋体" w:cs="Times New Roman"/>
          <w:b w:val="0"/>
          <w:color w:val="0000FF"/>
          <w:sz w:val="28"/>
          <w:szCs w:val="28"/>
        </w:rPr>
        <w:sectPr>
          <w:footerReference r:id="rId7" w:type="default"/>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
        <w:keepLines/>
        <w:overflowPunct/>
        <w:snapToGrid/>
        <w:spacing w:before="0" w:after="0" w:line="360" w:lineRule="auto"/>
        <w:ind w:left="0" w:firstLine="0"/>
        <w:jc w:val="center"/>
        <w:rPr>
          <w:rFonts w:hint="default" w:ascii="Times New Roman" w:hAnsi="Times New Roman" w:eastAsia="宋体" w:cs="Times New Roman"/>
          <w:b w:val="0"/>
          <w:color w:val="auto"/>
        </w:rPr>
      </w:pPr>
      <w:bookmarkStart w:id="31" w:name="_Toc8269"/>
      <w:bookmarkStart w:id="32" w:name="_Toc4735"/>
      <w:bookmarkStart w:id="33" w:name="_Toc17303"/>
      <w:bookmarkStart w:id="34" w:name="_Toc15119"/>
      <w:bookmarkStart w:id="35" w:name="_Toc66354771"/>
      <w:bookmarkStart w:id="36" w:name="_Toc16646"/>
      <w:bookmarkStart w:id="37" w:name="_Toc11260"/>
      <w:bookmarkStart w:id="38" w:name="_Toc31941"/>
      <w:bookmarkStart w:id="39" w:name="_Toc29202"/>
      <w:bookmarkStart w:id="40" w:name="_Toc16344"/>
      <w:r>
        <w:rPr>
          <w:rFonts w:hint="default" w:ascii="Times New Roman" w:hAnsi="Times New Roman" w:eastAsia="宋体" w:cs="Times New Roman"/>
          <w:b w:val="0"/>
          <w:color w:val="auto"/>
        </w:rPr>
        <w:t>三、区域环境质量现状、环境保护目标及评价标准</w:t>
      </w:r>
      <w:bookmarkEnd w:id="31"/>
      <w:bookmarkEnd w:id="32"/>
      <w:bookmarkEnd w:id="33"/>
      <w:bookmarkEnd w:id="34"/>
      <w:bookmarkEnd w:id="35"/>
      <w:bookmarkEnd w:id="36"/>
      <w:bookmarkEnd w:id="37"/>
      <w:bookmarkEnd w:id="38"/>
      <w:bookmarkEnd w:id="39"/>
      <w:bookmarkEnd w:id="40"/>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dxa"/>
            <w:noWrap w:val="0"/>
            <w:vAlign w:val="center"/>
          </w:tcPr>
          <w:p>
            <w:pPr>
              <w:pStyle w:val="13"/>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区域</w:t>
            </w:r>
          </w:p>
          <w:p>
            <w:pPr>
              <w:pStyle w:val="13"/>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w:t>
            </w:r>
          </w:p>
          <w:p>
            <w:pPr>
              <w:pStyle w:val="13"/>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质量</w:t>
            </w:r>
          </w:p>
          <w:p>
            <w:pPr>
              <w:pStyle w:val="13"/>
              <w:adjustRightInd w:val="0"/>
              <w:snapToGrid w:val="0"/>
              <w:spacing w:before="0" w:beforeAutospacing="0" w:after="0" w:afterAutospacing="0"/>
              <w:jc w:val="center"/>
              <w:rPr>
                <w:rFonts w:hint="default" w:ascii="Times New Roman" w:hAnsi="Times New Roman" w:eastAsia="宋体" w:cs="Times New Roman"/>
                <w:sz w:val="21"/>
                <w:szCs w:val="21"/>
              </w:rPr>
            </w:pPr>
            <w:r>
              <w:rPr>
                <w:rFonts w:hint="default" w:ascii="Times New Roman" w:hAnsi="Times New Roman" w:eastAsia="宋体" w:cs="Times New Roman"/>
                <w:sz w:val="24"/>
                <w:szCs w:val="24"/>
              </w:rPr>
              <w:t>现状</w:t>
            </w:r>
          </w:p>
        </w:tc>
        <w:tc>
          <w:tcPr>
            <w:tcW w:w="8608" w:type="dxa"/>
            <w:noWrap w:val="0"/>
            <w:vAlign w:val="center"/>
          </w:tcPr>
          <w:p>
            <w:pPr>
              <w:pStyle w:val="5"/>
              <w:spacing w:line="360" w:lineRule="auto"/>
              <w:outlineLvl w:val="2"/>
              <w:rPr>
                <w:rFonts w:hint="default" w:ascii="Times New Roman" w:hAnsi="Times New Roman" w:eastAsia="宋体" w:cs="Times New Roman"/>
                <w:sz w:val="24"/>
                <w:szCs w:val="24"/>
              </w:rPr>
            </w:pPr>
            <w:bookmarkStart w:id="41" w:name="_Toc18205"/>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环境空气质量现状</w:t>
            </w:r>
            <w:bookmarkEnd w:id="41"/>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1、空气质量达标区判定</w:t>
            </w:r>
          </w:p>
          <w:p>
            <w:pPr>
              <w:pStyle w:val="30"/>
              <w:spacing w:line="360" w:lineRule="auto"/>
              <w:ind w:firstLine="420"/>
              <w:rPr>
                <w:rFonts w:hint="eastAsia" w:ascii="Times New Roman" w:hAnsi="Times New Roman" w:eastAsia="宋体" w:cs="Times New Roman"/>
                <w:sz w:val="24"/>
                <w:szCs w:val="24"/>
                <w:lang w:eastAsia="zh-CN"/>
              </w:rPr>
            </w:pPr>
            <w:r>
              <w:rPr>
                <w:rFonts w:hint="default" w:ascii="Times New Roman" w:hAnsi="Times New Roman" w:cs="Times New Roman"/>
                <w:kern w:val="0"/>
                <w:sz w:val="24"/>
                <w:lang w:val="zh-CN"/>
              </w:rPr>
              <w:t>本项目</w:t>
            </w:r>
            <w:r>
              <w:rPr>
                <w:rFonts w:hint="eastAsia" w:ascii="Times New Roman" w:hAnsi="Times New Roman" w:eastAsia="宋体" w:cs="Times New Roman"/>
                <w:kern w:val="0"/>
                <w:sz w:val="24"/>
                <w:lang w:val="en-US" w:eastAsia="zh-CN"/>
              </w:rPr>
              <w:t>位于</w:t>
            </w:r>
            <w:r>
              <w:rPr>
                <w:rFonts w:hint="default" w:ascii="Times New Roman" w:hAnsi="Times New Roman" w:eastAsia="宋体" w:cs="Times New Roman"/>
                <w:sz w:val="24"/>
                <w:szCs w:val="24"/>
                <w:lang w:val="en-US" w:eastAsia="zh-CN"/>
              </w:rPr>
              <w:t>辰溪</w:t>
            </w:r>
            <w:r>
              <w:rPr>
                <w:rFonts w:hint="default" w:ascii="Times New Roman" w:hAnsi="Times New Roman" w:eastAsia="宋体" w:cs="Times New Roman"/>
                <w:sz w:val="24"/>
                <w:szCs w:val="24"/>
              </w:rPr>
              <w:t>县</w:t>
            </w:r>
            <w:r>
              <w:rPr>
                <w:rFonts w:hint="eastAsia" w:ascii="Times New Roman" w:hAnsi="Times New Roman" w:eastAsia="宋体" w:cs="Times New Roman"/>
                <w:sz w:val="24"/>
                <w:szCs w:val="24"/>
                <w:lang w:eastAsia="zh-CN"/>
              </w:rPr>
              <w:t>，</w:t>
            </w:r>
            <w:r>
              <w:rPr>
                <w:rFonts w:hint="default" w:ascii="Times New Roman" w:hAnsi="Times New Roman" w:cs="Times New Roman"/>
                <w:kern w:val="0"/>
                <w:sz w:val="24"/>
                <w:lang w:val="zh-CN"/>
              </w:rPr>
              <w:t>环境空气质量执行《环境空气质量标准》（</w:t>
            </w:r>
            <w:r>
              <w:rPr>
                <w:rFonts w:hint="default" w:ascii="Times New Roman" w:hAnsi="Times New Roman" w:cs="Times New Roman"/>
                <w:kern w:val="0"/>
                <w:sz w:val="24"/>
              </w:rPr>
              <w:t>GB3095-2012</w:t>
            </w:r>
            <w:r>
              <w:rPr>
                <w:rFonts w:hint="default" w:ascii="Times New Roman" w:hAnsi="Times New Roman" w:cs="Times New Roman"/>
                <w:kern w:val="0"/>
                <w:sz w:val="24"/>
                <w:lang w:val="zh-CN"/>
              </w:rPr>
              <w:t>）中二级标准</w:t>
            </w:r>
            <w:r>
              <w:rPr>
                <w:rFonts w:hint="eastAsia" w:ascii="Times New Roman" w:hAnsi="Times New Roman" w:cs="Times New Roman"/>
                <w:kern w:val="0"/>
                <w:sz w:val="24"/>
                <w:lang w:val="zh-CN"/>
              </w:rPr>
              <w:t>，</w:t>
            </w:r>
            <w:r>
              <w:rPr>
                <w:rFonts w:hint="default" w:ascii="Times New Roman" w:hAnsi="Times New Roman" w:eastAsia="宋体" w:cs="Times New Roman"/>
                <w:sz w:val="24"/>
                <w:szCs w:val="24"/>
              </w:rPr>
              <w:t>根据</w:t>
            </w:r>
            <w:r>
              <w:rPr>
                <w:rFonts w:hint="default" w:ascii="Times New Roman" w:hAnsi="Times New Roman" w:eastAsia="宋体" w:cs="Times New Roman"/>
                <w:sz w:val="24"/>
                <w:szCs w:val="24"/>
                <w:lang w:val="en-US" w:eastAsia="zh-CN"/>
              </w:rPr>
              <w:t>怀化</w:t>
            </w:r>
            <w:r>
              <w:rPr>
                <w:rFonts w:hint="default" w:ascii="Times New Roman" w:hAnsi="Times New Roman" w:eastAsia="宋体" w:cs="Times New Roman"/>
                <w:sz w:val="24"/>
                <w:szCs w:val="24"/>
              </w:rPr>
              <w:t>市生态环境局发布的《</w:t>
            </w:r>
            <w:r>
              <w:rPr>
                <w:rFonts w:hint="default" w:ascii="Times New Roman" w:hAnsi="Times New Roman" w:eastAsia="宋体" w:cs="Times New Roman"/>
                <w:sz w:val="24"/>
                <w:szCs w:val="24"/>
                <w:lang w:val="en-US" w:eastAsia="zh-CN"/>
              </w:rPr>
              <w:t>怀化</w:t>
            </w:r>
            <w:r>
              <w:rPr>
                <w:rFonts w:hint="default" w:ascii="Times New Roman" w:hAnsi="Times New Roman" w:eastAsia="宋体" w:cs="Times New Roman"/>
                <w:sz w:val="24"/>
                <w:szCs w:val="24"/>
              </w:rPr>
              <w:t>市</w:t>
            </w:r>
            <w:r>
              <w:rPr>
                <w:rFonts w:hint="default" w:ascii="Times New Roman" w:hAnsi="Times New Roman" w:eastAsia="宋体" w:cs="Times New Roman"/>
                <w:sz w:val="24"/>
                <w:szCs w:val="24"/>
                <w:lang w:val="en-US" w:eastAsia="zh-CN"/>
              </w:rPr>
              <w:t>城市环境空气质量年报</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2021年）</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常规因子监测数据</w:t>
            </w:r>
            <w:r>
              <w:rPr>
                <w:rFonts w:hint="default" w:ascii="Times New Roman" w:hAnsi="Times New Roman" w:eastAsia="宋体" w:cs="Times New Roman"/>
                <w:sz w:val="24"/>
                <w:szCs w:val="24"/>
              </w:rPr>
              <w:t>如下</w:t>
            </w:r>
            <w:r>
              <w:rPr>
                <w:rFonts w:hint="eastAsia" w:ascii="Times New Roman" w:hAnsi="Times New Roman" w:eastAsia="宋体" w:cs="Times New Roman"/>
                <w:sz w:val="24"/>
                <w:szCs w:val="24"/>
                <w:lang w:eastAsia="zh-CN"/>
              </w:rPr>
              <w:t>：</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表3-</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US" w:eastAsia="zh-CN"/>
              </w:rPr>
              <w:t>辰溪</w:t>
            </w:r>
            <w:r>
              <w:rPr>
                <w:rFonts w:hint="default" w:ascii="Times New Roman" w:hAnsi="Times New Roman" w:eastAsia="宋体" w:cs="Times New Roman"/>
                <w:b/>
                <w:bCs/>
                <w:sz w:val="21"/>
                <w:szCs w:val="21"/>
              </w:rPr>
              <w:t>县区域空气质量现状评价表</w:t>
            </w:r>
          </w:p>
          <w:tbl>
            <w:tblPr>
              <w:tblStyle w:val="15"/>
              <w:tblW w:w="8420" w:type="dxa"/>
              <w:jc w:val="center"/>
              <w:tblLayout w:type="autofit"/>
              <w:tblCellMar>
                <w:top w:w="0" w:type="dxa"/>
                <w:left w:w="108" w:type="dxa"/>
                <w:bottom w:w="0" w:type="dxa"/>
                <w:right w:w="108" w:type="dxa"/>
              </w:tblCellMar>
            </w:tblPr>
            <w:tblGrid>
              <w:gridCol w:w="871"/>
              <w:gridCol w:w="2770"/>
              <w:gridCol w:w="1299"/>
              <w:gridCol w:w="1233"/>
              <w:gridCol w:w="1053"/>
              <w:gridCol w:w="1194"/>
            </w:tblGrid>
            <w:tr>
              <w:tblPrEx>
                <w:tblCellMar>
                  <w:top w:w="0" w:type="dxa"/>
                  <w:left w:w="108" w:type="dxa"/>
                  <w:bottom w:w="0" w:type="dxa"/>
                  <w:right w:w="108" w:type="dxa"/>
                </w:tblCellMar>
              </w:tblPrEx>
              <w:trPr>
                <w:trHeight w:val="283" w:hRule="atLeast"/>
                <w:jc w:val="center"/>
              </w:trPr>
              <w:tc>
                <w:tcPr>
                  <w:tcW w:w="51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tc>
              <w:tc>
                <w:tcPr>
                  <w:tcW w:w="1644"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年评价指标</w:t>
                  </w:r>
                </w:p>
              </w:tc>
              <w:tc>
                <w:tcPr>
                  <w:tcW w:w="771"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现状浓度</w:t>
                  </w:r>
                </w:p>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（µg/m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732"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标准值</w:t>
                  </w:r>
                </w:p>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（µg/m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625"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占标率%</w:t>
                  </w:r>
                </w:p>
              </w:tc>
              <w:tc>
                <w:tcPr>
                  <w:tcW w:w="708"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达标情况</w:t>
                  </w:r>
                </w:p>
              </w:tc>
            </w:tr>
            <w:tr>
              <w:tblPrEx>
                <w:tblCellMar>
                  <w:top w:w="0" w:type="dxa"/>
                  <w:left w:w="108" w:type="dxa"/>
                  <w:bottom w:w="0" w:type="dxa"/>
                  <w:right w:w="108" w:type="dxa"/>
                </w:tblCellMar>
              </w:tblPrEx>
              <w:trPr>
                <w:trHeight w:val="283" w:hRule="atLeast"/>
                <w:jc w:val="center"/>
              </w:trPr>
              <w:tc>
                <w:tcPr>
                  <w:tcW w:w="51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644"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年平均质量浓度</w:t>
                  </w:r>
                </w:p>
              </w:tc>
              <w:tc>
                <w:tcPr>
                  <w:tcW w:w="771"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732"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625"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w:t>
                  </w:r>
                </w:p>
              </w:tc>
              <w:tc>
                <w:tcPr>
                  <w:tcW w:w="708"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CellMar>
                  <w:top w:w="0" w:type="dxa"/>
                  <w:left w:w="108" w:type="dxa"/>
                  <w:bottom w:w="0" w:type="dxa"/>
                  <w:right w:w="108" w:type="dxa"/>
                </w:tblCellMar>
              </w:tblPrEx>
              <w:trPr>
                <w:trHeight w:val="283" w:hRule="atLeast"/>
                <w:jc w:val="center"/>
              </w:trPr>
              <w:tc>
                <w:tcPr>
                  <w:tcW w:w="51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p>
              </w:tc>
              <w:tc>
                <w:tcPr>
                  <w:tcW w:w="1644"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年平均质量浓度</w:t>
                  </w:r>
                </w:p>
              </w:tc>
              <w:tc>
                <w:tcPr>
                  <w:tcW w:w="771"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8</w:t>
                  </w:r>
                </w:p>
              </w:tc>
              <w:tc>
                <w:tcPr>
                  <w:tcW w:w="732"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625"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20.0</w:t>
                  </w:r>
                </w:p>
              </w:tc>
              <w:tc>
                <w:tcPr>
                  <w:tcW w:w="708"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CellMar>
                  <w:top w:w="0" w:type="dxa"/>
                  <w:left w:w="108" w:type="dxa"/>
                  <w:bottom w:w="0" w:type="dxa"/>
                  <w:right w:w="108" w:type="dxa"/>
                </w:tblCellMar>
              </w:tblPrEx>
              <w:trPr>
                <w:trHeight w:val="283" w:hRule="atLeast"/>
                <w:jc w:val="center"/>
              </w:trPr>
              <w:tc>
                <w:tcPr>
                  <w:tcW w:w="51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w:t>
                  </w:r>
                </w:p>
              </w:tc>
              <w:tc>
                <w:tcPr>
                  <w:tcW w:w="1644"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百分位数日平均质量浓度</w:t>
                  </w:r>
                </w:p>
              </w:tc>
              <w:tc>
                <w:tcPr>
                  <w:tcW w:w="771"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1.6m</w:t>
                  </w:r>
                  <w:r>
                    <w:rPr>
                      <w:rFonts w:hint="default" w:ascii="Times New Roman" w:hAnsi="Times New Roman" w:eastAsia="宋体" w:cs="Times New Roman"/>
                      <w:sz w:val="21"/>
                      <w:szCs w:val="21"/>
                    </w:rPr>
                    <w:t>g/m</w:t>
                  </w:r>
                  <w:r>
                    <w:rPr>
                      <w:rFonts w:hint="default" w:ascii="Times New Roman" w:hAnsi="Times New Roman" w:eastAsia="宋体" w:cs="Times New Roman"/>
                      <w:sz w:val="21"/>
                      <w:szCs w:val="21"/>
                      <w:vertAlign w:val="superscript"/>
                    </w:rPr>
                    <w:t>3</w:t>
                  </w:r>
                </w:p>
              </w:tc>
              <w:tc>
                <w:tcPr>
                  <w:tcW w:w="732"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.0m</w:t>
                  </w:r>
                  <w:r>
                    <w:rPr>
                      <w:rFonts w:hint="default" w:ascii="Times New Roman" w:hAnsi="Times New Roman" w:eastAsia="宋体" w:cs="Times New Roman"/>
                      <w:sz w:val="21"/>
                      <w:szCs w:val="21"/>
                    </w:rPr>
                    <w:t>g/m</w:t>
                  </w:r>
                  <w:r>
                    <w:rPr>
                      <w:rFonts w:hint="default" w:ascii="Times New Roman" w:hAnsi="Times New Roman" w:eastAsia="宋体" w:cs="Times New Roman"/>
                      <w:sz w:val="21"/>
                      <w:szCs w:val="21"/>
                      <w:vertAlign w:val="superscript"/>
                    </w:rPr>
                    <w:t>3</w:t>
                  </w:r>
                </w:p>
              </w:tc>
              <w:tc>
                <w:tcPr>
                  <w:tcW w:w="625"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40.0</w:t>
                  </w:r>
                </w:p>
              </w:tc>
              <w:tc>
                <w:tcPr>
                  <w:tcW w:w="708"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CellMar>
                  <w:top w:w="0" w:type="dxa"/>
                  <w:left w:w="108" w:type="dxa"/>
                  <w:bottom w:w="0" w:type="dxa"/>
                  <w:right w:w="108" w:type="dxa"/>
                </w:tblCellMar>
              </w:tblPrEx>
              <w:trPr>
                <w:trHeight w:val="283" w:hRule="atLeast"/>
                <w:jc w:val="center"/>
              </w:trPr>
              <w:tc>
                <w:tcPr>
                  <w:tcW w:w="51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1644"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百分位数8h平均质量浓度</w:t>
                  </w:r>
                </w:p>
              </w:tc>
              <w:tc>
                <w:tcPr>
                  <w:tcW w:w="771"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103</w:t>
                  </w:r>
                </w:p>
              </w:tc>
              <w:tc>
                <w:tcPr>
                  <w:tcW w:w="732"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625"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64.4</w:t>
                  </w:r>
                </w:p>
              </w:tc>
              <w:tc>
                <w:tcPr>
                  <w:tcW w:w="708"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CellMar>
                  <w:top w:w="0" w:type="dxa"/>
                  <w:left w:w="108" w:type="dxa"/>
                  <w:bottom w:w="0" w:type="dxa"/>
                  <w:right w:w="108" w:type="dxa"/>
                </w:tblCellMar>
              </w:tblPrEx>
              <w:trPr>
                <w:trHeight w:val="283" w:hRule="atLeast"/>
                <w:jc w:val="center"/>
              </w:trPr>
              <w:tc>
                <w:tcPr>
                  <w:tcW w:w="51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vertAlign w:val="subscript"/>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1644"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年平均质量浓度</w:t>
                  </w:r>
                </w:p>
              </w:tc>
              <w:tc>
                <w:tcPr>
                  <w:tcW w:w="771"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c>
                <w:tcPr>
                  <w:tcW w:w="732"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625"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57.1</w:t>
                  </w:r>
                </w:p>
              </w:tc>
              <w:tc>
                <w:tcPr>
                  <w:tcW w:w="708"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CellMar>
                  <w:top w:w="0" w:type="dxa"/>
                  <w:left w:w="108" w:type="dxa"/>
                  <w:bottom w:w="0" w:type="dxa"/>
                  <w:right w:w="108" w:type="dxa"/>
                </w:tblCellMar>
              </w:tblPrEx>
              <w:trPr>
                <w:trHeight w:val="283" w:hRule="atLeast"/>
                <w:jc w:val="center"/>
              </w:trPr>
              <w:tc>
                <w:tcPr>
                  <w:tcW w:w="51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vertAlign w:val="subscript"/>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p>
              </w:tc>
              <w:tc>
                <w:tcPr>
                  <w:tcW w:w="1644"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vertAlign w:val="subscript"/>
                    </w:rPr>
                  </w:pPr>
                  <w:r>
                    <w:rPr>
                      <w:rFonts w:hint="default" w:ascii="Times New Roman" w:hAnsi="Times New Roman" w:eastAsia="宋体" w:cs="Times New Roman"/>
                      <w:sz w:val="21"/>
                      <w:szCs w:val="21"/>
                    </w:rPr>
                    <w:t>年平均质量浓度</w:t>
                  </w:r>
                </w:p>
              </w:tc>
              <w:tc>
                <w:tcPr>
                  <w:tcW w:w="771"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27</w:t>
                  </w:r>
                </w:p>
              </w:tc>
              <w:tc>
                <w:tcPr>
                  <w:tcW w:w="732"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625"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77.1</w:t>
                  </w:r>
                </w:p>
              </w:tc>
              <w:tc>
                <w:tcPr>
                  <w:tcW w:w="708" w:type="pct"/>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由上表可知，SO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年平均质量浓度</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，CO</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百分位数日平均质量浓度</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、O</w:t>
            </w:r>
            <w:r>
              <w:rPr>
                <w:rFonts w:hint="default" w:ascii="Times New Roman" w:hAnsi="Times New Roman" w:eastAsia="宋体" w:cs="Times New Roman"/>
                <w:sz w:val="24"/>
                <w:szCs w:val="24"/>
                <w:vertAlign w:val="subscript"/>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百分位数8h平均质量浓度</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均未超出《环境空气质量标准》（GB3095-2012）二级标准，</w:t>
            </w:r>
            <w:r>
              <w:rPr>
                <w:rFonts w:hint="default" w:ascii="Times New Roman" w:hAnsi="Times New Roman" w:eastAsia="宋体" w:cs="Times New Roman"/>
                <w:sz w:val="24"/>
                <w:szCs w:val="24"/>
                <w:lang w:val="en-US" w:eastAsia="zh-CN"/>
              </w:rPr>
              <w:t>辰溪</w:t>
            </w:r>
            <w:r>
              <w:rPr>
                <w:rFonts w:hint="default" w:ascii="Times New Roman" w:hAnsi="Times New Roman" w:eastAsia="宋体" w:cs="Times New Roman"/>
                <w:sz w:val="24"/>
                <w:szCs w:val="24"/>
              </w:rPr>
              <w:t>县环境空气质量属于达标区。</w:t>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2、特征污染物环境质量现状评价</w:t>
            </w:r>
          </w:p>
          <w:p>
            <w:pPr>
              <w:pStyle w:val="30"/>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为进一步了解本项目运行后所排放的特征污染因子TSP对周围环境的影响，</w:t>
            </w:r>
            <w:r>
              <w:rPr>
                <w:rFonts w:hint="default" w:ascii="Times New Roman" w:hAnsi="Times New Roman" w:eastAsia="宋体" w:cs="Times New Roman"/>
                <w:sz w:val="24"/>
                <w:szCs w:val="24"/>
                <w:lang w:val="en-US" w:eastAsia="zh-CN"/>
              </w:rPr>
              <w:t>建设单位</w:t>
            </w:r>
            <w:r>
              <w:rPr>
                <w:rFonts w:hint="default" w:ascii="Times New Roman" w:hAnsi="Times New Roman" w:eastAsia="宋体" w:cs="Times New Roman"/>
                <w:sz w:val="24"/>
                <w:szCs w:val="24"/>
              </w:rPr>
              <w:t>委托重庆泰华环境监测有限公司于</w:t>
            </w:r>
            <w:r>
              <w:rPr>
                <w:rFonts w:hint="default" w:ascii="Times New Roman" w:hAnsi="Times New Roman" w:eastAsia="宋体" w:cs="Times New Roman"/>
                <w:sz w:val="24"/>
                <w:szCs w:val="24"/>
                <w:lang w:eastAsia="zh-CN"/>
              </w:rPr>
              <w:t>2022</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08</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12-14</w:t>
            </w:r>
            <w:r>
              <w:rPr>
                <w:rFonts w:hint="default" w:ascii="Times New Roman" w:hAnsi="Times New Roman" w:eastAsia="宋体" w:cs="Times New Roman"/>
                <w:sz w:val="24"/>
                <w:szCs w:val="24"/>
              </w:rPr>
              <w:t>日对项目所在周边TSP特征排放因子进行了环境质量现状监测，监测报告详见附件</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w:t>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①监测因子：TSP；</w:t>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②监测点位：</w:t>
            </w:r>
            <w:r>
              <w:rPr>
                <w:rFonts w:hint="default" w:ascii="Times New Roman" w:hAnsi="Times New Roman" w:eastAsia="宋体" w:cs="Times New Roman"/>
                <w:sz w:val="24"/>
                <w:szCs w:val="24"/>
                <w:lang w:val="en-US" w:eastAsia="zh-CN"/>
              </w:rPr>
              <w:t>厂界西侧约20m</w:t>
            </w:r>
            <w:r>
              <w:rPr>
                <w:rFonts w:hint="default" w:ascii="Times New Roman" w:hAnsi="Times New Roman" w:eastAsia="宋体" w:cs="Times New Roman"/>
                <w:sz w:val="24"/>
                <w:szCs w:val="24"/>
              </w:rPr>
              <w:t>；</w:t>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③监测时间：</w:t>
            </w:r>
            <w:r>
              <w:rPr>
                <w:rFonts w:hint="default" w:ascii="Times New Roman" w:hAnsi="Times New Roman" w:eastAsia="宋体" w:cs="Times New Roman"/>
                <w:sz w:val="24"/>
                <w:szCs w:val="24"/>
                <w:lang w:eastAsia="zh-CN"/>
              </w:rPr>
              <w:t>2022</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08</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12-14</w:t>
            </w:r>
            <w:r>
              <w:rPr>
                <w:rFonts w:hint="default" w:ascii="Times New Roman" w:hAnsi="Times New Roman" w:eastAsia="宋体" w:cs="Times New Roman"/>
                <w:sz w:val="24"/>
                <w:szCs w:val="24"/>
              </w:rPr>
              <w:t>日；</w:t>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④评价标准：TSP执行《环境空气质量标准》（GB3095-2012）二级标准；</w:t>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⑤监测结果与评价</w:t>
            </w:r>
          </w:p>
          <w:p>
            <w:pPr>
              <w:pStyle w:val="25"/>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b/>
                <w:bCs/>
                <w:snapToGrid w:val="0"/>
                <w:color w:val="000000"/>
                <w:kern w:val="0"/>
                <w:sz w:val="21"/>
                <w:szCs w:val="21"/>
              </w:rPr>
              <w:t>表3-</w:t>
            </w:r>
            <w:r>
              <w:rPr>
                <w:rFonts w:hint="default" w:ascii="Times New Roman" w:hAnsi="Times New Roman" w:eastAsia="宋体" w:cs="Times New Roman"/>
                <w:b/>
                <w:bCs/>
                <w:snapToGrid w:val="0"/>
                <w:color w:val="000000"/>
                <w:kern w:val="0"/>
                <w:sz w:val="21"/>
                <w:szCs w:val="21"/>
                <w:lang w:val="en-US" w:eastAsia="zh-CN"/>
              </w:rPr>
              <w:t>2</w:t>
            </w:r>
            <w:r>
              <w:rPr>
                <w:rFonts w:hint="default" w:ascii="Times New Roman" w:hAnsi="Times New Roman" w:eastAsia="宋体" w:cs="Times New Roman"/>
                <w:b/>
                <w:bCs/>
                <w:snapToGrid w:val="0"/>
                <w:color w:val="000000"/>
                <w:kern w:val="0"/>
                <w:sz w:val="21"/>
                <w:szCs w:val="21"/>
              </w:rPr>
              <w:t xml:space="preserve">  环境空气现状监测结果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832"/>
              <w:gridCol w:w="877"/>
              <w:gridCol w:w="1614"/>
              <w:gridCol w:w="1234"/>
              <w:gridCol w:w="885"/>
              <w:gridCol w:w="83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9"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w:t>
                  </w:r>
                </w:p>
              </w:tc>
              <w:tc>
                <w:tcPr>
                  <w:tcW w:w="1709" w:type="dxa"/>
                  <w:gridSpan w:val="2"/>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1614"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浓度范围</w:t>
                  </w:r>
                </w:p>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w:t>
                  </w:r>
                  <w:r>
                    <w:rPr>
                      <w:rFonts w:hint="default" w:ascii="Times New Roman" w:hAnsi="Times New Roman" w:eastAsia="宋体" w:cs="Times New Roman"/>
                      <w:b/>
                      <w:bCs w:val="0"/>
                      <w:color w:val="auto"/>
                      <w:sz w:val="21"/>
                      <w:szCs w:val="21"/>
                      <w:highlight w:val="none"/>
                      <w:lang w:val="en-US" w:eastAsia="zh-CN"/>
                    </w:rPr>
                    <w:t>μ</w:t>
                  </w:r>
                  <w:r>
                    <w:rPr>
                      <w:rFonts w:hint="default" w:ascii="Times New Roman" w:hAnsi="Times New Roman" w:eastAsia="宋体" w:cs="Times New Roman"/>
                      <w:b/>
                      <w:bCs w:val="0"/>
                      <w:color w:val="auto"/>
                      <w:sz w:val="21"/>
                      <w:szCs w:val="21"/>
                      <w:highlight w:val="none"/>
                    </w:rPr>
                    <w:t>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1234"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标准限值</w:t>
                  </w:r>
                </w:p>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w:t>
                  </w:r>
                  <w:r>
                    <w:rPr>
                      <w:rFonts w:hint="default" w:ascii="Times New Roman" w:hAnsi="Times New Roman" w:eastAsia="宋体" w:cs="Times New Roman"/>
                      <w:b/>
                      <w:bCs w:val="0"/>
                      <w:color w:val="auto"/>
                      <w:sz w:val="21"/>
                      <w:szCs w:val="21"/>
                      <w:highlight w:val="none"/>
                      <w:lang w:val="en-US" w:eastAsia="zh-CN"/>
                    </w:rPr>
                    <w:t>μ</w:t>
                  </w:r>
                  <w:r>
                    <w:rPr>
                      <w:rFonts w:hint="default" w:ascii="Times New Roman" w:hAnsi="Times New Roman" w:eastAsia="宋体" w:cs="Times New Roman"/>
                      <w:b/>
                      <w:bCs w:val="0"/>
                      <w:color w:val="auto"/>
                      <w:sz w:val="21"/>
                      <w:szCs w:val="21"/>
                      <w:highlight w:val="none"/>
                    </w:rPr>
                    <w:t>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885"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超标数</w:t>
                  </w:r>
                </w:p>
              </w:tc>
              <w:tc>
                <w:tcPr>
                  <w:tcW w:w="835"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超标率</w:t>
                  </w:r>
                </w:p>
              </w:tc>
              <w:tc>
                <w:tcPr>
                  <w:tcW w:w="1116"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最大占标率（%）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89"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szCs w:val="21"/>
                      <w:lang w:val="en-US" w:eastAsia="zh-CN"/>
                    </w:rPr>
                    <w:t>HQ</w:t>
                  </w:r>
                  <w:r>
                    <w:rPr>
                      <w:rFonts w:hint="default" w:ascii="Times New Roman" w:hAnsi="Times New Roman" w:eastAsia="宋体" w:cs="Times New Roman"/>
                      <w:bCs/>
                      <w:color w:val="auto"/>
                      <w:szCs w:val="21"/>
                      <w:lang w:val="en-US" w:eastAsia="zh-CN"/>
                    </w:rPr>
                    <w:t>1</w:t>
                  </w:r>
                </w:p>
              </w:tc>
              <w:tc>
                <w:tcPr>
                  <w:tcW w:w="832"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4"/>
                      <w:szCs w:val="24"/>
                    </w:rPr>
                    <w:t>TSP</w:t>
                  </w:r>
                </w:p>
              </w:tc>
              <w:tc>
                <w:tcPr>
                  <w:tcW w:w="877"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日均</w:t>
                  </w:r>
                  <w:r>
                    <w:rPr>
                      <w:rFonts w:hint="default" w:ascii="Times New Roman" w:hAnsi="Times New Roman" w:eastAsia="宋体" w:cs="Times New Roman"/>
                      <w:color w:val="auto"/>
                      <w:sz w:val="21"/>
                      <w:szCs w:val="21"/>
                      <w:highlight w:val="none"/>
                    </w:rPr>
                    <w:t>值</w:t>
                  </w:r>
                </w:p>
              </w:tc>
              <w:tc>
                <w:tcPr>
                  <w:tcW w:w="1614"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131-146</w:t>
                  </w:r>
                </w:p>
              </w:tc>
              <w:tc>
                <w:tcPr>
                  <w:tcW w:w="1234"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885"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835"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1116" w:type="dxa"/>
                  <w:noWrap w:val="0"/>
                  <w:vAlign w:val="center"/>
                </w:tcPr>
                <w:p>
                  <w:pPr>
                    <w:pStyle w:val="22"/>
                    <w:keepNext w:val="0"/>
                    <w:keepLines w:val="0"/>
                    <w:widowControl/>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48.7</w:t>
                  </w:r>
                </w:p>
              </w:tc>
            </w:tr>
          </w:tbl>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根据监测结果，评价区域空气环境指标中TSP满足《环境空气质量标准》（GB3095-2012）二级标准。</w:t>
            </w:r>
          </w:p>
          <w:p>
            <w:pPr>
              <w:pStyle w:val="5"/>
              <w:spacing w:line="360" w:lineRule="auto"/>
              <w:outlineLvl w:val="2"/>
              <w:rPr>
                <w:rFonts w:hint="default" w:ascii="Times New Roman" w:hAnsi="Times New Roman" w:eastAsia="宋体" w:cs="Times New Roman"/>
                <w:sz w:val="24"/>
                <w:szCs w:val="24"/>
              </w:rPr>
            </w:pPr>
            <w:bookmarkStart w:id="42" w:name="_Toc26488"/>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2地表水环境质量状况</w:t>
            </w:r>
            <w:bookmarkEnd w:id="42"/>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w:t>
            </w:r>
            <w:r>
              <w:rPr>
                <w:rFonts w:hint="default" w:ascii="Times New Roman" w:hAnsi="Times New Roman" w:eastAsia="宋体" w:cs="Times New Roman"/>
                <w:sz w:val="24"/>
                <w:szCs w:val="24"/>
                <w:lang w:val="en-US" w:eastAsia="zh-CN"/>
              </w:rPr>
              <w:t>怀化</w:t>
            </w:r>
            <w:r>
              <w:rPr>
                <w:rFonts w:hint="default" w:ascii="Times New Roman" w:hAnsi="Times New Roman" w:eastAsia="宋体" w:cs="Times New Roman"/>
                <w:sz w:val="24"/>
                <w:szCs w:val="24"/>
              </w:rPr>
              <w:t>市生态环境局发布的《</w:t>
            </w:r>
            <w:r>
              <w:rPr>
                <w:rFonts w:hint="default" w:ascii="Times New Roman" w:hAnsi="Times New Roman" w:eastAsia="宋体" w:cs="Times New Roman"/>
                <w:sz w:val="24"/>
                <w:szCs w:val="24"/>
                <w:lang w:val="en-US" w:eastAsia="zh-CN"/>
              </w:rPr>
              <w:t>湖南省怀化市水环境质量年报</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2021年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可知，2021年1-12月，我市纳入考核、评价、排名的4</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个断面中，Ⅰ类水质断面</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Ⅱ类水质断面</w:t>
            </w:r>
            <w:r>
              <w:rPr>
                <w:rFonts w:hint="default" w:ascii="Times New Roman" w:hAnsi="Times New Roman" w:eastAsia="宋体" w:cs="Times New Roman"/>
                <w:sz w:val="24"/>
                <w:szCs w:val="24"/>
                <w:lang w:val="en-US" w:eastAsia="zh-CN"/>
              </w:rPr>
              <w:t>48</w:t>
            </w:r>
            <w:r>
              <w:rPr>
                <w:rFonts w:hint="default" w:ascii="Times New Roman" w:hAnsi="Times New Roman" w:eastAsia="宋体" w:cs="Times New Roman"/>
                <w:sz w:val="24"/>
                <w:szCs w:val="24"/>
              </w:rPr>
              <w:t>个，</w:t>
            </w:r>
            <w:r>
              <w:rPr>
                <w:rFonts w:hint="default" w:ascii="Times New Roman" w:hAnsi="Times New Roman" w:eastAsia="宋体" w:cs="Times New Roman"/>
                <w:sz w:val="24"/>
                <w:szCs w:val="24"/>
                <w:lang w:val="en-US" w:eastAsia="zh-CN"/>
              </w:rPr>
              <w:t>达标率为100%</w:t>
            </w:r>
            <w:r>
              <w:rPr>
                <w:rFonts w:hint="default" w:ascii="Times New Roman" w:hAnsi="Times New Roman" w:eastAsia="宋体" w:cs="Times New Roman"/>
                <w:sz w:val="24"/>
                <w:szCs w:val="24"/>
              </w:rPr>
              <w:t>。</w:t>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本项目周边最近的地表水体为</w:t>
            </w:r>
            <w:r>
              <w:rPr>
                <w:rFonts w:hint="default" w:ascii="Times New Roman" w:hAnsi="Times New Roman" w:eastAsia="宋体" w:cs="Times New Roman"/>
                <w:sz w:val="24"/>
                <w:szCs w:val="24"/>
                <w:lang w:val="en-US" w:eastAsia="zh-CN"/>
              </w:rPr>
              <w:t>沅江支流，最终汇入沅江</w:t>
            </w:r>
            <w:r>
              <w:rPr>
                <w:rFonts w:hint="default" w:ascii="Times New Roman" w:hAnsi="Times New Roman" w:eastAsia="宋体" w:cs="Times New Roman"/>
                <w:sz w:val="24"/>
                <w:szCs w:val="24"/>
              </w:rPr>
              <w:t>，距离本项目最近的地表水监测断面为</w:t>
            </w:r>
            <w:r>
              <w:rPr>
                <w:rFonts w:hint="default" w:ascii="Times New Roman" w:hAnsi="Times New Roman" w:eastAsia="宋体" w:cs="Times New Roman"/>
                <w:sz w:val="24"/>
                <w:szCs w:val="24"/>
                <w:lang w:val="en-US" w:eastAsia="zh-CN"/>
              </w:rPr>
              <w:t>大洑潭</w:t>
            </w:r>
            <w:r>
              <w:rPr>
                <w:rFonts w:hint="default" w:ascii="Times New Roman" w:hAnsi="Times New Roman" w:eastAsia="宋体" w:cs="Times New Roman"/>
                <w:sz w:val="24"/>
                <w:szCs w:val="24"/>
              </w:rPr>
              <w:t>断面，其水质监测情况如下表所示。</w:t>
            </w:r>
          </w:p>
          <w:p>
            <w:pPr>
              <w:pStyle w:val="25"/>
              <w:spacing w:line="240" w:lineRule="auto"/>
              <w:rPr>
                <w:rFonts w:hint="default" w:ascii="Times New Roman" w:hAnsi="Times New Roman" w:eastAsia="宋体" w:cs="Times New Roman"/>
                <w:b/>
                <w:bCs/>
                <w:snapToGrid w:val="0"/>
                <w:color w:val="000000"/>
                <w:kern w:val="0"/>
                <w:sz w:val="21"/>
                <w:szCs w:val="21"/>
                <w:lang w:eastAsia="zh-CN"/>
              </w:rPr>
            </w:pPr>
            <w:r>
              <w:rPr>
                <w:rFonts w:hint="default" w:ascii="Times New Roman" w:hAnsi="Times New Roman" w:eastAsia="宋体" w:cs="Times New Roman"/>
                <w:b/>
                <w:bCs/>
                <w:snapToGrid w:val="0"/>
                <w:color w:val="000000"/>
                <w:kern w:val="0"/>
                <w:sz w:val="21"/>
                <w:szCs w:val="21"/>
              </w:rPr>
              <w:t>表3-</w:t>
            </w:r>
            <w:r>
              <w:rPr>
                <w:rFonts w:hint="default" w:ascii="Times New Roman" w:hAnsi="Times New Roman" w:eastAsia="宋体" w:cs="Times New Roman"/>
                <w:b/>
                <w:bCs/>
                <w:snapToGrid w:val="0"/>
                <w:color w:val="000000"/>
                <w:kern w:val="0"/>
                <w:sz w:val="21"/>
                <w:szCs w:val="21"/>
                <w:lang w:val="en-US" w:eastAsia="zh-CN"/>
              </w:rPr>
              <w:t>3</w:t>
            </w:r>
            <w:r>
              <w:rPr>
                <w:rFonts w:hint="default" w:ascii="Times New Roman" w:hAnsi="Times New Roman" w:eastAsia="宋体" w:cs="Times New Roman"/>
                <w:b/>
                <w:bCs/>
                <w:snapToGrid w:val="0"/>
                <w:color w:val="000000"/>
                <w:kern w:val="0"/>
                <w:sz w:val="21"/>
                <w:szCs w:val="21"/>
              </w:rPr>
              <w:t xml:space="preserve">  2021年</w:t>
            </w:r>
            <w:r>
              <w:rPr>
                <w:rFonts w:hint="default" w:ascii="Times New Roman" w:hAnsi="Times New Roman" w:eastAsia="宋体" w:cs="Times New Roman"/>
                <w:b/>
                <w:bCs/>
                <w:snapToGrid w:val="0"/>
                <w:color w:val="000000"/>
                <w:kern w:val="0"/>
                <w:sz w:val="21"/>
                <w:szCs w:val="21"/>
                <w:lang w:val="en-US" w:eastAsia="zh-CN"/>
              </w:rPr>
              <w:t>怀化市</w:t>
            </w:r>
            <w:r>
              <w:rPr>
                <w:rFonts w:hint="default" w:ascii="Times New Roman" w:hAnsi="Times New Roman" w:eastAsia="宋体" w:cs="Times New Roman"/>
                <w:b/>
                <w:bCs/>
                <w:snapToGrid w:val="0"/>
                <w:color w:val="000000"/>
                <w:kern w:val="0"/>
                <w:sz w:val="21"/>
                <w:szCs w:val="21"/>
              </w:rPr>
              <w:t>地表水水质情况</w:t>
            </w:r>
            <w:r>
              <w:rPr>
                <w:rFonts w:hint="default" w:ascii="Times New Roman" w:hAnsi="Times New Roman" w:eastAsia="宋体" w:cs="Times New Roman"/>
                <w:b/>
                <w:bCs/>
                <w:snapToGrid w:val="0"/>
                <w:color w:val="000000"/>
                <w:kern w:val="0"/>
                <w:sz w:val="21"/>
                <w:szCs w:val="21"/>
                <w:lang w:eastAsia="zh-CN"/>
              </w:rPr>
              <w:t>（</w:t>
            </w:r>
            <w:r>
              <w:rPr>
                <w:rFonts w:hint="default" w:ascii="Times New Roman" w:hAnsi="Times New Roman" w:eastAsia="宋体" w:cs="Times New Roman"/>
                <w:b/>
                <w:bCs/>
                <w:snapToGrid w:val="0"/>
                <w:color w:val="000000"/>
                <w:kern w:val="0"/>
                <w:sz w:val="21"/>
                <w:szCs w:val="21"/>
                <w:lang w:val="en-US" w:eastAsia="zh-CN"/>
              </w:rPr>
              <w:t>部分</w:t>
            </w:r>
            <w:r>
              <w:rPr>
                <w:rFonts w:hint="default" w:ascii="Times New Roman" w:hAnsi="Times New Roman" w:eastAsia="宋体" w:cs="Times New Roman"/>
                <w:b/>
                <w:bCs/>
                <w:snapToGrid w:val="0"/>
                <w:color w:val="000000"/>
                <w:kern w:val="0"/>
                <w:sz w:val="21"/>
                <w:szCs w:val="21"/>
                <w:lang w:eastAsia="zh-CN"/>
              </w:rPr>
              <w:t>）</w:t>
            </w:r>
          </w:p>
          <w:p>
            <w:pPr>
              <w:pStyle w:val="2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rPr>
              <w:drawing>
                <wp:inline distT="0" distB="0" distL="114300" distR="114300">
                  <wp:extent cx="5048885" cy="3653790"/>
                  <wp:effectExtent l="0" t="0" r="18415" b="3810"/>
                  <wp:docPr id="9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2"/>
                          <pic:cNvPicPr>
                            <a:picLocks noChangeAspect="1"/>
                          </pic:cNvPicPr>
                        </pic:nvPicPr>
                        <pic:blipFill>
                          <a:blip r:embed="rId18"/>
                          <a:srcRect l="1935" t="7005" r="6568"/>
                          <a:stretch>
                            <a:fillRect/>
                          </a:stretch>
                        </pic:blipFill>
                        <pic:spPr>
                          <a:xfrm>
                            <a:off x="0" y="0"/>
                            <a:ext cx="5048885" cy="3653790"/>
                          </a:xfrm>
                          <a:prstGeom prst="rect">
                            <a:avLst/>
                          </a:prstGeom>
                          <a:noFill/>
                          <a:ln>
                            <a:noFill/>
                          </a:ln>
                        </pic:spPr>
                      </pic:pic>
                    </a:graphicData>
                  </a:graphic>
                </wp:inline>
              </w:drawing>
            </w:r>
          </w:p>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根据上述文字可知，本项目所在区域</w:t>
            </w:r>
            <w:r>
              <w:rPr>
                <w:rFonts w:hint="default" w:ascii="Times New Roman" w:hAnsi="Times New Roman" w:eastAsia="宋体" w:cs="Times New Roman"/>
                <w:sz w:val="24"/>
                <w:szCs w:val="24"/>
                <w:lang w:val="en-US" w:eastAsia="zh-CN"/>
              </w:rPr>
              <w:t>大洑潭断面</w:t>
            </w:r>
            <w:r>
              <w:rPr>
                <w:rFonts w:hint="default" w:ascii="Times New Roman" w:hAnsi="Times New Roman" w:eastAsia="宋体" w:cs="Times New Roman"/>
                <w:sz w:val="24"/>
                <w:szCs w:val="24"/>
              </w:rPr>
              <w:t>水质满足《地表水环境质量标准》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GB3838-2002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中Ⅱ水质标准。</w:t>
            </w:r>
          </w:p>
          <w:p>
            <w:pPr>
              <w:pStyle w:val="5"/>
              <w:spacing w:line="360" w:lineRule="auto"/>
              <w:outlineLvl w:val="2"/>
              <w:rPr>
                <w:rFonts w:hint="default" w:ascii="Times New Roman" w:hAnsi="Times New Roman" w:eastAsia="宋体" w:cs="Times New Roman"/>
                <w:sz w:val="24"/>
                <w:szCs w:val="24"/>
              </w:rPr>
            </w:pPr>
            <w:bookmarkStart w:id="43" w:name="_Toc25105"/>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3声环境质量状况</w:t>
            </w:r>
            <w:bookmarkEnd w:id="43"/>
          </w:p>
          <w:p>
            <w:pPr>
              <w:pStyle w:val="30"/>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为了解评价区域内声环境质量现状，</w:t>
            </w:r>
            <w:r>
              <w:rPr>
                <w:rFonts w:hint="default" w:ascii="Times New Roman" w:hAnsi="Times New Roman" w:eastAsia="宋体" w:cs="Times New Roman"/>
                <w:sz w:val="24"/>
                <w:szCs w:val="24"/>
                <w:lang w:val="en-US" w:eastAsia="zh-CN"/>
              </w:rPr>
              <w:t>建设单位委托</w:t>
            </w:r>
            <w:r>
              <w:rPr>
                <w:rFonts w:hint="default" w:ascii="Times New Roman" w:hAnsi="Times New Roman" w:eastAsia="宋体" w:cs="Times New Roman"/>
                <w:sz w:val="24"/>
                <w:szCs w:val="24"/>
              </w:rPr>
              <w:t>重庆泰华环境监测有限公司于</w:t>
            </w:r>
            <w:r>
              <w:rPr>
                <w:rFonts w:hint="default" w:ascii="Times New Roman" w:hAnsi="Times New Roman" w:eastAsia="宋体" w:cs="Times New Roman"/>
                <w:sz w:val="24"/>
                <w:szCs w:val="24"/>
                <w:lang w:eastAsia="zh-CN"/>
              </w:rPr>
              <w:t>2022</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08</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12-13</w:t>
            </w:r>
            <w:r>
              <w:rPr>
                <w:rFonts w:hint="default" w:ascii="Times New Roman" w:hAnsi="Times New Roman" w:eastAsia="宋体" w:cs="Times New Roman"/>
                <w:sz w:val="24"/>
                <w:szCs w:val="24"/>
              </w:rPr>
              <w:t>日对项目厂区周边敏感点进行的噪声现状监测，监测结果见表3-</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，监测报告详见附件</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w:t>
            </w:r>
          </w:p>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表3-</w:t>
            </w:r>
            <w:r>
              <w:rPr>
                <w:rFonts w:hint="default" w:ascii="Times New Roman" w:hAnsi="Times New Roman" w:eastAsia="宋体" w:cs="Times New Roman"/>
                <w:b/>
                <w:bCs/>
                <w:snapToGrid w:val="0"/>
                <w:color w:val="000000"/>
                <w:kern w:val="0"/>
                <w:sz w:val="21"/>
                <w:szCs w:val="21"/>
                <w:lang w:val="en-US" w:eastAsia="zh-CN"/>
              </w:rPr>
              <w:t>4</w:t>
            </w:r>
            <w:r>
              <w:rPr>
                <w:rFonts w:hint="default" w:ascii="Times New Roman" w:hAnsi="Times New Roman" w:eastAsia="宋体" w:cs="Times New Roman"/>
                <w:b/>
                <w:bCs/>
                <w:snapToGrid w:val="0"/>
                <w:color w:val="000000"/>
                <w:kern w:val="0"/>
                <w:sz w:val="21"/>
                <w:szCs w:val="21"/>
              </w:rPr>
              <w:t xml:space="preserve">  噪声环境质量监测结果</w:t>
            </w:r>
          </w:p>
          <w:tbl>
            <w:tblPr>
              <w:tblStyle w:val="15"/>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316"/>
              <w:gridCol w:w="1108"/>
              <w:gridCol w:w="1105"/>
              <w:gridCol w:w="1137"/>
              <w:gridCol w:w="110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restart"/>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rPr>
                    <w:t>点位编号及名称</w:t>
                  </w:r>
                </w:p>
              </w:tc>
              <w:tc>
                <w:tcPr>
                  <w:tcW w:w="1316" w:type="dxa"/>
                  <w:vMerge w:val="restart"/>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lang w:eastAsia="zh-CN"/>
                    </w:rPr>
                  </w:pPr>
                  <w:r>
                    <w:rPr>
                      <w:rFonts w:hint="default" w:ascii="Times New Roman" w:hAnsi="Times New Roman" w:eastAsia="宋体" w:cs="Times New Roman"/>
                      <w:b/>
                      <w:bCs/>
                      <w:snapToGrid w:val="0"/>
                      <w:color w:val="000000"/>
                      <w:kern w:val="0"/>
                      <w:sz w:val="21"/>
                      <w:szCs w:val="21"/>
                      <w:lang w:eastAsia="zh-CN"/>
                    </w:rPr>
                    <w:t>监测日期</w:t>
                  </w:r>
                </w:p>
              </w:tc>
              <w:tc>
                <w:tcPr>
                  <w:tcW w:w="2213" w:type="dxa"/>
                  <w:gridSpan w:val="2"/>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lang w:eastAsia="zh-CN"/>
                    </w:rPr>
                  </w:pPr>
                  <w:r>
                    <w:rPr>
                      <w:rFonts w:hint="default" w:ascii="Times New Roman" w:hAnsi="Times New Roman" w:eastAsia="宋体" w:cs="Times New Roman"/>
                      <w:b/>
                      <w:bCs/>
                      <w:snapToGrid w:val="0"/>
                      <w:color w:val="000000"/>
                      <w:kern w:val="0"/>
                      <w:sz w:val="21"/>
                      <w:szCs w:val="21"/>
                      <w:lang w:eastAsia="zh-CN"/>
                    </w:rPr>
                    <w:t>监测结果</w:t>
                  </w:r>
                </w:p>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lang w:eastAsia="zh-CN"/>
                    </w:rPr>
                    <w:t>（</w:t>
                  </w:r>
                  <w:r>
                    <w:rPr>
                      <w:rFonts w:hint="default" w:ascii="Times New Roman" w:hAnsi="Times New Roman" w:eastAsia="宋体" w:cs="Times New Roman"/>
                      <w:b/>
                      <w:bCs/>
                      <w:snapToGrid w:val="0"/>
                      <w:color w:val="000000"/>
                      <w:kern w:val="0"/>
                      <w:sz w:val="21"/>
                      <w:szCs w:val="21"/>
                    </w:rPr>
                    <w:t>dB</w:t>
                  </w:r>
                  <w:r>
                    <w:rPr>
                      <w:rFonts w:hint="default" w:ascii="Times New Roman" w:hAnsi="Times New Roman" w:eastAsia="宋体" w:cs="Times New Roman"/>
                      <w:b/>
                      <w:bCs/>
                      <w:snapToGrid w:val="0"/>
                      <w:color w:val="000000"/>
                      <w:kern w:val="0"/>
                      <w:sz w:val="21"/>
                      <w:szCs w:val="21"/>
                      <w:lang w:eastAsia="zh-CN"/>
                    </w:rPr>
                    <w:t>（</w:t>
                  </w:r>
                  <w:r>
                    <w:rPr>
                      <w:rFonts w:hint="default" w:ascii="Times New Roman" w:hAnsi="Times New Roman" w:eastAsia="宋体" w:cs="Times New Roman"/>
                      <w:b/>
                      <w:bCs/>
                      <w:snapToGrid w:val="0"/>
                      <w:color w:val="000000"/>
                      <w:kern w:val="0"/>
                      <w:sz w:val="21"/>
                      <w:szCs w:val="21"/>
                    </w:rPr>
                    <w:t>A</w:t>
                  </w:r>
                  <w:r>
                    <w:rPr>
                      <w:rFonts w:hint="default" w:ascii="Times New Roman" w:hAnsi="Times New Roman" w:eastAsia="宋体" w:cs="Times New Roman"/>
                      <w:b/>
                      <w:bCs/>
                      <w:snapToGrid w:val="0"/>
                      <w:color w:val="000000"/>
                      <w:kern w:val="0"/>
                      <w:sz w:val="21"/>
                      <w:szCs w:val="21"/>
                      <w:lang w:eastAsia="zh-CN"/>
                    </w:rPr>
                    <w:t>））</w:t>
                  </w:r>
                </w:p>
              </w:tc>
              <w:tc>
                <w:tcPr>
                  <w:tcW w:w="2242" w:type="dxa"/>
                  <w:gridSpan w:val="2"/>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napToGrid w:val="0"/>
                      <w:color w:val="000000"/>
                      <w:kern w:val="0"/>
                      <w:sz w:val="21"/>
                      <w:szCs w:val="21"/>
                      <w:lang w:val="en-US" w:eastAsia="zh-CN"/>
                    </w:rPr>
                    <w:t>标准限值</w:t>
                  </w:r>
                </w:p>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lang w:eastAsia="zh-CN"/>
                    </w:rPr>
                    <w:t>（</w:t>
                  </w:r>
                  <w:r>
                    <w:rPr>
                      <w:rFonts w:hint="default" w:ascii="Times New Roman" w:hAnsi="Times New Roman" w:eastAsia="宋体" w:cs="Times New Roman"/>
                      <w:b/>
                      <w:bCs/>
                      <w:snapToGrid w:val="0"/>
                      <w:color w:val="000000"/>
                      <w:kern w:val="0"/>
                      <w:sz w:val="21"/>
                      <w:szCs w:val="21"/>
                    </w:rPr>
                    <w:t>dB</w:t>
                  </w:r>
                  <w:r>
                    <w:rPr>
                      <w:rFonts w:hint="default" w:ascii="Times New Roman" w:hAnsi="Times New Roman" w:eastAsia="宋体" w:cs="Times New Roman"/>
                      <w:b/>
                      <w:bCs/>
                      <w:snapToGrid w:val="0"/>
                      <w:color w:val="000000"/>
                      <w:kern w:val="0"/>
                      <w:sz w:val="21"/>
                      <w:szCs w:val="21"/>
                      <w:lang w:eastAsia="zh-CN"/>
                    </w:rPr>
                    <w:t>（</w:t>
                  </w:r>
                  <w:r>
                    <w:rPr>
                      <w:rFonts w:hint="default" w:ascii="Times New Roman" w:hAnsi="Times New Roman" w:eastAsia="宋体" w:cs="Times New Roman"/>
                      <w:b/>
                      <w:bCs/>
                      <w:snapToGrid w:val="0"/>
                      <w:color w:val="000000"/>
                      <w:kern w:val="0"/>
                      <w:sz w:val="21"/>
                      <w:szCs w:val="21"/>
                    </w:rPr>
                    <w:t>A</w:t>
                  </w:r>
                  <w:r>
                    <w:rPr>
                      <w:rFonts w:hint="default" w:ascii="Times New Roman" w:hAnsi="Times New Roman" w:eastAsia="宋体" w:cs="Times New Roman"/>
                      <w:b/>
                      <w:bCs/>
                      <w:snapToGrid w:val="0"/>
                      <w:color w:val="000000"/>
                      <w:kern w:val="0"/>
                      <w:sz w:val="21"/>
                      <w:szCs w:val="21"/>
                      <w:lang w:eastAsia="zh-CN"/>
                    </w:rPr>
                    <w:t>））</w:t>
                  </w:r>
                </w:p>
              </w:tc>
              <w:tc>
                <w:tcPr>
                  <w:tcW w:w="1106" w:type="dxa"/>
                  <w:vMerge w:val="restart"/>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napToGrid w:val="0"/>
                      <w:color w:val="000000"/>
                      <w:kern w:val="0"/>
                      <w:sz w:val="21"/>
                      <w:szCs w:val="21"/>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continue"/>
                  <w:noWrap w:val="0"/>
                  <w:vAlign w:val="center"/>
                </w:tcPr>
                <w:p>
                  <w:pPr>
                    <w:spacing w:line="240" w:lineRule="auto"/>
                    <w:jc w:val="center"/>
                    <w:rPr>
                      <w:rFonts w:hint="default" w:ascii="Times New Roman" w:hAnsi="Times New Roman" w:eastAsia="宋体" w:cs="Times New Roman"/>
                      <w:bCs/>
                      <w:sz w:val="21"/>
                      <w:szCs w:val="21"/>
                    </w:rPr>
                  </w:pPr>
                </w:p>
              </w:tc>
              <w:tc>
                <w:tcPr>
                  <w:tcW w:w="1316" w:type="dxa"/>
                  <w:vMerge w:val="continue"/>
                  <w:noWrap w:val="0"/>
                  <w:vAlign w:val="center"/>
                </w:tcPr>
                <w:p>
                  <w:pPr>
                    <w:spacing w:line="240" w:lineRule="auto"/>
                    <w:jc w:val="center"/>
                    <w:rPr>
                      <w:rFonts w:hint="default" w:ascii="Times New Roman" w:hAnsi="Times New Roman" w:eastAsia="宋体" w:cs="Times New Roman"/>
                      <w:bCs/>
                      <w:sz w:val="21"/>
                      <w:szCs w:val="21"/>
                      <w:lang w:eastAsia="zh-CN"/>
                    </w:rPr>
                  </w:pPr>
                </w:p>
              </w:tc>
              <w:tc>
                <w:tcPr>
                  <w:tcW w:w="1108" w:type="dxa"/>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lang w:eastAsia="zh-CN"/>
                    </w:rPr>
                    <w:t>昼间</w:t>
                  </w:r>
                </w:p>
              </w:tc>
              <w:tc>
                <w:tcPr>
                  <w:tcW w:w="1105" w:type="dxa"/>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lang w:eastAsia="zh-CN"/>
                    </w:rPr>
                    <w:t>夜间</w:t>
                  </w:r>
                </w:p>
              </w:tc>
              <w:tc>
                <w:tcPr>
                  <w:tcW w:w="1137" w:type="dxa"/>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lang w:eastAsia="zh-CN"/>
                    </w:rPr>
                    <w:t>昼间</w:t>
                  </w:r>
                </w:p>
              </w:tc>
              <w:tc>
                <w:tcPr>
                  <w:tcW w:w="1105" w:type="dxa"/>
                  <w:noWrap w:val="0"/>
                  <w:vAlign w:val="center"/>
                </w:tcPr>
                <w:p>
                  <w:pPr>
                    <w:pStyle w:val="25"/>
                    <w:spacing w:line="240" w:lineRule="auto"/>
                    <w:rPr>
                      <w:rFonts w:hint="default" w:ascii="Times New Roman" w:hAnsi="Times New Roman" w:eastAsia="宋体" w:cs="Times New Roman"/>
                      <w:b/>
                      <w:bCs/>
                      <w:snapToGrid w:val="0"/>
                      <w:color w:val="000000"/>
                      <w:kern w:val="0"/>
                      <w:sz w:val="21"/>
                      <w:szCs w:val="21"/>
                    </w:rPr>
                  </w:pPr>
                  <w:r>
                    <w:rPr>
                      <w:rFonts w:hint="default" w:ascii="Times New Roman" w:hAnsi="Times New Roman" w:eastAsia="宋体" w:cs="Times New Roman"/>
                      <w:b/>
                      <w:bCs/>
                      <w:snapToGrid w:val="0"/>
                      <w:color w:val="000000"/>
                      <w:kern w:val="0"/>
                      <w:sz w:val="21"/>
                      <w:szCs w:val="21"/>
                      <w:lang w:eastAsia="zh-CN"/>
                    </w:rPr>
                    <w:t>夜间</w:t>
                  </w:r>
                </w:p>
              </w:tc>
              <w:tc>
                <w:tcPr>
                  <w:tcW w:w="1106" w:type="dxa"/>
                  <w:vMerge w:val="continue"/>
                  <w:noWrap w:val="0"/>
                  <w:vAlign w:val="center"/>
                </w:tcPr>
                <w:p>
                  <w:pPr>
                    <w:spacing w:line="240" w:lineRule="auto"/>
                    <w:jc w:val="center"/>
                    <w:rPr>
                      <w:rFonts w:hint="default" w:ascii="Times New Roman" w:hAnsi="Times New Roman" w:eastAsia="宋体" w:cs="Times New Roman"/>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ZS1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厂界北侧外1m</w:t>
                  </w: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2022.08.12</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46</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2022.08.13</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51</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47</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ZS2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厂界东侧外1m</w:t>
                  </w: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2022.08.12</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48</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46</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2022.08.13</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51</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46</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ZS3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厂界西侧外1m</w:t>
                  </w: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2022.08.12</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49</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46</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2022.08.13</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51</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46</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ZS4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厂界南侧外1m</w:t>
                  </w: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2022.08.12</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49</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47</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p>
              </w:tc>
              <w:tc>
                <w:tcPr>
                  <w:tcW w:w="1316" w:type="dxa"/>
                  <w:noWrap w:val="0"/>
                  <w:vAlign w:val="center"/>
                </w:tcPr>
                <w:p>
                  <w:pPr>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2022.08.13</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46</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60</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50</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是</w:t>
                  </w:r>
                </w:p>
              </w:tc>
            </w:tr>
          </w:tbl>
          <w:p>
            <w:pPr>
              <w:pStyle w:val="3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由上表监测结果可知，</w:t>
            </w:r>
            <w:r>
              <w:rPr>
                <w:rFonts w:hint="default" w:ascii="Times New Roman" w:hAnsi="Times New Roman" w:eastAsia="宋体" w:cs="Times New Roman"/>
                <w:sz w:val="24"/>
                <w:szCs w:val="24"/>
                <w:lang w:val="en-US" w:eastAsia="zh-CN"/>
              </w:rPr>
              <w:t>厂界环境</w:t>
            </w:r>
            <w:r>
              <w:rPr>
                <w:rFonts w:hint="default" w:ascii="Times New Roman" w:hAnsi="Times New Roman" w:eastAsia="宋体" w:cs="Times New Roman"/>
                <w:sz w:val="24"/>
                <w:szCs w:val="24"/>
              </w:rPr>
              <w:t>噪声均满足《声环境质量标准》（GB3096-2008）2类标准。</w:t>
            </w:r>
          </w:p>
          <w:p>
            <w:pPr>
              <w:pStyle w:val="5"/>
              <w:spacing w:line="360" w:lineRule="auto"/>
              <w:outlineLvl w:val="2"/>
              <w:rPr>
                <w:rFonts w:hint="default" w:ascii="Times New Roman" w:hAnsi="Times New Roman" w:eastAsia="宋体" w:cs="Times New Roman"/>
                <w:sz w:val="24"/>
                <w:szCs w:val="24"/>
              </w:rPr>
            </w:pPr>
            <w:bookmarkStart w:id="44" w:name="_Toc2549"/>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4生态环境质量现状</w:t>
            </w:r>
            <w:bookmarkEnd w:id="44"/>
          </w:p>
          <w:p>
            <w:pPr>
              <w:pStyle w:val="24"/>
              <w:spacing w:line="36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4"/>
                <w:lang w:val="en-US" w:eastAsia="zh-CN"/>
              </w:rPr>
              <w:t>本项目位于湖南省怀化市辰溪县辰阳镇沙坪村</w:t>
            </w:r>
            <w:r>
              <w:rPr>
                <w:rFonts w:hint="default" w:ascii="Times New Roman" w:hAnsi="Times New Roman" w:eastAsia="宋体" w:cs="Times New Roman"/>
                <w:spacing w:val="7"/>
                <w:sz w:val="24"/>
                <w:szCs w:val="24"/>
                <w:highlight w:val="none"/>
                <w:lang w:val="en-US" w:eastAsia="zh-CN"/>
              </w:rPr>
              <w:t>煤炭湾</w:t>
            </w:r>
            <w:r>
              <w:rPr>
                <w:rFonts w:hint="default" w:ascii="Times New Roman" w:hAnsi="Times New Roman" w:eastAsia="宋体" w:cs="Times New Roman"/>
                <w:sz w:val="24"/>
                <w:lang w:val="en-US" w:eastAsia="zh-CN"/>
              </w:rPr>
              <w:t>，据现场踏勘结果表明：项目所在地及周围为农村环境，本项目占地不涉及基本农田。周围野生动物较少，未发现珍稀濒危植物，生物多样性一般，主要为常见的鼠、麻雀、青蛙、斑鸠等；家畜主要有猪、鸡、牛、羊、鸭等；植物以水稻、玉米、小麦、花生、红薯等农作物，该地区植被发育程度较高，完全裸露的地表较少，水土流失程度一般。经初步调查，评价范围内生态环境质量较好，项目周围无自然保护区、无珍稀植物及名木古树以及其他特殊敏感保护目标。从目前的情况来看，较适合于本项目的建设，可提高其土地利用价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52" w:type="dxa"/>
            <w:noWrap w:val="0"/>
            <w:vAlign w:val="center"/>
          </w:tcPr>
          <w:p>
            <w:pPr>
              <w:pStyle w:val="24"/>
              <w:ind w:left="0" w:leftChars="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4"/>
                <w:lang w:val="en-US" w:eastAsia="zh-CN"/>
              </w:rPr>
              <w:t>环境保护目标</w:t>
            </w:r>
          </w:p>
        </w:tc>
        <w:tc>
          <w:tcPr>
            <w:tcW w:w="8608" w:type="dxa"/>
            <w:noWrap w:val="0"/>
            <w:vAlign w:val="center"/>
          </w:tcPr>
          <w:p>
            <w:pPr>
              <w:pStyle w:val="5"/>
              <w:spacing w:line="360" w:lineRule="auto"/>
              <w:outlineLvl w:val="2"/>
              <w:rPr>
                <w:rFonts w:hint="default" w:ascii="Times New Roman" w:hAnsi="Times New Roman" w:eastAsia="宋体" w:cs="Times New Roman"/>
                <w:sz w:val="24"/>
                <w:szCs w:val="24"/>
              </w:rPr>
            </w:pPr>
            <w:bookmarkStart w:id="45" w:name="_Toc2861"/>
            <w:r>
              <w:rPr>
                <w:rFonts w:hint="default" w:ascii="Times New Roman" w:hAnsi="Times New Roman" w:eastAsia="宋体" w:cs="Times New Roman"/>
                <w:sz w:val="24"/>
                <w:szCs w:val="24"/>
                <w:lang w:val="en-US" w:eastAsia="zh-CN"/>
              </w:rPr>
              <w:t>3.2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环境保护目标</w:t>
            </w:r>
            <w:bookmarkEnd w:id="45"/>
          </w:p>
          <w:p>
            <w:pPr>
              <w:pStyle w:val="24"/>
              <w:spacing w:line="360" w:lineRule="auto"/>
              <w:ind w:firstLine="42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根据现场调查，建设项目</w:t>
            </w:r>
            <w:r>
              <w:rPr>
                <w:rFonts w:hint="eastAsia" w:ascii="Times New Roman" w:hAnsi="Times New Roman" w:eastAsia="宋体" w:cs="Times New Roman"/>
                <w:sz w:val="24"/>
                <w:lang w:val="en-US" w:eastAsia="zh-CN"/>
              </w:rPr>
              <w:t>西南侧约4.8km处为沅江，该和河段为沅水辰溪段鲌类黄颡鱼国家级水产种质资源保护区的核心区。该水产种质保护区主要保护对象为鲌类和黄颡鱼，涉及青鱼、花（鱼骨）、青虾、蚌类、螺类等多种名优经济水生动物及库区资源及环境，国家Ⅱ级珍稀动物大鲵等。项目不涉及排水，对沅水辰溪段鲌类黄颡鱼国家级水产种质资源保护区的影响较小。</w:t>
            </w:r>
          </w:p>
          <w:p>
            <w:pPr>
              <w:pStyle w:val="24"/>
              <w:spacing w:line="360" w:lineRule="auto"/>
              <w:ind w:firstLine="42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建设项目</w:t>
            </w:r>
            <w:r>
              <w:rPr>
                <w:rFonts w:hint="default" w:ascii="Times New Roman" w:hAnsi="Times New Roman" w:eastAsia="宋体" w:cs="Times New Roman"/>
                <w:sz w:val="24"/>
                <w:lang w:val="en-US" w:eastAsia="zh-CN"/>
              </w:rPr>
              <w:t>所在区域内无</w:t>
            </w:r>
            <w:r>
              <w:rPr>
                <w:rFonts w:hint="eastAsia" w:ascii="Times New Roman" w:hAnsi="Times New Roman" w:eastAsia="宋体" w:cs="Times New Roman"/>
                <w:sz w:val="24"/>
                <w:lang w:val="en-US" w:eastAsia="zh-CN"/>
              </w:rPr>
              <w:t>其他</w:t>
            </w:r>
            <w:r>
              <w:rPr>
                <w:rFonts w:hint="default" w:ascii="Times New Roman" w:hAnsi="Times New Roman" w:eastAsia="宋体" w:cs="Times New Roman"/>
                <w:sz w:val="24"/>
                <w:lang w:val="en-US" w:eastAsia="zh-CN"/>
              </w:rPr>
              <w:t>自然保护区、风景游览区、文物保护单位，主要环境保护对象为周围零散分布的少量居民和当地</w:t>
            </w:r>
            <w:r>
              <w:rPr>
                <w:rFonts w:hint="eastAsia" w:ascii="Times New Roman" w:hAnsi="Times New Roman" w:eastAsia="宋体" w:cs="Times New Roman"/>
                <w:sz w:val="24"/>
                <w:lang w:val="en-US" w:eastAsia="zh-CN"/>
              </w:rPr>
              <w:t>农村</w:t>
            </w:r>
            <w:r>
              <w:rPr>
                <w:rFonts w:hint="default" w:ascii="Times New Roman" w:hAnsi="Times New Roman" w:eastAsia="宋体" w:cs="Times New Roman"/>
                <w:sz w:val="24"/>
                <w:lang w:val="en-US" w:eastAsia="zh-CN"/>
              </w:rPr>
              <w:t>生态。</w:t>
            </w:r>
          </w:p>
          <w:p>
            <w:pPr>
              <w:pStyle w:val="25"/>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表3-</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 xml:space="preserve">  主要水环境及声环境保护目标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7"/>
              <w:gridCol w:w="877"/>
              <w:gridCol w:w="1147"/>
              <w:gridCol w:w="688"/>
              <w:gridCol w:w="1023"/>
              <w:gridCol w:w="228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环境要素</w:t>
                  </w:r>
                </w:p>
              </w:tc>
              <w:tc>
                <w:tcPr>
                  <w:tcW w:w="1203" w:type="pct"/>
                  <w:gridSpan w:val="2"/>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保护目标名称</w:t>
                  </w:r>
                </w:p>
              </w:tc>
              <w:tc>
                <w:tcPr>
                  <w:tcW w:w="409"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方位</w:t>
                  </w:r>
                </w:p>
              </w:tc>
              <w:tc>
                <w:tcPr>
                  <w:tcW w:w="608"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与厂界最近距离/m</w:t>
                  </w:r>
                </w:p>
              </w:tc>
              <w:tc>
                <w:tcPr>
                  <w:tcW w:w="1359"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eastAsia" w:cs="Times New Roman"/>
                      <w:b/>
                      <w:bCs/>
                      <w:sz w:val="21"/>
                      <w:szCs w:val="21"/>
                      <w:lang w:val="en-US" w:eastAsia="zh-CN"/>
                    </w:rPr>
                    <w:t>保护对象</w:t>
                  </w:r>
                </w:p>
              </w:tc>
              <w:tc>
                <w:tcPr>
                  <w:tcW w:w="881"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noWrap w:val="0"/>
                  <w:vAlign w:val="center"/>
                </w:tcPr>
                <w:p>
                  <w:pPr>
                    <w:pStyle w:val="22"/>
                    <w:wordWrap w:val="0"/>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声环境</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大气环境</w:t>
                  </w:r>
                </w:p>
              </w:tc>
              <w:tc>
                <w:tcPr>
                  <w:tcW w:w="1203" w:type="pct"/>
                  <w:gridSpan w:val="2"/>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1#民房</w:t>
                  </w:r>
                </w:p>
              </w:tc>
              <w:tc>
                <w:tcPr>
                  <w:tcW w:w="409" w:type="pct"/>
                  <w:noWrap w:val="0"/>
                  <w:vAlign w:val="center"/>
                </w:tcPr>
                <w:p>
                  <w:pPr>
                    <w:pStyle w:val="22"/>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w:t>
                  </w:r>
                </w:p>
              </w:tc>
              <w:tc>
                <w:tcPr>
                  <w:tcW w:w="608"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160</w:t>
                  </w:r>
                </w:p>
              </w:tc>
              <w:tc>
                <w:tcPr>
                  <w:tcW w:w="1359" w:type="pct"/>
                  <w:noWrap w:val="0"/>
                  <w:vAlign w:val="center"/>
                </w:tcPr>
                <w:p>
                  <w:pPr>
                    <w:pStyle w:val="22"/>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居民，1户</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约3人</w:t>
                  </w:r>
                </w:p>
              </w:tc>
              <w:tc>
                <w:tcPr>
                  <w:tcW w:w="881" w:type="pct"/>
                  <w:noWrap w:val="0"/>
                  <w:vAlign w:val="center"/>
                </w:tcPr>
                <w:p>
                  <w:pPr>
                    <w:pStyle w:val="22"/>
                    <w:wordWrap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（GB3096-2008）2类标准</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none"/>
                      <w:lang w:val="zh-CN"/>
                    </w:rPr>
                    <w:t>G</w:t>
                  </w:r>
                  <w:r>
                    <w:rPr>
                      <w:rFonts w:hint="default" w:ascii="Times New Roman" w:hAnsi="Times New Roman" w:eastAsia="宋体" w:cs="Times New Roman"/>
                      <w:sz w:val="21"/>
                      <w:szCs w:val="21"/>
                      <w:highlight w:val="none"/>
                    </w:rPr>
                    <w:t>B3095-2012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restart"/>
                  <w:noWrap w:val="0"/>
                  <w:vAlign w:val="center"/>
                </w:tcPr>
                <w:p>
                  <w:pPr>
                    <w:pStyle w:val="22"/>
                    <w:wordWrap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大气环境</w:t>
                  </w:r>
                </w:p>
              </w:tc>
              <w:tc>
                <w:tcPr>
                  <w:tcW w:w="1203" w:type="pct"/>
                  <w:gridSpan w:val="2"/>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沙坪村居民聚集区</w:t>
                  </w:r>
                </w:p>
              </w:tc>
              <w:tc>
                <w:tcPr>
                  <w:tcW w:w="409"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NE</w:t>
                  </w:r>
                </w:p>
              </w:tc>
              <w:tc>
                <w:tcPr>
                  <w:tcW w:w="608"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350</w:t>
                  </w:r>
                </w:p>
              </w:tc>
              <w:tc>
                <w:tcPr>
                  <w:tcW w:w="1359"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90</w:t>
                  </w:r>
                  <w:r>
                    <w:rPr>
                      <w:rFonts w:hint="default" w:ascii="Times New Roman" w:hAnsi="Times New Roman" w:eastAsia="宋体" w:cs="Times New Roman"/>
                      <w:sz w:val="21"/>
                      <w:szCs w:val="21"/>
                      <w:highlight w:val="none"/>
                    </w:rPr>
                    <w:t>户</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270</w:t>
                  </w:r>
                  <w:r>
                    <w:rPr>
                      <w:rFonts w:hint="default" w:ascii="Times New Roman" w:hAnsi="Times New Roman" w:eastAsia="宋体" w:cs="Times New Roman"/>
                      <w:sz w:val="21"/>
                      <w:szCs w:val="21"/>
                      <w:highlight w:val="none"/>
                    </w:rPr>
                    <w:t>人</w:t>
                  </w:r>
                </w:p>
              </w:tc>
              <w:tc>
                <w:tcPr>
                  <w:tcW w:w="881" w:type="pct"/>
                  <w:vMerge w:val="restart"/>
                  <w:noWrap w:val="0"/>
                  <w:vAlign w:val="center"/>
                </w:tcPr>
                <w:p>
                  <w:pPr>
                    <w:pStyle w:val="22"/>
                    <w:wordWrap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none"/>
                      <w:lang w:val="zh-CN"/>
                    </w:rPr>
                    <w:t>G</w:t>
                  </w:r>
                  <w:r>
                    <w:rPr>
                      <w:rFonts w:hint="default" w:ascii="Times New Roman" w:hAnsi="Times New Roman" w:eastAsia="宋体" w:cs="Times New Roman"/>
                      <w:sz w:val="21"/>
                      <w:szCs w:val="21"/>
                      <w:highlight w:val="none"/>
                    </w:rPr>
                    <w:t>B3095-2012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continue"/>
                  <w:noWrap w:val="0"/>
                  <w:vAlign w:val="center"/>
                </w:tcPr>
                <w:p>
                  <w:pPr>
                    <w:pStyle w:val="22"/>
                    <w:wordWrap w:val="0"/>
                    <w:spacing w:line="240" w:lineRule="auto"/>
                    <w:rPr>
                      <w:rFonts w:hint="default" w:ascii="Times New Roman" w:hAnsi="Times New Roman" w:eastAsia="宋体" w:cs="Times New Roman"/>
                      <w:sz w:val="21"/>
                      <w:szCs w:val="21"/>
                    </w:rPr>
                  </w:pPr>
                </w:p>
              </w:tc>
              <w:tc>
                <w:tcPr>
                  <w:tcW w:w="1203" w:type="pct"/>
                  <w:gridSpan w:val="2"/>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周家沱居民聚集区</w:t>
                  </w:r>
                </w:p>
              </w:tc>
              <w:tc>
                <w:tcPr>
                  <w:tcW w:w="409"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E</w:t>
                  </w:r>
                </w:p>
              </w:tc>
              <w:tc>
                <w:tcPr>
                  <w:tcW w:w="608"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380</w:t>
                  </w:r>
                </w:p>
              </w:tc>
              <w:tc>
                <w:tcPr>
                  <w:tcW w:w="1359"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0户，3</w:t>
                  </w: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人</w:t>
                  </w:r>
                </w:p>
              </w:tc>
              <w:tc>
                <w:tcPr>
                  <w:tcW w:w="881" w:type="pct"/>
                  <w:vMerge w:val="continue"/>
                  <w:noWrap w:val="0"/>
                  <w:vAlign w:val="center"/>
                </w:tcPr>
                <w:p>
                  <w:pPr>
                    <w:pStyle w:val="22"/>
                    <w:wordWrap w:val="0"/>
                    <w:spacing w:line="240" w:lineRule="auto"/>
                    <w:rPr>
                      <w:rFonts w:hint="default" w:ascii="Times New Roman" w:hAnsi="Times New Roman" w:eastAsia="宋体"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continue"/>
                  <w:noWrap w:val="0"/>
                  <w:vAlign w:val="center"/>
                </w:tcPr>
                <w:p>
                  <w:pPr>
                    <w:pStyle w:val="22"/>
                    <w:wordWrap w:val="0"/>
                    <w:spacing w:line="240" w:lineRule="auto"/>
                    <w:rPr>
                      <w:rFonts w:hint="default" w:ascii="Times New Roman" w:hAnsi="Times New Roman" w:eastAsia="宋体" w:cs="Times New Roman"/>
                      <w:sz w:val="21"/>
                      <w:szCs w:val="21"/>
                    </w:rPr>
                  </w:pPr>
                </w:p>
              </w:tc>
              <w:tc>
                <w:tcPr>
                  <w:tcW w:w="521" w:type="pct"/>
                  <w:vMerge w:val="restar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煤炭湾居民聚集区</w:t>
                  </w:r>
                </w:p>
              </w:tc>
              <w:tc>
                <w:tcPr>
                  <w:tcW w:w="681"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606乡道沿线散户</w:t>
                  </w:r>
                </w:p>
              </w:tc>
              <w:tc>
                <w:tcPr>
                  <w:tcW w:w="409"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S</w:t>
                  </w:r>
                </w:p>
              </w:tc>
              <w:tc>
                <w:tcPr>
                  <w:tcW w:w="608"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240</w:t>
                  </w:r>
                </w:p>
              </w:tc>
              <w:tc>
                <w:tcPr>
                  <w:tcW w:w="1359"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30</w:t>
                  </w:r>
                  <w:r>
                    <w:rPr>
                      <w:rFonts w:hint="default" w:ascii="Times New Roman" w:hAnsi="Times New Roman" w:eastAsia="宋体" w:cs="Times New Roman"/>
                      <w:sz w:val="21"/>
                      <w:szCs w:val="21"/>
                      <w:highlight w:val="none"/>
                    </w:rPr>
                    <w:t>户</w:t>
                  </w:r>
                  <w:r>
                    <w:rPr>
                      <w:rFonts w:hint="default" w:ascii="Times New Roman" w:hAnsi="Times New Roman" w:eastAsia="宋体" w:cs="Times New Roman"/>
                      <w:sz w:val="21"/>
                      <w:szCs w:val="21"/>
                      <w:highlight w:val="none"/>
                      <w:lang w:val="en-US" w:eastAsia="zh-CN"/>
                    </w:rPr>
                    <w:t>，90</w:t>
                  </w:r>
                  <w:r>
                    <w:rPr>
                      <w:rFonts w:hint="default" w:ascii="Times New Roman" w:hAnsi="Times New Roman" w:eastAsia="宋体" w:cs="Times New Roman"/>
                      <w:sz w:val="21"/>
                      <w:szCs w:val="21"/>
                      <w:highlight w:val="none"/>
                    </w:rPr>
                    <w:t>人</w:t>
                  </w:r>
                </w:p>
              </w:tc>
              <w:tc>
                <w:tcPr>
                  <w:tcW w:w="881" w:type="pct"/>
                  <w:vMerge w:val="continue"/>
                  <w:noWrap w:val="0"/>
                  <w:vAlign w:val="center"/>
                </w:tcPr>
                <w:p>
                  <w:pPr>
                    <w:pStyle w:val="22"/>
                    <w:wordWrap w:val="0"/>
                    <w:spacing w:line="240" w:lineRule="auto"/>
                    <w:rPr>
                      <w:rFonts w:hint="default" w:ascii="Times New Roman" w:hAnsi="Times New Roman" w:eastAsia="宋体"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continue"/>
                  <w:noWrap w:val="0"/>
                  <w:vAlign w:val="center"/>
                </w:tcPr>
                <w:p>
                  <w:pPr>
                    <w:pStyle w:val="22"/>
                    <w:wordWrap w:val="0"/>
                    <w:spacing w:line="240" w:lineRule="auto"/>
                    <w:rPr>
                      <w:rFonts w:hint="default" w:ascii="Times New Roman" w:hAnsi="Times New Roman" w:eastAsia="宋体" w:cs="Times New Roman"/>
                      <w:sz w:val="21"/>
                      <w:szCs w:val="21"/>
                    </w:rPr>
                  </w:pPr>
                </w:p>
              </w:tc>
              <w:tc>
                <w:tcPr>
                  <w:tcW w:w="521" w:type="pct"/>
                  <w:vMerge w:val="continue"/>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p>
              </w:tc>
              <w:tc>
                <w:tcPr>
                  <w:tcW w:w="681" w:type="pct"/>
                  <w:noWrap w:val="0"/>
                  <w:vAlign w:val="center"/>
                </w:tcPr>
                <w:p>
                  <w:pPr>
                    <w:pStyle w:val="22"/>
                    <w:spacing w:line="240" w:lineRule="auto"/>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规划派出所</w:t>
                  </w:r>
                </w:p>
              </w:tc>
              <w:tc>
                <w:tcPr>
                  <w:tcW w:w="409" w:type="pct"/>
                  <w:noWrap w:val="0"/>
                  <w:vAlign w:val="center"/>
                </w:tcPr>
                <w:p>
                  <w:pPr>
                    <w:pStyle w:val="22"/>
                    <w:spacing w:line="240" w:lineRule="auto"/>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S</w:t>
                  </w:r>
                </w:p>
              </w:tc>
              <w:tc>
                <w:tcPr>
                  <w:tcW w:w="608" w:type="pct"/>
                  <w:noWrap w:val="0"/>
                  <w:vAlign w:val="center"/>
                </w:tcPr>
                <w:p>
                  <w:pPr>
                    <w:pStyle w:val="22"/>
                    <w:spacing w:line="240" w:lineRule="auto"/>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440</w:t>
                  </w:r>
                </w:p>
              </w:tc>
              <w:tc>
                <w:tcPr>
                  <w:tcW w:w="1359" w:type="pct"/>
                  <w:noWrap w:val="0"/>
                  <w:vAlign w:val="center"/>
                </w:tcPr>
                <w:p>
                  <w:pPr>
                    <w:spacing w:line="240" w:lineRule="auto"/>
                    <w:jc w:val="center"/>
                    <w:rPr>
                      <w:rFonts w:hint="eastAsia"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三所合一</w:t>
                  </w:r>
                </w:p>
              </w:tc>
              <w:tc>
                <w:tcPr>
                  <w:tcW w:w="881" w:type="pct"/>
                  <w:vMerge w:val="continue"/>
                  <w:noWrap w:val="0"/>
                  <w:vAlign w:val="center"/>
                </w:tcPr>
                <w:p>
                  <w:pPr>
                    <w:pStyle w:val="22"/>
                    <w:wordWrap w:val="0"/>
                    <w:spacing w:line="240" w:lineRule="auto"/>
                    <w:rPr>
                      <w:rFonts w:hint="default" w:ascii="Times New Roman" w:hAnsi="Times New Roman" w:eastAsia="宋体"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continue"/>
                  <w:noWrap w:val="0"/>
                  <w:vAlign w:val="center"/>
                </w:tcPr>
                <w:p>
                  <w:pPr>
                    <w:pStyle w:val="22"/>
                    <w:wordWrap w:val="0"/>
                    <w:spacing w:line="240" w:lineRule="auto"/>
                    <w:rPr>
                      <w:rFonts w:hint="default" w:ascii="Times New Roman" w:hAnsi="Times New Roman" w:eastAsia="宋体" w:cs="Times New Roman"/>
                      <w:sz w:val="21"/>
                      <w:szCs w:val="21"/>
                    </w:rPr>
                  </w:pPr>
                </w:p>
              </w:tc>
              <w:tc>
                <w:tcPr>
                  <w:tcW w:w="521" w:type="pct"/>
                  <w:vMerge w:val="continue"/>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p>
              </w:tc>
              <w:tc>
                <w:tcPr>
                  <w:tcW w:w="681" w:type="pct"/>
                  <w:noWrap w:val="0"/>
                  <w:vAlign w:val="center"/>
                </w:tcPr>
                <w:p>
                  <w:pPr>
                    <w:pStyle w:val="22"/>
                    <w:spacing w:line="240" w:lineRule="auto"/>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城郊敬老院</w:t>
                  </w:r>
                </w:p>
              </w:tc>
              <w:tc>
                <w:tcPr>
                  <w:tcW w:w="409" w:type="pct"/>
                  <w:noWrap w:val="0"/>
                  <w:vAlign w:val="center"/>
                </w:tcPr>
                <w:p>
                  <w:pPr>
                    <w:pStyle w:val="22"/>
                    <w:spacing w:line="240" w:lineRule="auto"/>
                    <w:rPr>
                      <w:rFonts w:hint="default" w:ascii="Times New Roman" w:hAnsi="Times New Roman" w:eastAsia="宋体" w:cs="Times New Roman"/>
                      <w:bCs/>
                      <w:color w:val="0000FF"/>
                      <w:sz w:val="21"/>
                      <w:szCs w:val="21"/>
                      <w:highlight w:val="none"/>
                      <w:lang w:val="en-US" w:eastAsia="zh-CN" w:bidi="ar-SA"/>
                    </w:rPr>
                  </w:pPr>
                  <w:r>
                    <w:rPr>
                      <w:rFonts w:hint="default" w:ascii="Times New Roman" w:hAnsi="Times New Roman" w:eastAsia="宋体" w:cs="Times New Roman"/>
                      <w:color w:val="0000FF"/>
                      <w:sz w:val="21"/>
                      <w:szCs w:val="21"/>
                      <w:highlight w:val="none"/>
                      <w:lang w:val="en-US" w:eastAsia="zh-CN"/>
                    </w:rPr>
                    <w:t>S</w:t>
                  </w:r>
                </w:p>
              </w:tc>
              <w:tc>
                <w:tcPr>
                  <w:tcW w:w="608" w:type="pct"/>
                  <w:noWrap w:val="0"/>
                  <w:vAlign w:val="center"/>
                </w:tcPr>
                <w:p>
                  <w:pPr>
                    <w:pStyle w:val="22"/>
                    <w:spacing w:line="240" w:lineRule="auto"/>
                    <w:rPr>
                      <w:rFonts w:hint="default" w:ascii="Times New Roman" w:hAnsi="Times New Roman" w:eastAsia="宋体" w:cs="Times New Roman"/>
                      <w:bCs/>
                      <w:color w:val="0000FF"/>
                      <w:sz w:val="21"/>
                      <w:szCs w:val="21"/>
                      <w:highlight w:val="none"/>
                      <w:lang w:val="en-US" w:eastAsia="zh-CN" w:bidi="ar-SA"/>
                    </w:rPr>
                  </w:pPr>
                  <w:r>
                    <w:rPr>
                      <w:rFonts w:hint="eastAsia" w:ascii="Times New Roman" w:hAnsi="Times New Roman" w:eastAsia="宋体" w:cs="Times New Roman"/>
                      <w:color w:val="0000FF"/>
                      <w:sz w:val="21"/>
                      <w:szCs w:val="21"/>
                      <w:highlight w:val="none"/>
                      <w:lang w:val="en-US" w:eastAsia="zh-CN"/>
                    </w:rPr>
                    <w:t>860</w:t>
                  </w:r>
                </w:p>
              </w:tc>
              <w:tc>
                <w:tcPr>
                  <w:tcW w:w="1359" w:type="pct"/>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现住37位老人</w:t>
                  </w:r>
                </w:p>
              </w:tc>
              <w:tc>
                <w:tcPr>
                  <w:tcW w:w="881" w:type="pct"/>
                  <w:vMerge w:val="continue"/>
                  <w:noWrap w:val="0"/>
                  <w:vAlign w:val="center"/>
                </w:tcPr>
                <w:p>
                  <w:pPr>
                    <w:pStyle w:val="22"/>
                    <w:wordWrap w:val="0"/>
                    <w:spacing w:line="240" w:lineRule="auto"/>
                    <w:rPr>
                      <w:rFonts w:hint="default" w:ascii="Times New Roman" w:hAnsi="Times New Roman" w:eastAsia="宋体"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continue"/>
                  <w:noWrap w:val="0"/>
                  <w:vAlign w:val="center"/>
                </w:tcPr>
                <w:p>
                  <w:pPr>
                    <w:pStyle w:val="22"/>
                    <w:wordWrap w:val="0"/>
                    <w:spacing w:line="240" w:lineRule="auto"/>
                    <w:rPr>
                      <w:rFonts w:hint="default" w:ascii="Times New Roman" w:hAnsi="Times New Roman" w:eastAsia="宋体" w:cs="Times New Roman"/>
                      <w:sz w:val="21"/>
                      <w:szCs w:val="21"/>
                    </w:rPr>
                  </w:pPr>
                </w:p>
              </w:tc>
              <w:tc>
                <w:tcPr>
                  <w:tcW w:w="1203" w:type="pct"/>
                  <w:gridSpan w:val="2"/>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落水洞居民聚集区</w:t>
                  </w:r>
                </w:p>
              </w:tc>
              <w:tc>
                <w:tcPr>
                  <w:tcW w:w="409"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SW</w:t>
                  </w:r>
                </w:p>
              </w:tc>
              <w:tc>
                <w:tcPr>
                  <w:tcW w:w="608"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570</w:t>
                  </w:r>
                </w:p>
              </w:tc>
              <w:tc>
                <w:tcPr>
                  <w:tcW w:w="1359"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rPr>
                    <w:t>户</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60</w:t>
                  </w:r>
                  <w:r>
                    <w:rPr>
                      <w:rFonts w:hint="default" w:ascii="Times New Roman" w:hAnsi="Times New Roman" w:eastAsia="宋体" w:cs="Times New Roman"/>
                      <w:sz w:val="21"/>
                      <w:szCs w:val="21"/>
                      <w:highlight w:val="none"/>
                    </w:rPr>
                    <w:t>人</w:t>
                  </w:r>
                </w:p>
              </w:tc>
              <w:tc>
                <w:tcPr>
                  <w:tcW w:w="881" w:type="pct"/>
                  <w:vMerge w:val="continue"/>
                  <w:noWrap w:val="0"/>
                  <w:vAlign w:val="center"/>
                </w:tcPr>
                <w:p>
                  <w:pPr>
                    <w:pStyle w:val="22"/>
                    <w:wordWrap w:val="0"/>
                    <w:spacing w:line="240" w:lineRule="auto"/>
                    <w:rPr>
                      <w:rFonts w:hint="default" w:ascii="Times New Roman" w:hAnsi="Times New Roman" w:eastAsia="宋体"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restart"/>
                  <w:noWrap w:val="0"/>
                  <w:vAlign w:val="center"/>
                </w:tcPr>
                <w:p>
                  <w:pPr>
                    <w:pStyle w:val="22"/>
                    <w:wordWrap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地表水环境</w:t>
                  </w:r>
                </w:p>
              </w:tc>
              <w:tc>
                <w:tcPr>
                  <w:tcW w:w="1203" w:type="pct"/>
                  <w:gridSpan w:val="2"/>
                  <w:noWrap w:val="0"/>
                  <w:vAlign w:val="center"/>
                </w:tcPr>
                <w:p>
                  <w:pPr>
                    <w:pStyle w:val="22"/>
                    <w:wordWrap w:val="0"/>
                    <w:spacing w:line="240" w:lineRule="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lang w:val="en-US" w:eastAsia="zh-CN"/>
                    </w:rPr>
                    <w:t>溶双溪（沅江支流）</w:t>
                  </w:r>
                </w:p>
              </w:tc>
              <w:tc>
                <w:tcPr>
                  <w:tcW w:w="409" w:type="pct"/>
                  <w:noWrap w:val="0"/>
                  <w:vAlign w:val="center"/>
                </w:tcPr>
                <w:p>
                  <w:pPr>
                    <w:pStyle w:val="22"/>
                    <w:wordWrap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S</w:t>
                  </w:r>
                  <w:r>
                    <w:rPr>
                      <w:rFonts w:hint="default" w:ascii="Times New Roman" w:hAnsi="Times New Roman" w:eastAsia="宋体" w:cs="Times New Roman"/>
                      <w:sz w:val="21"/>
                      <w:szCs w:val="21"/>
                      <w:highlight w:val="none"/>
                      <w:lang w:val="en-US" w:eastAsia="zh-CN"/>
                    </w:rPr>
                    <w:t>E</w:t>
                  </w:r>
                </w:p>
              </w:tc>
              <w:tc>
                <w:tcPr>
                  <w:tcW w:w="608" w:type="pct"/>
                  <w:noWrap w:val="0"/>
                  <w:vAlign w:val="center"/>
                </w:tcPr>
                <w:p>
                  <w:pPr>
                    <w:pStyle w:val="22"/>
                    <w:wordWrap w:val="0"/>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1.8km</w:t>
                  </w:r>
                </w:p>
              </w:tc>
              <w:tc>
                <w:tcPr>
                  <w:tcW w:w="1359" w:type="pct"/>
                  <w:noWrap w:val="0"/>
                  <w:vAlign w:val="center"/>
                </w:tcPr>
                <w:p>
                  <w:pPr>
                    <w:pStyle w:val="22"/>
                    <w:wordWrap w:val="0"/>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Ⅲ类水域</w:t>
                  </w:r>
                </w:p>
              </w:tc>
              <w:tc>
                <w:tcPr>
                  <w:tcW w:w="881" w:type="pct"/>
                  <w:noWrap w:val="0"/>
                  <w:vAlign w:val="center"/>
                </w:tcPr>
                <w:p>
                  <w:pPr>
                    <w:pStyle w:val="22"/>
                    <w:wordWrap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GB3838-2002</w:t>
                  </w:r>
                </w:p>
                <w:p>
                  <w:pPr>
                    <w:pStyle w:val="22"/>
                    <w:wordWrap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vMerge w:val="continue"/>
                  <w:noWrap w:val="0"/>
                  <w:vAlign w:val="center"/>
                </w:tcPr>
                <w:p>
                  <w:pPr>
                    <w:pStyle w:val="22"/>
                    <w:wordWrap w:val="0"/>
                    <w:spacing w:line="240" w:lineRule="auto"/>
                    <w:rPr>
                      <w:rFonts w:hint="default" w:ascii="Times New Roman" w:hAnsi="Times New Roman" w:eastAsia="宋体" w:cs="Times New Roman"/>
                      <w:sz w:val="21"/>
                      <w:szCs w:val="21"/>
                    </w:rPr>
                  </w:pPr>
                </w:p>
              </w:tc>
              <w:tc>
                <w:tcPr>
                  <w:tcW w:w="1203" w:type="pct"/>
                  <w:gridSpan w:val="2"/>
                  <w:noWrap w:val="0"/>
                  <w:vAlign w:val="center"/>
                </w:tcPr>
                <w:p>
                  <w:pPr>
                    <w:pStyle w:val="22"/>
                    <w:wordWrap w:val="0"/>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沅江</w:t>
                  </w:r>
                </w:p>
              </w:tc>
              <w:tc>
                <w:tcPr>
                  <w:tcW w:w="409" w:type="pct"/>
                  <w:noWrap w:val="0"/>
                  <w:vAlign w:val="center"/>
                </w:tcPr>
                <w:p>
                  <w:pPr>
                    <w:pStyle w:val="22"/>
                    <w:wordWrap w:val="0"/>
                    <w:spacing w:line="24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S</w:t>
                  </w:r>
                  <w:r>
                    <w:rPr>
                      <w:rFonts w:hint="default" w:ascii="Times New Roman" w:hAnsi="Times New Roman" w:eastAsia="宋体" w:cs="Times New Roman"/>
                      <w:sz w:val="21"/>
                      <w:szCs w:val="21"/>
                      <w:highlight w:val="none"/>
                      <w:lang w:val="en-US" w:eastAsia="zh-CN"/>
                    </w:rPr>
                    <w:t>W</w:t>
                  </w:r>
                </w:p>
              </w:tc>
              <w:tc>
                <w:tcPr>
                  <w:tcW w:w="608" w:type="pct"/>
                  <w:noWrap w:val="0"/>
                  <w:vAlign w:val="center"/>
                </w:tcPr>
                <w:p>
                  <w:pPr>
                    <w:pStyle w:val="22"/>
                    <w:wordWrap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4.8</w:t>
                  </w:r>
                  <w:r>
                    <w:rPr>
                      <w:rFonts w:hint="default" w:ascii="Times New Roman" w:hAnsi="Times New Roman" w:eastAsia="宋体" w:cs="Times New Roman"/>
                      <w:sz w:val="21"/>
                      <w:szCs w:val="21"/>
                      <w:highlight w:val="none"/>
                    </w:rPr>
                    <w:t>km</w:t>
                  </w:r>
                </w:p>
              </w:tc>
              <w:tc>
                <w:tcPr>
                  <w:tcW w:w="1359" w:type="pct"/>
                  <w:noWrap w:val="0"/>
                  <w:vAlign w:val="center"/>
                </w:tcPr>
                <w:p>
                  <w:pPr>
                    <w:pStyle w:val="22"/>
                    <w:wordWrap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Ⅱ类水域</w:t>
                  </w:r>
                </w:p>
              </w:tc>
              <w:tc>
                <w:tcPr>
                  <w:tcW w:w="881" w:type="pct"/>
                  <w:noWrap w:val="0"/>
                  <w:vAlign w:val="center"/>
                </w:tcPr>
                <w:p>
                  <w:pPr>
                    <w:pStyle w:val="22"/>
                    <w:wordWrap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GB3838-2002</w:t>
                  </w:r>
                </w:p>
                <w:p>
                  <w:pPr>
                    <w:pStyle w:val="22"/>
                    <w:wordWrap w:val="0"/>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Ⅱ</w:t>
                  </w:r>
                  <w:r>
                    <w:rPr>
                      <w:rFonts w:hint="default" w:ascii="Times New Roman" w:hAnsi="Times New Roman" w:eastAsia="宋体" w:cs="Times New Roman"/>
                      <w:sz w:val="21"/>
                      <w:szCs w:val="21"/>
                      <w:highlight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noWrap w:val="0"/>
                  <w:vAlign w:val="center"/>
                </w:tcPr>
                <w:p>
                  <w:pPr>
                    <w:pStyle w:val="22"/>
                    <w:wordWrap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地下水环境</w:t>
                  </w:r>
                </w:p>
              </w:tc>
              <w:tc>
                <w:tcPr>
                  <w:tcW w:w="3579" w:type="pct"/>
                  <w:gridSpan w:val="5"/>
                  <w:noWrap w:val="0"/>
                  <w:vAlign w:val="center"/>
                </w:tcPr>
                <w:p>
                  <w:pPr>
                    <w:pStyle w:val="22"/>
                    <w:wordWrap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本项目厂界外500m范围内无地下水集中式饮用水水源和热水、矿泉水、温泉等特殊地下水资源</w:t>
                  </w:r>
                </w:p>
              </w:tc>
              <w:tc>
                <w:tcPr>
                  <w:tcW w:w="881" w:type="pct"/>
                  <w:noWrap w:val="0"/>
                  <w:vAlign w:val="center"/>
                </w:tcPr>
                <w:p>
                  <w:pPr>
                    <w:pStyle w:val="22"/>
                    <w:wordWrap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39" w:type="pct"/>
                  <w:noWrap w:val="0"/>
                  <w:vAlign w:val="center"/>
                </w:tcPr>
                <w:p>
                  <w:pPr>
                    <w:pStyle w:val="22"/>
                    <w:wordWrap w:val="0"/>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生态环境</w:t>
                  </w:r>
                </w:p>
              </w:tc>
              <w:tc>
                <w:tcPr>
                  <w:tcW w:w="1203" w:type="pct"/>
                  <w:gridSpan w:val="2"/>
                  <w:noWrap w:val="0"/>
                  <w:vAlign w:val="center"/>
                </w:tcPr>
                <w:p>
                  <w:pPr>
                    <w:pStyle w:val="22"/>
                    <w:wordWrap w:val="0"/>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沅水辰溪段鲌类黄颡鱼国家级水产种质资源保护区</w:t>
                  </w:r>
                </w:p>
              </w:tc>
              <w:tc>
                <w:tcPr>
                  <w:tcW w:w="409" w:type="pct"/>
                  <w:noWrap w:val="0"/>
                  <w:vAlign w:val="center"/>
                </w:tcPr>
                <w:p>
                  <w:pPr>
                    <w:pStyle w:val="22"/>
                    <w:wordWrap w:val="0"/>
                    <w:spacing w:line="240" w:lineRule="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SW</w:t>
                  </w:r>
                </w:p>
              </w:tc>
              <w:tc>
                <w:tcPr>
                  <w:tcW w:w="608" w:type="pct"/>
                  <w:noWrap w:val="0"/>
                  <w:vAlign w:val="center"/>
                </w:tcPr>
                <w:p>
                  <w:pPr>
                    <w:pStyle w:val="22"/>
                    <w:wordWrap w:val="0"/>
                    <w:spacing w:line="240" w:lineRule="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4.8km</w:t>
                  </w:r>
                </w:p>
              </w:tc>
              <w:tc>
                <w:tcPr>
                  <w:tcW w:w="1359" w:type="pct"/>
                  <w:noWrap w:val="0"/>
                  <w:vAlign w:val="center"/>
                </w:tcPr>
                <w:p>
                  <w:pPr>
                    <w:pStyle w:val="22"/>
                    <w:wordWrap w:val="0"/>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鲌类和黄颡鱼，涉及青鱼、花（鱼骨）、青虾、蚌类、螺类等多种名优经济水生动物及库区资源及环境，国家Ⅱ级珍稀动物大鲵等</w:t>
                  </w:r>
                </w:p>
              </w:tc>
              <w:tc>
                <w:tcPr>
                  <w:tcW w:w="881" w:type="pct"/>
                  <w:noWrap w:val="0"/>
                  <w:vAlign w:val="center"/>
                </w:tcPr>
                <w:p>
                  <w:pPr>
                    <w:pStyle w:val="22"/>
                    <w:wordWrap w:val="0"/>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国家级</w:t>
                  </w:r>
                </w:p>
              </w:tc>
            </w:tr>
          </w:tbl>
          <w:p>
            <w:pPr>
              <w:pStyle w:val="5"/>
              <w:spacing w:line="360" w:lineRule="auto"/>
              <w:outlineLvl w:val="2"/>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3.2.2项目外环境关系</w:t>
            </w:r>
          </w:p>
          <w:p>
            <w:pPr>
              <w:pStyle w:val="3"/>
              <w:keepLines/>
              <w:overflowPunct/>
              <w:snapToGrid/>
              <w:spacing w:before="0" w:after="0" w:line="360" w:lineRule="auto"/>
              <w:ind w:left="0" w:firstLine="480" w:firstLineChars="200"/>
              <w:outlineLvl w:val="9"/>
              <w:rPr>
                <w:rFonts w:hint="default" w:ascii="Times New Roman" w:hAnsi="Times New Roman" w:eastAsia="宋体" w:cs="Times New Roman"/>
                <w:b w:val="0"/>
                <w:color w:val="auto"/>
                <w:sz w:val="21"/>
                <w:szCs w:val="21"/>
                <w:lang w:val="en-US" w:eastAsia="zh-CN"/>
              </w:rPr>
            </w:pPr>
            <w:r>
              <w:rPr>
                <w:rFonts w:hint="eastAsia" w:ascii="Times New Roman" w:hAnsi="Times New Roman" w:eastAsia="宋体" w:cs="Times New Roman"/>
                <w:b w:val="0"/>
                <w:bCs/>
                <w:snapToGrid w:val="0"/>
                <w:color w:val="0000FF"/>
                <w:kern w:val="0"/>
                <w:sz w:val="24"/>
                <w:szCs w:val="24"/>
                <w:lang w:val="en-US" w:eastAsia="zh-CN"/>
              </w:rPr>
              <w:t>根据现场调查，项目红线范围南侧紧邻606乡道，约280m为规划屠宰场，约640m为城郊加油站；东侧约620m为S250省道，目前厂界四周200m范围内无其他进行生产活动的企业，主要外环境为606乡道，道路等级低、车流量小，且该道路位于本项目宿舍南侧90m，交通噪声对本项目的影响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52" w:type="dxa"/>
            <w:noWrap w:val="0"/>
            <w:tcMar>
              <w:left w:w="28" w:type="dxa"/>
              <w:right w:w="28" w:type="dxa"/>
            </w:tcMar>
            <w:vAlign w:val="center"/>
          </w:tcPr>
          <w:p>
            <w:pPr>
              <w:pStyle w:val="24"/>
              <w:ind w:left="0" w:leftChars="0" w:firstLine="0" w:firstLineChars="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污染</w:t>
            </w:r>
          </w:p>
          <w:p>
            <w:pPr>
              <w:pStyle w:val="24"/>
              <w:ind w:left="0" w:leftChars="0" w:firstLine="0" w:firstLineChars="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物排</w:t>
            </w:r>
          </w:p>
          <w:p>
            <w:pPr>
              <w:pStyle w:val="24"/>
              <w:ind w:left="0" w:leftChars="0" w:firstLine="0" w:firstLineChars="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放控</w:t>
            </w:r>
          </w:p>
          <w:p>
            <w:pPr>
              <w:pStyle w:val="24"/>
              <w:ind w:left="0" w:leftChars="0" w:firstLine="0" w:firstLineChars="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制标</w:t>
            </w:r>
          </w:p>
          <w:p>
            <w:pPr>
              <w:pStyle w:val="24"/>
              <w:ind w:left="0" w:leftChars="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4"/>
                <w:lang w:val="en-US" w:eastAsia="zh-CN"/>
              </w:rPr>
              <w:t>准</w:t>
            </w:r>
          </w:p>
        </w:tc>
        <w:tc>
          <w:tcPr>
            <w:tcW w:w="8608" w:type="dxa"/>
            <w:noWrap w:val="0"/>
            <w:vAlign w:val="center"/>
          </w:tcPr>
          <w:p>
            <w:pPr>
              <w:pStyle w:val="5"/>
              <w:spacing w:line="360" w:lineRule="auto"/>
              <w:outlineLvl w:val="2"/>
              <w:rPr>
                <w:rFonts w:hint="default" w:ascii="Times New Roman" w:hAnsi="Times New Roman" w:eastAsia="宋体" w:cs="Times New Roman"/>
                <w:sz w:val="24"/>
                <w:szCs w:val="24"/>
              </w:rPr>
            </w:pPr>
            <w:bookmarkStart w:id="46" w:name="_Toc7438"/>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废气</w:t>
            </w:r>
            <w:bookmarkEnd w:id="46"/>
          </w:p>
          <w:p>
            <w:pPr>
              <w:spacing w:line="360" w:lineRule="auto"/>
              <w:ind w:firstLine="480" w:firstLineChars="200"/>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施工期无组织排放的颗粒物（施工粉尘）等大气污染物应执行《大气污染物综合排放标准》（GB16297-1996）表2中</w:t>
            </w:r>
            <w:r>
              <w:rPr>
                <w:rFonts w:hint="default" w:ascii="Times New Roman" w:hAnsi="Times New Roman" w:eastAsia="宋体" w:cs="Times New Roman"/>
                <w:kern w:val="0"/>
                <w:sz w:val="24"/>
                <w:lang w:val="en-US" w:eastAsia="zh-CN"/>
              </w:rPr>
              <w:t>规定</w:t>
            </w:r>
            <w:r>
              <w:rPr>
                <w:rFonts w:hint="default" w:ascii="Times New Roman" w:hAnsi="Times New Roman" w:eastAsia="宋体" w:cs="Times New Roman"/>
                <w:kern w:val="0"/>
                <w:sz w:val="24"/>
              </w:rPr>
              <w:t>的无组织排放监控浓度限值</w:t>
            </w:r>
            <w:r>
              <w:rPr>
                <w:rFonts w:hint="eastAsia" w:ascii="Times New Roman" w:hAnsi="Times New Roman" w:eastAsia="宋体" w:cs="Times New Roman"/>
                <w:kern w:val="0"/>
                <w:sz w:val="24"/>
                <w:lang w:val="en-US" w:eastAsia="zh-CN"/>
              </w:rPr>
              <w:t>。</w:t>
            </w:r>
          </w:p>
          <w:p>
            <w:pPr>
              <w:spacing w:line="360" w:lineRule="auto"/>
              <w:ind w:firstLine="480" w:firstLineChars="200"/>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项目位于湖南省怀化市辰溪县，根据《湖南省大气污染防治条例》（2017年4月5日发布，2017年6月1日施行），所在区域不属于湖南省重大气污染防治点区域，故</w:t>
            </w:r>
            <w:r>
              <w:rPr>
                <w:rFonts w:hint="default" w:ascii="Times New Roman" w:hAnsi="Times New Roman" w:eastAsia="宋体" w:cs="Times New Roman"/>
                <w:kern w:val="0"/>
                <w:sz w:val="24"/>
                <w:lang w:val="en-US" w:eastAsia="zh-CN"/>
              </w:rPr>
              <w:t>营运期颗粒物</w:t>
            </w:r>
            <w:r>
              <w:rPr>
                <w:rFonts w:hint="eastAsia" w:ascii="Times New Roman" w:hAnsi="Times New Roman" w:eastAsia="宋体" w:cs="Times New Roman"/>
                <w:kern w:val="0"/>
                <w:sz w:val="24"/>
                <w:lang w:val="en-US" w:eastAsia="zh-CN"/>
              </w:rPr>
              <w:t>排放浓度执行《</w:t>
            </w:r>
            <w:r>
              <w:rPr>
                <w:rFonts w:hint="default" w:ascii="Times New Roman" w:hAnsi="Times New Roman" w:eastAsia="宋体" w:cs="Times New Roman"/>
                <w:kern w:val="0"/>
                <w:sz w:val="24"/>
                <w:lang w:val="en-US" w:eastAsia="zh-CN"/>
              </w:rPr>
              <w:t>水泥工业大气污染物排放标准</w:t>
            </w:r>
            <w:r>
              <w:rPr>
                <w:rFonts w:hint="eastAsia" w:ascii="Times New Roman" w:hAnsi="Times New Roman" w:eastAsia="宋体" w:cs="Times New Roman"/>
                <w:kern w:val="0"/>
                <w:sz w:val="24"/>
                <w:lang w:val="en-US" w:eastAsia="zh-CN"/>
              </w:rPr>
              <w:t>》</w:t>
            </w:r>
            <w:r>
              <w:rPr>
                <w:rFonts w:hint="default" w:ascii="Times New Roman" w:hAnsi="Times New Roman" w:eastAsia="宋体" w:cs="Times New Roman"/>
                <w:kern w:val="0"/>
                <w:sz w:val="24"/>
                <w:lang w:val="en-US" w:eastAsia="zh-CN"/>
              </w:rPr>
              <w:t>（GB4915-2013）</w:t>
            </w:r>
            <w:r>
              <w:rPr>
                <w:rFonts w:hint="eastAsia" w:ascii="Times New Roman" w:hAnsi="Times New Roman" w:eastAsia="宋体" w:cs="Times New Roman"/>
                <w:kern w:val="0"/>
                <w:sz w:val="24"/>
                <w:lang w:val="en-US" w:eastAsia="zh-CN"/>
              </w:rPr>
              <w:t>表1标准</w:t>
            </w:r>
            <w:r>
              <w:rPr>
                <w:rFonts w:hint="default" w:ascii="Times New Roman" w:hAnsi="Times New Roman" w:eastAsia="宋体" w:cs="Times New Roman"/>
                <w:kern w:val="0"/>
                <w:sz w:val="24"/>
                <w:lang w:val="en-US" w:eastAsia="zh-CN"/>
              </w:rPr>
              <w:t>；</w:t>
            </w:r>
            <w:r>
              <w:rPr>
                <w:rFonts w:hint="eastAsia" w:ascii="Times New Roman" w:hAnsi="Times New Roman" w:eastAsia="宋体" w:cs="Times New Roman"/>
                <w:b w:val="0"/>
                <w:bCs/>
                <w:snapToGrid w:val="0"/>
                <w:color w:val="0000FF"/>
                <w:kern w:val="0"/>
                <w:sz w:val="24"/>
                <w:szCs w:val="24"/>
                <w:lang w:val="en-US" w:eastAsia="zh-CN"/>
              </w:rPr>
              <w:t>非甲烷总烃执行执行《大气污染物综合排放标准》（GB16297-1996）表2中排放标准限值；</w:t>
            </w:r>
            <w:r>
              <w:rPr>
                <w:rFonts w:hint="default" w:ascii="Times New Roman" w:hAnsi="Times New Roman" w:eastAsia="宋体" w:cs="Times New Roman"/>
                <w:kern w:val="0"/>
                <w:sz w:val="24"/>
                <w:lang w:val="en-US" w:eastAsia="zh-CN"/>
              </w:rPr>
              <w:t>食堂油烟执行《饮食业油烟排放标准（试行）》（GB18483-2001）小型</w:t>
            </w:r>
            <w:r>
              <w:rPr>
                <w:rFonts w:hint="eastAsia" w:ascii="Times New Roman" w:hAnsi="Times New Roman" w:eastAsia="宋体" w:cs="Times New Roman"/>
                <w:kern w:val="0"/>
                <w:sz w:val="24"/>
                <w:lang w:val="en-US" w:eastAsia="zh-CN"/>
              </w:rPr>
              <w:t>食堂</w:t>
            </w:r>
            <w:r>
              <w:rPr>
                <w:rFonts w:hint="default" w:ascii="Times New Roman" w:hAnsi="Times New Roman" w:eastAsia="宋体" w:cs="Times New Roman"/>
                <w:kern w:val="0"/>
                <w:sz w:val="24"/>
                <w:lang w:val="en-US" w:eastAsia="zh-CN"/>
              </w:rPr>
              <w:t>标准。</w:t>
            </w:r>
          </w:p>
          <w:p>
            <w:pPr>
              <w:jc w:val="center"/>
              <w:rPr>
                <w:rFonts w:hint="default" w:ascii="Times New Roman" w:hAnsi="Times New Roman" w:eastAsia="宋体" w:cs="Times New Roman"/>
                <w:b/>
                <w:szCs w:val="21"/>
              </w:rPr>
            </w:pPr>
            <w:r>
              <w:rPr>
                <w:rFonts w:hint="default" w:ascii="Times New Roman" w:hAnsi="Times New Roman" w:eastAsia="宋体" w:cs="Times New Roman"/>
                <w:b/>
                <w:bCs w:val="0"/>
                <w:sz w:val="21"/>
                <w:szCs w:val="21"/>
                <w:lang w:val="en-US" w:eastAsia="zh-CN"/>
              </w:rPr>
              <w:t xml:space="preserve">表3-6  </w:t>
            </w:r>
            <w:r>
              <w:rPr>
                <w:rFonts w:hint="default" w:ascii="Times New Roman" w:hAnsi="Times New Roman" w:eastAsia="宋体" w:cs="Times New Roman"/>
                <w:b/>
                <w:szCs w:val="21"/>
              </w:rPr>
              <w:t>《大气污染物综合排放标准》（GB16297-1996）</w:t>
            </w:r>
            <w:r>
              <w:rPr>
                <w:rFonts w:hint="eastAsia" w:ascii="Times New Roman" w:hAnsi="Times New Roman" w:eastAsia="宋体" w:cs="Times New Roman"/>
                <w:b/>
                <w:szCs w:val="21"/>
                <w:lang w:val="en-US" w:eastAsia="zh-CN"/>
              </w:rPr>
              <w:t>截取</w:t>
            </w:r>
            <w:r>
              <w:rPr>
                <w:rFonts w:hint="default" w:ascii="Times New Roman" w:hAnsi="Times New Roman" w:eastAsia="宋体" w:cs="Times New Roman"/>
                <w:b/>
                <w:szCs w:val="21"/>
              </w:rPr>
              <w:t xml:space="preserve">  单位：mg/m</w:t>
            </w:r>
            <w:r>
              <w:rPr>
                <w:rFonts w:hint="default" w:ascii="Times New Roman" w:hAnsi="Times New Roman" w:eastAsia="宋体" w:cs="Times New Roman"/>
                <w:b/>
                <w:szCs w:val="21"/>
                <w:vertAlign w:val="superscript"/>
              </w:rPr>
              <w:t>3</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931"/>
              <w:gridCol w:w="1534"/>
              <w:gridCol w:w="1216"/>
              <w:gridCol w:w="117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3" w:type="pct"/>
                  <w:vMerge w:val="restar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污染物</w:t>
                  </w:r>
                </w:p>
              </w:tc>
              <w:tc>
                <w:tcPr>
                  <w:tcW w:w="1148" w:type="pct"/>
                  <w:vMerge w:val="restar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最高允许排放浓度</w:t>
                  </w:r>
                </w:p>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（mg/m</w:t>
                  </w:r>
                  <w:r>
                    <w:rPr>
                      <w:rFonts w:hint="default" w:ascii="Times New Roman" w:hAnsi="Times New Roman" w:eastAsia="宋体" w:cs="Times New Roman"/>
                      <w:b/>
                      <w:bCs w:val="0"/>
                      <w:sz w:val="21"/>
                      <w:szCs w:val="21"/>
                      <w:vertAlign w:val="superscript"/>
                      <w:lang w:val="en-US" w:eastAsia="zh-CN"/>
                    </w:rPr>
                    <w:t>3</w:t>
                  </w:r>
                  <w:r>
                    <w:rPr>
                      <w:rFonts w:hint="default" w:ascii="Times New Roman" w:hAnsi="Times New Roman" w:eastAsia="宋体" w:cs="Times New Roman"/>
                      <w:b/>
                      <w:bCs w:val="0"/>
                      <w:sz w:val="21"/>
                      <w:szCs w:val="21"/>
                      <w:lang w:val="en-US" w:eastAsia="zh-CN"/>
                    </w:rPr>
                    <w:t>）</w:t>
                  </w:r>
                </w:p>
              </w:tc>
              <w:tc>
                <w:tcPr>
                  <w:tcW w:w="1635" w:type="pct"/>
                  <w:gridSpan w:val="2"/>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最高允许排放速率（kg/h）</w:t>
                  </w:r>
                </w:p>
              </w:tc>
              <w:tc>
                <w:tcPr>
                  <w:tcW w:w="1702" w:type="pct"/>
                  <w:gridSpan w:val="2"/>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3"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p>
              </w:tc>
              <w:tc>
                <w:tcPr>
                  <w:tcW w:w="1148"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p>
              </w:tc>
              <w:tc>
                <w:tcPr>
                  <w:tcW w:w="912"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排气筒</w:t>
                  </w:r>
                </w:p>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高度（m）</w:t>
                  </w:r>
                </w:p>
              </w:tc>
              <w:tc>
                <w:tcPr>
                  <w:tcW w:w="723"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二级</w:t>
                  </w:r>
                </w:p>
              </w:tc>
              <w:tc>
                <w:tcPr>
                  <w:tcW w:w="696"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监控点</w:t>
                  </w:r>
                </w:p>
              </w:tc>
              <w:tc>
                <w:tcPr>
                  <w:tcW w:w="1006"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浓度（mg/m</w:t>
                  </w:r>
                  <w:r>
                    <w:rPr>
                      <w:rFonts w:hint="default" w:ascii="Times New Roman" w:hAnsi="Times New Roman" w:eastAsia="宋体" w:cs="Times New Roman"/>
                      <w:b/>
                      <w:bCs w:val="0"/>
                      <w:sz w:val="21"/>
                      <w:szCs w:val="21"/>
                      <w:vertAlign w:val="superscript"/>
                      <w:lang w:val="en-US" w:eastAsia="zh-CN"/>
                    </w:rPr>
                    <w:t>3</w:t>
                  </w:r>
                  <w:r>
                    <w:rPr>
                      <w:rFonts w:hint="default" w:ascii="Times New Roman" w:hAnsi="Times New Roman" w:eastAsia="宋体" w:cs="Times New Roman"/>
                      <w:b/>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颗粒物</w:t>
                  </w:r>
                </w:p>
              </w:tc>
              <w:tc>
                <w:tcPr>
                  <w:tcW w:w="1148"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120</w:t>
                  </w:r>
                </w:p>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（其它）</w:t>
                  </w:r>
                </w:p>
              </w:tc>
              <w:tc>
                <w:tcPr>
                  <w:tcW w:w="912"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723"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w:t>
                  </w:r>
                </w:p>
              </w:tc>
              <w:tc>
                <w:tcPr>
                  <w:tcW w:w="696"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周界外浓度最高点</w:t>
                  </w:r>
                </w:p>
              </w:tc>
              <w:tc>
                <w:tcPr>
                  <w:tcW w:w="1006" w:type="pct"/>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r>
          </w:tbl>
          <w:p>
            <w:pPr>
              <w:jc w:val="center"/>
              <w:rPr>
                <w:rFonts w:hint="default" w:ascii="Times New Roman" w:hAnsi="Times New Roman" w:eastAsia="宋体" w:cs="Times New Roman"/>
                <w:b/>
                <w:bCs/>
                <w:snapToGrid w:val="0"/>
                <w:color w:val="FF0000"/>
                <w:kern w:val="0"/>
                <w:sz w:val="21"/>
                <w:szCs w:val="21"/>
                <w:lang w:val="en-US" w:eastAsia="zh-CN" w:bidi="ar"/>
              </w:rPr>
            </w:pPr>
          </w:p>
          <w:p>
            <w:pPr>
              <w:jc w:val="center"/>
              <w:rPr>
                <w:rFonts w:hint="default" w:ascii="Times New Roman" w:hAnsi="Times New Roman" w:eastAsia="宋体" w:cs="Times New Roman"/>
                <w:b/>
                <w:bCs/>
                <w:snapToGrid w:val="0"/>
                <w:color w:val="auto"/>
                <w:kern w:val="0"/>
                <w:sz w:val="21"/>
                <w:szCs w:val="21"/>
                <w:lang w:val="en-US" w:eastAsia="zh-CN" w:bidi="ar"/>
              </w:rPr>
            </w:pPr>
            <w:r>
              <w:rPr>
                <w:rFonts w:hint="default" w:ascii="Times New Roman" w:hAnsi="Times New Roman" w:eastAsia="宋体" w:cs="Times New Roman"/>
                <w:b/>
                <w:bCs/>
                <w:snapToGrid w:val="0"/>
                <w:color w:val="auto"/>
                <w:kern w:val="0"/>
                <w:sz w:val="21"/>
                <w:szCs w:val="21"/>
                <w:lang w:val="en-US" w:eastAsia="zh-CN" w:bidi="ar"/>
              </w:rPr>
              <w:t xml:space="preserve">表 </w:t>
            </w:r>
            <w:r>
              <w:rPr>
                <w:rFonts w:hint="eastAsia" w:ascii="Times New Roman" w:hAnsi="Times New Roman" w:eastAsia="宋体" w:cs="Times New Roman"/>
                <w:b/>
                <w:bCs/>
                <w:snapToGrid w:val="0"/>
                <w:color w:val="auto"/>
                <w:kern w:val="0"/>
                <w:sz w:val="21"/>
                <w:szCs w:val="21"/>
                <w:lang w:val="en-US" w:eastAsia="zh-CN" w:bidi="ar"/>
              </w:rPr>
              <w:t>3-7</w:t>
            </w:r>
            <w:r>
              <w:rPr>
                <w:rFonts w:hint="default" w:ascii="Times New Roman" w:hAnsi="Times New Roman" w:eastAsia="宋体" w:cs="Times New Roman"/>
                <w:b/>
                <w:bCs/>
                <w:snapToGrid w:val="0"/>
                <w:color w:val="auto"/>
                <w:kern w:val="0"/>
                <w:sz w:val="21"/>
                <w:szCs w:val="21"/>
                <w:lang w:val="en-US" w:eastAsia="zh-CN" w:bidi="ar"/>
              </w:rPr>
              <w:t xml:space="preserve"> 水泥工业大气污染物排放标准（GB4915-2013）</w:t>
            </w:r>
            <w:r>
              <w:rPr>
                <w:rFonts w:hint="eastAsia" w:ascii="Times New Roman" w:hAnsi="Times New Roman" w:eastAsia="宋体" w:cs="Times New Roman"/>
                <w:b/>
                <w:color w:val="auto"/>
                <w:szCs w:val="21"/>
                <w:lang w:val="en-US" w:eastAsia="zh-CN"/>
              </w:rPr>
              <w:t>截取</w:t>
            </w:r>
            <w:r>
              <w:rPr>
                <w:rFonts w:hint="default" w:ascii="Times New Roman" w:hAnsi="Times New Roman" w:eastAsia="宋体" w:cs="Times New Roman"/>
                <w:b/>
                <w:color w:val="auto"/>
                <w:szCs w:val="21"/>
              </w:rPr>
              <w:t xml:space="preserve"> </w:t>
            </w:r>
            <w:r>
              <w:rPr>
                <w:rFonts w:hint="eastAsia" w:ascii="Times New Roman" w:hAnsi="Times New Roman" w:eastAsia="宋体" w:cs="Times New Roman"/>
                <w:b/>
                <w:color w:val="auto"/>
                <w:szCs w:val="21"/>
                <w:lang w:val="en-US" w:eastAsia="zh-CN"/>
              </w:rPr>
              <w:t xml:space="preserve"> </w:t>
            </w:r>
            <w:r>
              <w:rPr>
                <w:rFonts w:hint="default" w:ascii="Times New Roman" w:hAnsi="Times New Roman" w:eastAsia="宋体" w:cs="Times New Roman"/>
                <w:b/>
                <w:color w:val="auto"/>
                <w:szCs w:val="21"/>
              </w:rPr>
              <w:t>单位：mg/m</w:t>
            </w:r>
            <w:r>
              <w:rPr>
                <w:rFonts w:hint="default" w:ascii="Times New Roman" w:hAnsi="Times New Roman" w:eastAsia="宋体" w:cs="Times New Roman"/>
                <w:b/>
                <w:color w:val="auto"/>
                <w:szCs w:val="21"/>
                <w:vertAlign w:val="superscript"/>
              </w:rPr>
              <w:t>3</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408"/>
              <w:gridCol w:w="1931"/>
              <w:gridCol w:w="226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0" w:type="pct"/>
                  <w:vMerge w:val="restart"/>
                  <w:noWrap w:val="0"/>
                  <w:vAlign w:val="center"/>
                </w:tcPr>
                <w:p>
                  <w:pPr>
                    <w:keepNext w:val="0"/>
                    <w:keepLines w:val="0"/>
                    <w:widowControl/>
                    <w:suppressLineNumbers w:val="0"/>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bidi="ar"/>
                    </w:rPr>
                    <w:t>生产过程</w:t>
                  </w:r>
                </w:p>
              </w:tc>
              <w:tc>
                <w:tcPr>
                  <w:tcW w:w="837" w:type="pct"/>
                  <w:vMerge w:val="restart"/>
                  <w:noWrap w:val="0"/>
                  <w:vAlign w:val="center"/>
                </w:tcPr>
                <w:p>
                  <w:pPr>
                    <w:keepNext w:val="0"/>
                    <w:keepLines w:val="0"/>
                    <w:widowControl/>
                    <w:suppressLineNumbers w:val="0"/>
                    <w:jc w:val="left"/>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bidi="ar"/>
                    </w:rPr>
                    <w:t xml:space="preserve">生产设备 </w:t>
                  </w:r>
                </w:p>
              </w:tc>
              <w:tc>
                <w:tcPr>
                  <w:tcW w:w="1148" w:type="pct"/>
                  <w:noWrap w:val="0"/>
                  <w:vAlign w:val="center"/>
                </w:tcPr>
                <w:p>
                  <w:pPr>
                    <w:spacing w:line="240" w:lineRule="auto"/>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排气筒排放限值</w:t>
                  </w:r>
                </w:p>
              </w:tc>
              <w:tc>
                <w:tcPr>
                  <w:tcW w:w="2233" w:type="pct"/>
                  <w:gridSpan w:val="2"/>
                  <w:noWrap w:val="0"/>
                  <w:vAlign w:val="center"/>
                </w:tcPr>
                <w:p>
                  <w:pPr>
                    <w:spacing w:line="240" w:lineRule="auto"/>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0"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c>
                <w:tcPr>
                  <w:tcW w:w="837"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c>
                <w:tcPr>
                  <w:tcW w:w="1148" w:type="pct"/>
                  <w:noWrap w:val="0"/>
                  <w:vAlign w:val="center"/>
                </w:tcPr>
                <w:p>
                  <w:pPr>
                    <w:keepNext w:val="0"/>
                    <w:keepLines w:val="0"/>
                    <w:widowControl/>
                    <w:suppressLineNumbers w:val="0"/>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bidi="ar"/>
                    </w:rPr>
                    <w:t>颗粒物</w:t>
                  </w:r>
                  <w:r>
                    <w:rPr>
                      <w:rFonts w:hint="default" w:ascii="Times New Roman" w:hAnsi="Times New Roman" w:eastAsia="宋体" w:cs="Times New Roman"/>
                      <w:b/>
                      <w:bCs w:val="0"/>
                      <w:color w:val="auto"/>
                      <w:sz w:val="21"/>
                      <w:szCs w:val="21"/>
                      <w:lang w:val="en-US" w:eastAsia="zh-CN"/>
                    </w:rPr>
                    <w:t>浓度</w:t>
                  </w:r>
                </w:p>
              </w:tc>
              <w:tc>
                <w:tcPr>
                  <w:tcW w:w="1349" w:type="pct"/>
                  <w:noWrap w:val="0"/>
                  <w:vAlign w:val="center"/>
                </w:tcPr>
                <w:p>
                  <w:pPr>
                    <w:spacing w:line="240" w:lineRule="auto"/>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监控点</w:t>
                  </w:r>
                </w:p>
              </w:tc>
              <w:tc>
                <w:tcPr>
                  <w:tcW w:w="884" w:type="pct"/>
                  <w:noWrap w:val="0"/>
                  <w:vAlign w:val="center"/>
                </w:tcPr>
                <w:p>
                  <w:pPr>
                    <w:spacing w:line="240" w:lineRule="auto"/>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snapToGrid w:val="0"/>
                      <w:color w:val="auto"/>
                      <w:kern w:val="0"/>
                      <w:sz w:val="21"/>
                      <w:szCs w:val="21"/>
                      <w:lang w:val="en-US" w:eastAsia="zh-CN" w:bidi="ar"/>
                    </w:rPr>
                    <w:t>颗粒物</w:t>
                  </w:r>
                  <w:r>
                    <w:rPr>
                      <w:rFonts w:hint="default" w:ascii="Times New Roman" w:hAnsi="Times New Roman" w:eastAsia="宋体" w:cs="Times New Roman"/>
                      <w:b/>
                      <w:bCs w:val="0"/>
                      <w:color w:val="auto"/>
                      <w:sz w:val="21"/>
                      <w:szCs w:val="21"/>
                      <w:lang w:val="en-US" w:eastAsia="zh-CN"/>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780" w:type="pct"/>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0"/>
                      <w:sz w:val="21"/>
                      <w:szCs w:val="21"/>
                      <w:lang w:val="en-US" w:eastAsia="zh-CN" w:bidi="ar"/>
                    </w:rPr>
                    <w:t>散装水泥中转站及水泥制品生产</w:t>
                  </w:r>
                </w:p>
              </w:tc>
              <w:tc>
                <w:tcPr>
                  <w:tcW w:w="837" w:type="pct"/>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snapToGrid w:val="0"/>
                      <w:color w:val="auto"/>
                      <w:kern w:val="0"/>
                      <w:sz w:val="21"/>
                      <w:szCs w:val="21"/>
                      <w:lang w:val="en-US" w:eastAsia="zh-CN" w:bidi="ar"/>
                    </w:rPr>
                    <w:t>水泥仓及其它通风生产</w:t>
                  </w:r>
                  <w:r>
                    <w:rPr>
                      <w:rFonts w:hint="eastAsia" w:ascii="Times New Roman" w:hAnsi="Times New Roman" w:eastAsia="宋体" w:cs="Times New Roman"/>
                      <w:snapToGrid w:val="0"/>
                      <w:color w:val="auto"/>
                      <w:kern w:val="0"/>
                      <w:sz w:val="21"/>
                      <w:szCs w:val="21"/>
                      <w:lang w:val="en-US" w:eastAsia="zh-CN" w:bidi="ar"/>
                    </w:rPr>
                    <w:t>设备</w:t>
                  </w:r>
                </w:p>
              </w:tc>
              <w:tc>
                <w:tcPr>
                  <w:tcW w:w="1148" w:type="pct"/>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0"/>
                      <w:sz w:val="21"/>
                      <w:szCs w:val="21"/>
                      <w:lang w:val="en-US" w:eastAsia="zh-CN" w:bidi="ar"/>
                    </w:rPr>
                    <w:t>20</w:t>
                  </w:r>
                </w:p>
              </w:tc>
              <w:tc>
                <w:tcPr>
                  <w:tcW w:w="1349"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周界外</w:t>
                  </w:r>
                  <w:r>
                    <w:rPr>
                      <w:rFonts w:hint="default" w:ascii="Times New Roman" w:hAnsi="Times New Roman" w:eastAsia="宋体" w:cs="Times New Roman"/>
                      <w:color w:val="auto"/>
                      <w:sz w:val="21"/>
                      <w:szCs w:val="21"/>
                      <w:lang w:val="en-US" w:eastAsia="zh-CN"/>
                    </w:rPr>
                    <w:t>20m处上风向设参照点，下风向设监控点</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w:t>
                  </w:r>
                </w:p>
              </w:tc>
            </w:tr>
          </w:tbl>
          <w:p>
            <w:pPr>
              <w:pStyle w:val="25"/>
              <w:spacing w:line="240" w:lineRule="auto"/>
              <w:rPr>
                <w:rFonts w:hint="default" w:ascii="Times New Roman" w:hAnsi="Times New Roman" w:eastAsia="宋体" w:cs="Times New Roman"/>
                <w:b/>
                <w:sz w:val="21"/>
                <w:szCs w:val="21"/>
              </w:rPr>
            </w:pPr>
          </w:p>
          <w:p>
            <w:pPr>
              <w:pStyle w:val="25"/>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b/>
                <w:snapToGrid w:val="0"/>
                <w:color w:val="0000FF"/>
                <w:kern w:val="0"/>
                <w:sz w:val="21"/>
                <w:szCs w:val="21"/>
                <w:lang w:val="en-US" w:eastAsia="zh-CN"/>
              </w:rPr>
              <w:t>表3-8  《大气污染物综合排放标准》（GB16297-1996）</w:t>
            </w:r>
            <w:r>
              <w:rPr>
                <w:rFonts w:hint="default" w:ascii="Times New Roman" w:hAnsi="Times New Roman" w:eastAsia="宋体" w:cs="Times New Roman"/>
                <w:b/>
                <w:color w:val="0000FF"/>
                <w:sz w:val="21"/>
                <w:szCs w:val="21"/>
                <w:lang w:val="en-US" w:eastAsia="zh-CN"/>
              </w:rPr>
              <w:t xml:space="preserve">截取  </w:t>
            </w:r>
            <w:r>
              <w:rPr>
                <w:rFonts w:hint="default" w:ascii="Times New Roman" w:hAnsi="Times New Roman" w:eastAsia="宋体" w:cs="Times New Roman"/>
                <w:b/>
                <w:color w:val="0000FF"/>
                <w:sz w:val="21"/>
                <w:szCs w:val="21"/>
              </w:rPr>
              <w:t>单位：mg/m</w:t>
            </w:r>
            <w:r>
              <w:rPr>
                <w:rFonts w:hint="default" w:ascii="Times New Roman" w:hAnsi="Times New Roman" w:eastAsia="宋体" w:cs="Times New Roman"/>
                <w:b/>
                <w:color w:val="0000FF"/>
                <w:sz w:val="21"/>
                <w:szCs w:val="21"/>
                <w:vertAlign w:val="superscript"/>
              </w:rPr>
              <w:t>3</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680"/>
              <w:gridCol w:w="1579"/>
              <w:gridCol w:w="1229"/>
              <w:gridCol w:w="91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91"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污染物</w:t>
                  </w:r>
                </w:p>
              </w:tc>
              <w:tc>
                <w:tcPr>
                  <w:tcW w:w="999"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最高允许排放浓度</w:t>
                  </w:r>
                </w:p>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（mg/m</w:t>
                  </w:r>
                  <w:r>
                    <w:rPr>
                      <w:rFonts w:hint="default" w:ascii="Times New Roman" w:hAnsi="Times New Roman" w:eastAsia="宋体" w:cs="Times New Roman"/>
                      <w:color w:val="0000FF"/>
                      <w:sz w:val="21"/>
                      <w:szCs w:val="21"/>
                      <w:vertAlign w:val="superscript"/>
                    </w:rPr>
                    <w:t>3</w:t>
                  </w:r>
                  <w:r>
                    <w:rPr>
                      <w:rFonts w:hint="default" w:ascii="Times New Roman" w:hAnsi="Times New Roman" w:eastAsia="宋体" w:cs="Times New Roman"/>
                      <w:color w:val="0000FF"/>
                      <w:sz w:val="21"/>
                      <w:szCs w:val="21"/>
                    </w:rPr>
                    <w:t>）</w:t>
                  </w:r>
                </w:p>
              </w:tc>
              <w:tc>
                <w:tcPr>
                  <w:tcW w:w="1670" w:type="pct"/>
                  <w:gridSpan w:val="2"/>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最高允许排放速率（kg/h）</w:t>
                  </w:r>
                </w:p>
              </w:tc>
              <w:tc>
                <w:tcPr>
                  <w:tcW w:w="1539" w:type="pct"/>
                  <w:gridSpan w:val="2"/>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91"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p>
              </w:tc>
              <w:tc>
                <w:tcPr>
                  <w:tcW w:w="999"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p>
              </w:tc>
              <w:tc>
                <w:tcPr>
                  <w:tcW w:w="939"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排气筒</w:t>
                  </w:r>
                </w:p>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高度（m）</w:t>
                  </w:r>
                </w:p>
              </w:tc>
              <w:tc>
                <w:tcPr>
                  <w:tcW w:w="731"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二级</w:t>
                  </w:r>
                </w:p>
              </w:tc>
              <w:tc>
                <w:tcPr>
                  <w:tcW w:w="544"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监控点</w:t>
                  </w:r>
                </w:p>
              </w:tc>
              <w:tc>
                <w:tcPr>
                  <w:tcW w:w="994"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浓度（mg/m</w:t>
                  </w:r>
                  <w:r>
                    <w:rPr>
                      <w:rFonts w:hint="default" w:ascii="Times New Roman" w:hAnsi="Times New Roman" w:eastAsia="宋体" w:cs="Times New Roman"/>
                      <w:color w:val="0000FF"/>
                      <w:sz w:val="21"/>
                      <w:szCs w:val="21"/>
                      <w:vertAlign w:val="superscript"/>
                    </w:rPr>
                    <w:t>3</w:t>
                  </w:r>
                  <w:r>
                    <w:rPr>
                      <w:rFonts w:hint="default" w:ascii="Times New Roman" w:hAnsi="Times New Roman" w:eastAsia="宋体" w:cs="Times New Roman"/>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91"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非甲烷总烃</w:t>
                  </w:r>
                </w:p>
              </w:tc>
              <w:tc>
                <w:tcPr>
                  <w:tcW w:w="999"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120（使用溶剂汽油或其他混合烃类物质）</w:t>
                  </w:r>
                </w:p>
              </w:tc>
              <w:tc>
                <w:tcPr>
                  <w:tcW w:w="939"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15</w:t>
                  </w:r>
                </w:p>
              </w:tc>
              <w:tc>
                <w:tcPr>
                  <w:tcW w:w="731"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10</w:t>
                  </w:r>
                </w:p>
              </w:tc>
              <w:tc>
                <w:tcPr>
                  <w:tcW w:w="544"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周界外浓度最高点</w:t>
                  </w:r>
                </w:p>
              </w:tc>
              <w:tc>
                <w:tcPr>
                  <w:tcW w:w="994" w:type="pct"/>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4.0</w:t>
                  </w:r>
                </w:p>
              </w:tc>
            </w:tr>
          </w:tbl>
          <w:p>
            <w:pPr>
              <w:jc w:val="center"/>
              <w:rPr>
                <w:rFonts w:hint="default" w:ascii="Times New Roman" w:hAnsi="Times New Roman" w:eastAsia="宋体" w:cs="Times New Roman"/>
                <w:b/>
                <w:szCs w:val="21"/>
              </w:rPr>
            </w:pPr>
          </w:p>
          <w:p>
            <w:pPr>
              <w:pStyle w:val="25"/>
              <w:spacing w:line="240" w:lineRule="auto"/>
              <w:rPr>
                <w:rFonts w:hint="default" w:ascii="Times New Roman" w:hAnsi="Times New Roman" w:eastAsia="宋体" w:cs="Times New Roman"/>
                <w:b/>
                <w:snapToGrid w:val="0"/>
                <w:color w:val="000000"/>
                <w:kern w:val="0"/>
                <w:sz w:val="21"/>
                <w:szCs w:val="21"/>
                <w:lang w:val="en-US" w:eastAsia="zh-CN"/>
              </w:rPr>
            </w:pPr>
            <w:r>
              <w:rPr>
                <w:rFonts w:hint="default" w:ascii="Times New Roman" w:hAnsi="Times New Roman" w:eastAsia="宋体" w:cs="Times New Roman"/>
                <w:b/>
                <w:snapToGrid w:val="0"/>
                <w:color w:val="000000"/>
                <w:kern w:val="0"/>
                <w:sz w:val="21"/>
                <w:szCs w:val="21"/>
                <w:lang w:val="en-US" w:eastAsia="zh-CN"/>
              </w:rPr>
              <w:t>表3-</w:t>
            </w:r>
            <w:r>
              <w:rPr>
                <w:rFonts w:hint="eastAsia" w:ascii="Times New Roman" w:hAnsi="Times New Roman" w:eastAsia="宋体" w:cs="Times New Roman"/>
                <w:b/>
                <w:snapToGrid w:val="0"/>
                <w:color w:val="000000"/>
                <w:kern w:val="0"/>
                <w:sz w:val="21"/>
                <w:szCs w:val="21"/>
                <w:lang w:val="en-US" w:eastAsia="zh-CN"/>
              </w:rPr>
              <w:t xml:space="preserve">9  </w:t>
            </w:r>
            <w:r>
              <w:rPr>
                <w:rFonts w:hint="default" w:ascii="Times New Roman" w:hAnsi="Times New Roman" w:eastAsia="宋体" w:cs="Times New Roman"/>
                <w:b/>
                <w:snapToGrid w:val="0"/>
                <w:color w:val="000000"/>
                <w:kern w:val="0"/>
                <w:sz w:val="21"/>
                <w:szCs w:val="21"/>
                <w:lang w:val="en-US" w:eastAsia="zh-CN"/>
              </w:rPr>
              <w:t>《饮食业油烟排放标准（试行）》（GB18483-2001）截取</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2319"/>
              <w:gridCol w:w="145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9"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规模</w:t>
                  </w:r>
                </w:p>
              </w:tc>
              <w:tc>
                <w:tcPr>
                  <w:tcW w:w="1379"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小型</w:t>
                  </w:r>
                </w:p>
              </w:tc>
              <w:tc>
                <w:tcPr>
                  <w:tcW w:w="864"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中型</w:t>
                  </w:r>
                </w:p>
              </w:tc>
              <w:tc>
                <w:tcPr>
                  <w:tcW w:w="837" w:type="pct"/>
                  <w:noWrap w:val="0"/>
                  <w:vAlign w:val="center"/>
                </w:tcPr>
                <w:p>
                  <w:pPr>
                    <w:spacing w:line="240" w:lineRule="auto"/>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919"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基准灶头数</w:t>
                  </w:r>
                </w:p>
              </w:tc>
              <w:tc>
                <w:tcPr>
                  <w:tcW w:w="1379"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≥1，&lt;3</w:t>
                  </w:r>
                </w:p>
              </w:tc>
              <w:tc>
                <w:tcPr>
                  <w:tcW w:w="864"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≥3，&lt;6</w:t>
                  </w:r>
                </w:p>
              </w:tc>
              <w:tc>
                <w:tcPr>
                  <w:tcW w:w="837"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919"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最高允许排放浓度（mg/m</w:t>
                  </w:r>
                  <w:r>
                    <w:rPr>
                      <w:rFonts w:hint="default" w:ascii="Times New Roman" w:hAnsi="Times New Roman" w:eastAsia="宋体" w:cs="Times New Roman"/>
                      <w:color w:val="000000"/>
                      <w:szCs w:val="21"/>
                      <w:vertAlign w:val="superscript"/>
                    </w:rPr>
                    <w:t>3</w:t>
                  </w:r>
                  <w:r>
                    <w:rPr>
                      <w:rFonts w:hint="default" w:ascii="Times New Roman" w:hAnsi="Times New Roman" w:eastAsia="宋体" w:cs="Times New Roman"/>
                      <w:color w:val="000000"/>
                      <w:szCs w:val="21"/>
                    </w:rPr>
                    <w:t>）</w:t>
                  </w:r>
                </w:p>
              </w:tc>
              <w:tc>
                <w:tcPr>
                  <w:tcW w:w="3081" w:type="pct"/>
                  <w:gridSpan w:val="3"/>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9"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净化设施最低去除效率（%）</w:t>
                  </w:r>
                </w:p>
              </w:tc>
              <w:tc>
                <w:tcPr>
                  <w:tcW w:w="1379"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60</w:t>
                  </w:r>
                </w:p>
              </w:tc>
              <w:tc>
                <w:tcPr>
                  <w:tcW w:w="864"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75</w:t>
                  </w:r>
                </w:p>
              </w:tc>
              <w:tc>
                <w:tcPr>
                  <w:tcW w:w="837" w:type="pc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85</w:t>
                  </w:r>
                </w:p>
              </w:tc>
            </w:tr>
          </w:tbl>
          <w:p>
            <w:pPr>
              <w:pStyle w:val="5"/>
              <w:spacing w:line="360" w:lineRule="auto"/>
              <w:outlineLvl w:val="2"/>
              <w:rPr>
                <w:rFonts w:hint="default" w:ascii="Times New Roman" w:hAnsi="Times New Roman" w:eastAsia="宋体" w:cs="Times New Roman"/>
                <w:sz w:val="24"/>
                <w:szCs w:val="24"/>
              </w:rPr>
            </w:pPr>
            <w:bookmarkStart w:id="47" w:name="_Toc26177"/>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rPr>
              <w:t>废水</w:t>
            </w:r>
            <w:bookmarkEnd w:id="47"/>
          </w:p>
          <w:p>
            <w:pPr>
              <w:spacing w:line="360" w:lineRule="auto"/>
              <w:ind w:firstLine="480" w:firstLineChars="200"/>
              <w:rPr>
                <w:rFonts w:hint="eastAsia" w:ascii="Times New Roman" w:hAnsi="Times New Roman" w:cs="Times New Roman"/>
                <w:bCs/>
                <w:color w:val="FF0000"/>
                <w:sz w:val="24"/>
                <w:szCs w:val="24"/>
                <w:lang w:val="en-US" w:eastAsia="zh-CN"/>
              </w:rPr>
            </w:pPr>
            <w:r>
              <w:rPr>
                <w:rFonts w:hint="default" w:ascii="Times New Roman" w:hAnsi="Times New Roman" w:eastAsia="宋体" w:cs="Times New Roman"/>
                <w:sz w:val="24"/>
                <w:szCs w:val="24"/>
                <w:lang w:val="en-US" w:eastAsia="zh-CN"/>
              </w:rPr>
              <w:t>本项目废水主要为</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lang w:val="en-US" w:eastAsia="zh-CN"/>
              </w:rPr>
              <w:t>清洗废水、</w:t>
            </w:r>
            <w:r>
              <w:rPr>
                <w:rFonts w:hint="eastAsia" w:ascii="Times New Roman" w:hAnsi="Times New Roman" w:eastAsia="宋体" w:cs="Times New Roman"/>
                <w:sz w:val="24"/>
                <w:szCs w:val="24"/>
                <w:lang w:val="en-US" w:eastAsia="zh-CN"/>
              </w:rPr>
              <w:t>进出车辆冲洗废水、</w:t>
            </w:r>
            <w:r>
              <w:rPr>
                <w:rFonts w:hint="default" w:ascii="Times New Roman" w:hAnsi="Times New Roman" w:eastAsia="宋体" w:cs="Times New Roman"/>
                <w:sz w:val="24"/>
                <w:szCs w:val="24"/>
                <w:lang w:val="en-US" w:eastAsia="zh-CN"/>
              </w:rPr>
              <w:t>场地清洗废水、喷雾降尘废水、生活废水和初期雨水</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。本项目采取雨污分流，</w:t>
            </w:r>
            <w:r>
              <w:rPr>
                <w:rFonts w:hint="eastAsia" w:ascii="Times New Roman" w:hAnsi="Times New Roman" w:eastAsia="宋体" w:cs="Times New Roman"/>
                <w:bCs/>
                <w:color w:val="0000FF"/>
                <w:sz w:val="24"/>
                <w:szCs w:val="24"/>
                <w:lang w:val="en-US" w:eastAsia="zh-CN"/>
              </w:rPr>
              <w:t>初期雨水经过隔油沉淀池沉淀后用于厂区洒水抑尘；进出车辆冲洗废水经隔油</w:t>
            </w:r>
            <w:r>
              <w:rPr>
                <w:rFonts w:hint="default" w:ascii="Times New Roman" w:hAnsi="Times New Roman" w:eastAsia="宋体" w:cs="Times New Roman"/>
                <w:bCs/>
                <w:color w:val="0000FF"/>
                <w:sz w:val="24"/>
                <w:szCs w:val="24"/>
                <w:lang w:val="en-US" w:eastAsia="zh-CN"/>
              </w:rPr>
              <w:t>沉淀池</w:t>
            </w:r>
            <w:r>
              <w:rPr>
                <w:rFonts w:hint="eastAsia" w:ascii="Times New Roman" w:hAnsi="Times New Roman" w:eastAsia="宋体" w:cs="Times New Roman"/>
                <w:bCs/>
                <w:color w:val="0000FF"/>
                <w:sz w:val="24"/>
                <w:szCs w:val="24"/>
                <w:lang w:val="en-US" w:eastAsia="zh-CN"/>
              </w:rPr>
              <w:t>沉淀后用于车辆冲洗</w:t>
            </w:r>
            <w:r>
              <w:rPr>
                <w:rFonts w:hint="default" w:ascii="Times New Roman" w:hAnsi="Times New Roman" w:eastAsia="宋体" w:cs="Times New Roman"/>
                <w:bCs/>
                <w:color w:val="0000FF"/>
                <w:sz w:val="24"/>
                <w:szCs w:val="24"/>
                <w:lang w:val="en-US" w:eastAsia="zh-CN"/>
              </w:rPr>
              <w:t>，不外排</w:t>
            </w:r>
            <w:r>
              <w:rPr>
                <w:rFonts w:hint="eastAsia" w:ascii="Times New Roman" w:hAnsi="Times New Roman" w:eastAsia="宋体" w:cs="Times New Roman"/>
                <w:bCs/>
                <w:color w:val="0000FF"/>
                <w:sz w:val="24"/>
                <w:szCs w:val="24"/>
                <w:lang w:val="en-US" w:eastAsia="zh-CN"/>
              </w:rPr>
              <w:t>；</w:t>
            </w:r>
            <w:r>
              <w:rPr>
                <w:rFonts w:hint="default" w:ascii="Times New Roman" w:hAnsi="Times New Roman" w:eastAsia="宋体" w:cs="Times New Roman"/>
                <w:sz w:val="24"/>
                <w:szCs w:val="24"/>
                <w:highlight w:val="none"/>
              </w:rPr>
              <w:t>搅拌</w:t>
            </w:r>
            <w:r>
              <w:rPr>
                <w:rFonts w:hint="eastAsia" w:ascii="Times New Roman" w:hAnsi="Times New Roman" w:eastAsia="宋体" w:cs="Times New Roman"/>
                <w:sz w:val="24"/>
                <w:szCs w:val="24"/>
                <w:highlight w:val="none"/>
                <w:lang w:val="en-US" w:eastAsia="zh-CN"/>
              </w:rPr>
              <w:t>站</w:t>
            </w:r>
            <w:r>
              <w:rPr>
                <w:rFonts w:hint="default" w:ascii="Times New Roman" w:hAnsi="Times New Roman" w:eastAsia="宋体" w:cs="Times New Roman"/>
                <w:sz w:val="24"/>
                <w:szCs w:val="24"/>
                <w:highlight w:val="none"/>
              </w:rPr>
              <w:t>清洗废水、</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highlight w:val="none"/>
              </w:rPr>
              <w:t>清洗废水经三级沉淀池沉淀处理后回用于生产；</w:t>
            </w:r>
            <w:r>
              <w:rPr>
                <w:rFonts w:hint="default" w:ascii="Times New Roman" w:hAnsi="Times New Roman" w:eastAsia="宋体" w:cs="Times New Roman"/>
                <w:sz w:val="24"/>
                <w:szCs w:val="24"/>
                <w:lang w:val="en-US" w:eastAsia="zh-CN"/>
              </w:rPr>
              <w:t>场地清洗废水收集后经隔油沉淀池处理后循环回用于场地清洗，不外排；喷雾降尘用水全部蒸发损耗，无废水产生或外排；食堂废水经隔油池处理后和其它生活污水</w:t>
            </w:r>
            <w:r>
              <w:rPr>
                <w:rFonts w:hint="eastAsia" w:ascii="Times New Roman" w:hAnsi="Times New Roman" w:eastAsia="宋体" w:cs="Times New Roman"/>
                <w:bCs/>
                <w:color w:val="0000FF"/>
                <w:sz w:val="24"/>
                <w:szCs w:val="24"/>
                <w:lang w:val="en-US" w:eastAsia="zh-CN"/>
              </w:rPr>
              <w:t>经生化池收集处理后接入辰</w:t>
            </w:r>
            <w:r>
              <w:rPr>
                <w:rFonts w:hint="eastAsia" w:ascii="Times New Roman" w:hAnsi="Times New Roman" w:eastAsia="宋体" w:cs="Times New Roman"/>
                <w:color w:val="0000FF"/>
                <w:sz w:val="24"/>
                <w:szCs w:val="24"/>
                <w:lang w:val="en-US" w:eastAsia="zh-CN"/>
              </w:rPr>
              <w:t>溪县污水处理厂</w:t>
            </w:r>
            <w:r>
              <w:rPr>
                <w:rFonts w:hint="eastAsia" w:ascii="Times New Roman" w:hAnsi="Times New Roman" w:cs="Times New Roman"/>
                <w:bCs/>
                <w:color w:val="FF0000"/>
                <w:sz w:val="24"/>
                <w:szCs w:val="24"/>
                <w:lang w:val="en-US" w:eastAsia="zh-CN"/>
              </w:rPr>
              <w:t>。</w:t>
            </w:r>
          </w:p>
          <w:p>
            <w:pPr>
              <w:spacing w:line="360" w:lineRule="auto"/>
              <w:ind w:firstLine="480" w:firstLineChars="200"/>
              <w:rPr>
                <w:rFonts w:hint="default" w:ascii="Times New Roman" w:hAnsi="Times New Roman" w:eastAsia="宋体" w:cs="Times New Roman"/>
                <w:bCs/>
                <w:color w:val="0000FF"/>
                <w:sz w:val="24"/>
                <w:szCs w:val="24"/>
                <w:lang w:val="en-US" w:eastAsia="zh-CN"/>
              </w:rPr>
            </w:pPr>
            <w:r>
              <w:rPr>
                <w:rFonts w:hint="eastAsia" w:ascii="Times New Roman" w:hAnsi="Times New Roman" w:eastAsia="宋体" w:cs="Times New Roman"/>
                <w:bCs/>
                <w:color w:val="0000FF"/>
                <w:sz w:val="24"/>
                <w:szCs w:val="24"/>
                <w:lang w:val="en-US" w:eastAsia="zh-CN"/>
              </w:rPr>
              <w:t>项目生活污水预处理后满足辰溪县污水处理厂进水水质要求，经污水处理厂深度处理，COD和氨氮满足《湖南省城镇污水处理厂主要水污染物排放标准》（</w:t>
            </w:r>
            <w:r>
              <w:rPr>
                <w:rFonts w:hint="default" w:ascii="Times New Roman" w:hAnsi="Times New Roman" w:eastAsia="宋体" w:cs="Times New Roman"/>
                <w:bCs/>
                <w:color w:val="0000FF"/>
                <w:sz w:val="24"/>
                <w:szCs w:val="24"/>
                <w:lang w:val="en-US" w:eastAsia="zh-CN"/>
              </w:rPr>
              <w:t>DB43/T 1546-2018</w:t>
            </w:r>
            <w:r>
              <w:rPr>
                <w:rFonts w:hint="eastAsia" w:ascii="Times New Roman" w:hAnsi="Times New Roman" w:eastAsia="宋体" w:cs="Times New Roman"/>
                <w:bCs/>
                <w:color w:val="0000FF"/>
                <w:sz w:val="24"/>
                <w:szCs w:val="24"/>
                <w:lang w:val="en-US" w:eastAsia="zh-CN"/>
              </w:rPr>
              <w:t xml:space="preserve">）中表 </w:t>
            </w:r>
            <w:r>
              <w:rPr>
                <w:rFonts w:hint="default" w:ascii="Times New Roman" w:hAnsi="Times New Roman" w:eastAsia="宋体" w:cs="Times New Roman"/>
                <w:bCs/>
                <w:color w:val="0000FF"/>
                <w:sz w:val="24"/>
                <w:szCs w:val="24"/>
                <w:lang w:val="en-US" w:eastAsia="zh-CN"/>
              </w:rPr>
              <w:t xml:space="preserve">1 </w:t>
            </w:r>
            <w:r>
              <w:rPr>
                <w:rFonts w:hint="eastAsia" w:ascii="Times New Roman" w:hAnsi="Times New Roman" w:eastAsia="宋体" w:cs="Times New Roman"/>
                <w:bCs/>
                <w:color w:val="0000FF"/>
                <w:sz w:val="24"/>
                <w:szCs w:val="24"/>
                <w:lang w:val="en-US" w:eastAsia="zh-CN"/>
              </w:rPr>
              <w:t>之二级标准，其余因子满足《城镇污水处理厂污染物排放标准》</w:t>
            </w:r>
            <w:r>
              <w:rPr>
                <w:rFonts w:hint="default" w:ascii="Times New Roman" w:hAnsi="Times New Roman" w:eastAsia="宋体" w:cs="Times New Roman"/>
                <w:bCs/>
                <w:color w:val="0000FF"/>
                <w:sz w:val="24"/>
                <w:szCs w:val="24"/>
                <w:lang w:val="en-US" w:eastAsia="zh-CN"/>
              </w:rPr>
              <w:t>(GB18918-2002)</w:t>
            </w:r>
            <w:r>
              <w:rPr>
                <w:rFonts w:hint="eastAsia" w:ascii="Times New Roman" w:hAnsi="Times New Roman" w:eastAsia="宋体" w:cs="Times New Roman"/>
                <w:bCs/>
                <w:color w:val="0000FF"/>
                <w:sz w:val="24"/>
                <w:szCs w:val="24"/>
                <w:lang w:val="en-US" w:eastAsia="zh-CN"/>
              </w:rPr>
              <w:t xml:space="preserve">表 </w:t>
            </w:r>
            <w:r>
              <w:rPr>
                <w:rFonts w:hint="default" w:ascii="Times New Roman" w:hAnsi="Times New Roman" w:eastAsia="宋体" w:cs="Times New Roman"/>
                <w:bCs/>
                <w:color w:val="0000FF"/>
                <w:sz w:val="24"/>
                <w:szCs w:val="24"/>
                <w:lang w:val="en-US" w:eastAsia="zh-CN"/>
              </w:rPr>
              <w:t xml:space="preserve">1 </w:t>
            </w:r>
            <w:r>
              <w:rPr>
                <w:rFonts w:hint="eastAsia" w:ascii="Times New Roman" w:hAnsi="Times New Roman" w:eastAsia="宋体" w:cs="Times New Roman"/>
                <w:bCs/>
                <w:color w:val="0000FF"/>
                <w:sz w:val="24"/>
                <w:szCs w:val="24"/>
                <w:lang w:val="en-US" w:eastAsia="zh-CN"/>
              </w:rPr>
              <w:t xml:space="preserve">中一级 </w:t>
            </w:r>
            <w:r>
              <w:rPr>
                <w:rFonts w:hint="default" w:ascii="Times New Roman" w:hAnsi="Times New Roman" w:eastAsia="宋体" w:cs="Times New Roman"/>
                <w:bCs/>
                <w:color w:val="0000FF"/>
                <w:sz w:val="24"/>
                <w:szCs w:val="24"/>
                <w:lang w:val="en-US" w:eastAsia="zh-CN"/>
              </w:rPr>
              <w:t xml:space="preserve">A </w:t>
            </w:r>
            <w:r>
              <w:rPr>
                <w:rFonts w:hint="eastAsia" w:ascii="Times New Roman" w:hAnsi="Times New Roman" w:eastAsia="宋体" w:cs="Times New Roman"/>
                <w:bCs/>
                <w:color w:val="0000FF"/>
                <w:sz w:val="24"/>
                <w:szCs w:val="24"/>
                <w:lang w:val="en-US" w:eastAsia="zh-CN"/>
              </w:rPr>
              <w:t>标准后排入沅水。</w:t>
            </w:r>
          </w:p>
          <w:p>
            <w:pPr>
              <w:adjustRightInd w:val="0"/>
              <w:snapToGrid w:val="0"/>
              <w:spacing w:line="240" w:lineRule="auto"/>
              <w:ind w:firstLine="422"/>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lang w:val="en-US" w:eastAsia="zh-CN"/>
              </w:rPr>
              <w:t>表3-</w:t>
            </w:r>
            <w:r>
              <w:rPr>
                <w:rFonts w:hint="eastAsia" w:ascii="Times New Roman" w:hAnsi="Times New Roman" w:eastAsia="宋体" w:cs="Times New Roman"/>
                <w:b/>
                <w:bCs/>
                <w:color w:val="0000FF"/>
                <w:sz w:val="21"/>
                <w:szCs w:val="21"/>
                <w:lang w:val="en-US" w:eastAsia="zh-CN"/>
              </w:rPr>
              <w:t>10</w:t>
            </w:r>
            <w:r>
              <w:rPr>
                <w:rFonts w:hint="default" w:ascii="Times New Roman" w:hAnsi="Times New Roman" w:eastAsia="宋体" w:cs="Times New Roman"/>
                <w:b/>
                <w:bCs/>
                <w:color w:val="0000FF"/>
                <w:sz w:val="21"/>
                <w:szCs w:val="21"/>
                <w:lang w:val="en-US" w:eastAsia="zh-CN"/>
              </w:rPr>
              <w:t xml:space="preserve"> </w:t>
            </w:r>
            <w:r>
              <w:rPr>
                <w:rFonts w:hint="default" w:ascii="Times New Roman" w:hAnsi="Times New Roman" w:eastAsia="宋体" w:cs="Times New Roman"/>
                <w:b/>
                <w:bCs/>
                <w:color w:val="0000FF"/>
                <w:sz w:val="21"/>
                <w:szCs w:val="21"/>
              </w:rPr>
              <w:t>生活污水中污染物</w:t>
            </w:r>
            <w:r>
              <w:rPr>
                <w:rFonts w:hint="default" w:ascii="Times New Roman" w:hAnsi="Times New Roman" w:eastAsia="宋体" w:cs="Times New Roman"/>
                <w:b/>
                <w:bCs/>
                <w:color w:val="0000FF"/>
                <w:sz w:val="21"/>
                <w:szCs w:val="21"/>
                <w:lang w:val="en-US" w:eastAsia="zh-CN"/>
              </w:rPr>
              <w:t>排放标准</w:t>
            </w:r>
            <w:r>
              <w:rPr>
                <w:rFonts w:hint="default" w:ascii="Times New Roman" w:hAnsi="Times New Roman" w:eastAsia="宋体" w:cs="Times New Roman"/>
                <w:b/>
                <w:bCs/>
                <w:color w:val="0000FF"/>
                <w:sz w:val="21"/>
                <w:szCs w:val="21"/>
              </w:rPr>
              <w:t xml:space="preserve">   单位：mg/L</w:t>
            </w:r>
          </w:p>
          <w:tbl>
            <w:tblPr>
              <w:tblStyle w:val="15"/>
              <w:tblW w:w="498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58"/>
              <w:gridCol w:w="636"/>
              <w:gridCol w:w="735"/>
              <w:gridCol w:w="796"/>
              <w:gridCol w:w="707"/>
              <w:gridCol w:w="903"/>
              <w:gridCol w:w="734"/>
              <w:gridCol w:w="29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71"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污染物</w:t>
                  </w:r>
                </w:p>
              </w:tc>
              <w:tc>
                <w:tcPr>
                  <w:tcW w:w="379" w:type="pct"/>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default" w:ascii="Times New Roman" w:hAnsi="Times New Roman" w:eastAsia="宋体" w:cs="Times New Roman"/>
                      <w:color w:val="0000FF"/>
                      <w:sz w:val="21"/>
                      <w:szCs w:val="21"/>
                    </w:rPr>
                    <w:t>pH</w:t>
                  </w:r>
                </w:p>
              </w:tc>
              <w:tc>
                <w:tcPr>
                  <w:tcW w:w="438" w:type="pct"/>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default" w:ascii="Times New Roman" w:hAnsi="Times New Roman" w:eastAsia="宋体" w:cs="Times New Roman"/>
                      <w:color w:val="0000FF"/>
                      <w:sz w:val="21"/>
                      <w:szCs w:val="21"/>
                    </w:rPr>
                    <w:t>COD</w:t>
                  </w:r>
                </w:p>
              </w:tc>
              <w:tc>
                <w:tcPr>
                  <w:tcW w:w="474" w:type="pct"/>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rPr>
                  </w:pPr>
                  <w:r>
                    <w:rPr>
                      <w:rFonts w:hint="default" w:ascii="Times New Roman" w:hAnsi="Times New Roman" w:eastAsia="宋体" w:cs="Times New Roman"/>
                      <w:color w:val="0000FF"/>
                      <w:sz w:val="21"/>
                      <w:szCs w:val="21"/>
                    </w:rPr>
                    <w:t>BOD</w:t>
                  </w:r>
                  <w:r>
                    <w:rPr>
                      <w:rFonts w:hint="default" w:ascii="Times New Roman" w:hAnsi="Times New Roman" w:eastAsia="宋体" w:cs="Times New Roman"/>
                      <w:color w:val="0000FF"/>
                      <w:sz w:val="21"/>
                      <w:szCs w:val="21"/>
                      <w:vertAlign w:val="subscript"/>
                    </w:rPr>
                    <w:t>5</w:t>
                  </w:r>
                </w:p>
              </w:tc>
              <w:tc>
                <w:tcPr>
                  <w:tcW w:w="421" w:type="pct"/>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SS</w:t>
                  </w:r>
                </w:p>
              </w:tc>
              <w:tc>
                <w:tcPr>
                  <w:tcW w:w="53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NH</w:t>
                  </w:r>
                  <w:r>
                    <w:rPr>
                      <w:rFonts w:hint="default" w:ascii="Times New Roman" w:hAnsi="Times New Roman" w:eastAsia="宋体" w:cs="Times New Roman"/>
                      <w:color w:val="0000FF"/>
                      <w:sz w:val="21"/>
                      <w:szCs w:val="21"/>
                      <w:vertAlign w:val="subscript"/>
                    </w:rPr>
                    <w:t>3</w:t>
                  </w:r>
                  <w:r>
                    <w:rPr>
                      <w:rFonts w:hint="default" w:ascii="Times New Roman" w:hAnsi="Times New Roman" w:eastAsia="宋体" w:cs="Times New Roman"/>
                      <w:color w:val="0000FF"/>
                      <w:sz w:val="21"/>
                      <w:szCs w:val="21"/>
                    </w:rPr>
                    <w:t>-N</w:t>
                  </w:r>
                </w:p>
              </w:tc>
              <w:tc>
                <w:tcPr>
                  <w:tcW w:w="437"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动植物油</w:t>
                  </w:r>
                </w:p>
              </w:tc>
              <w:tc>
                <w:tcPr>
                  <w:tcW w:w="173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71" w:type="pct"/>
                  <w:vMerge w:val="restart"/>
                  <w:tcBorders>
                    <w:top w:val="single" w:color="auto" w:sz="2" w:space="0"/>
                    <w:left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lang w:val="en-US" w:eastAsia="zh-CN"/>
                    </w:rPr>
                    <w:t>浓度</w:t>
                  </w:r>
                </w:p>
              </w:tc>
              <w:tc>
                <w:tcPr>
                  <w:tcW w:w="379" w:type="pct"/>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eastAsia" w:ascii="Times New Roman" w:hAnsi="Times New Roman" w:eastAsia="宋体" w:cs="Times New Roman"/>
                      <w:snapToGrid w:val="0"/>
                      <w:color w:val="0000FF"/>
                      <w:kern w:val="0"/>
                      <w:sz w:val="21"/>
                      <w:szCs w:val="21"/>
                      <w:lang w:val="en-US" w:eastAsia="zh-CN"/>
                    </w:rPr>
                    <w:t>6-9</w:t>
                  </w:r>
                </w:p>
              </w:tc>
              <w:tc>
                <w:tcPr>
                  <w:tcW w:w="438" w:type="pct"/>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default" w:ascii="Times New Roman" w:hAnsi="Times New Roman" w:eastAsia="宋体" w:cs="Times New Roman"/>
                      <w:snapToGrid w:val="0"/>
                      <w:color w:val="0000FF"/>
                      <w:kern w:val="0"/>
                      <w:sz w:val="21"/>
                      <w:szCs w:val="21"/>
                      <w:lang w:val="en-US" w:eastAsia="zh-CN"/>
                    </w:rPr>
                    <w:t>300</w:t>
                  </w:r>
                </w:p>
              </w:tc>
              <w:tc>
                <w:tcPr>
                  <w:tcW w:w="474" w:type="pct"/>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default" w:ascii="Times New Roman" w:hAnsi="Times New Roman" w:eastAsia="宋体" w:cs="Times New Roman"/>
                      <w:snapToGrid w:val="0"/>
                      <w:color w:val="0000FF"/>
                      <w:kern w:val="0"/>
                      <w:sz w:val="21"/>
                      <w:szCs w:val="21"/>
                      <w:lang w:val="en-US" w:eastAsia="zh-CN"/>
                    </w:rPr>
                    <w:t>150</w:t>
                  </w:r>
                </w:p>
              </w:tc>
              <w:tc>
                <w:tcPr>
                  <w:tcW w:w="421" w:type="pct"/>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default" w:ascii="Times New Roman" w:hAnsi="Times New Roman" w:eastAsia="宋体" w:cs="Times New Roman"/>
                      <w:snapToGrid w:val="0"/>
                      <w:color w:val="0000FF"/>
                      <w:kern w:val="0"/>
                      <w:sz w:val="21"/>
                      <w:szCs w:val="21"/>
                      <w:lang w:val="en-US" w:eastAsia="zh-CN"/>
                    </w:rPr>
                    <w:t>120</w:t>
                  </w:r>
                </w:p>
              </w:tc>
              <w:tc>
                <w:tcPr>
                  <w:tcW w:w="53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30</w:t>
                  </w:r>
                </w:p>
              </w:tc>
              <w:tc>
                <w:tcPr>
                  <w:tcW w:w="437"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bCs/>
                      <w:color w:val="0000FF"/>
                      <w:sz w:val="21"/>
                      <w:szCs w:val="21"/>
                      <w:lang w:val="en-US" w:eastAsia="zh-CN"/>
                    </w:rPr>
                  </w:pPr>
                  <w:r>
                    <w:rPr>
                      <w:rFonts w:hint="eastAsia" w:ascii="Times New Roman" w:hAnsi="Times New Roman" w:eastAsia="宋体" w:cs="Times New Roman"/>
                      <w:bCs/>
                      <w:color w:val="0000FF"/>
                      <w:sz w:val="21"/>
                      <w:szCs w:val="21"/>
                      <w:lang w:val="en-US" w:eastAsia="zh-CN"/>
                    </w:rPr>
                    <w:t>20</w:t>
                  </w:r>
                </w:p>
              </w:tc>
              <w:tc>
                <w:tcPr>
                  <w:tcW w:w="173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lang w:val="en-US"/>
                    </w:rPr>
                  </w:pPr>
                  <w:r>
                    <w:rPr>
                      <w:rFonts w:hint="default" w:ascii="Times New Roman" w:hAnsi="Times New Roman" w:eastAsia="宋体" w:cs="Times New Roman"/>
                      <w:bCs/>
                      <w:color w:val="0000FF"/>
                      <w:sz w:val="21"/>
                      <w:szCs w:val="21"/>
                      <w:lang w:val="en-US" w:eastAsia="zh-CN"/>
                    </w:rPr>
                    <w:t>辰溪县污水处理厂进水水质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71" w:type="pct"/>
                  <w:vMerge w:val="continue"/>
                  <w:tcBorders>
                    <w:left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p>
              </w:tc>
              <w:tc>
                <w:tcPr>
                  <w:tcW w:w="379" w:type="pct"/>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eastAsia" w:ascii="Times New Roman" w:hAnsi="Times New Roman" w:eastAsia="宋体" w:cs="Times New Roman"/>
                      <w:snapToGrid w:val="0"/>
                      <w:color w:val="0000FF"/>
                      <w:kern w:val="0"/>
                      <w:sz w:val="21"/>
                      <w:szCs w:val="21"/>
                      <w:lang w:val="en-US" w:eastAsia="zh-CN"/>
                    </w:rPr>
                    <w:t>6-9</w:t>
                  </w:r>
                </w:p>
              </w:tc>
              <w:tc>
                <w:tcPr>
                  <w:tcW w:w="438" w:type="pct"/>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eastAsia" w:ascii="Times New Roman" w:hAnsi="Times New Roman" w:eastAsia="宋体" w:cs="Times New Roman"/>
                      <w:snapToGrid w:val="0"/>
                      <w:color w:val="0000FF"/>
                      <w:kern w:val="0"/>
                      <w:sz w:val="21"/>
                      <w:szCs w:val="21"/>
                      <w:lang w:val="en-US" w:eastAsia="zh-CN"/>
                    </w:rPr>
                    <w:t>40</w:t>
                  </w:r>
                </w:p>
              </w:tc>
              <w:tc>
                <w:tcPr>
                  <w:tcW w:w="474" w:type="pct"/>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color w:val="0000FF"/>
                      <w:kern w:val="0"/>
                      <w:sz w:val="21"/>
                      <w:szCs w:val="21"/>
                      <w:lang w:val="en-US" w:eastAsia="zh-CN"/>
                    </w:rPr>
                  </w:pPr>
                  <w:r>
                    <w:rPr>
                      <w:rFonts w:hint="eastAsia" w:ascii="Times New Roman" w:hAnsi="Times New Roman" w:eastAsia="宋体" w:cs="Times New Roman"/>
                      <w:snapToGrid w:val="0"/>
                      <w:color w:val="0000FF"/>
                      <w:kern w:val="0"/>
                      <w:sz w:val="21"/>
                      <w:szCs w:val="21"/>
                      <w:lang w:val="en-US" w:eastAsia="zh-CN"/>
                    </w:rPr>
                    <w:t>10</w:t>
                  </w:r>
                </w:p>
              </w:tc>
              <w:tc>
                <w:tcPr>
                  <w:tcW w:w="421" w:type="pct"/>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10</w:t>
                  </w:r>
                </w:p>
              </w:tc>
              <w:tc>
                <w:tcPr>
                  <w:tcW w:w="53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lang w:eastAsia="zh-CN"/>
                    </w:rPr>
                  </w:pPr>
                  <w:r>
                    <w:rPr>
                      <w:rFonts w:hint="eastAsia" w:ascii="Times New Roman" w:hAnsi="Times New Roman" w:eastAsia="宋体" w:cs="Times New Roman"/>
                      <w:color w:val="0000FF"/>
                      <w:sz w:val="21"/>
                      <w:szCs w:val="21"/>
                      <w:lang w:val="en-US" w:eastAsia="zh-CN"/>
                    </w:rPr>
                    <w:t>3</w:t>
                  </w:r>
                  <w:r>
                    <w:rPr>
                      <w:rFonts w:hint="default" w:ascii="Times New Roman" w:hAnsi="Times New Roman" w:eastAsia="宋体" w:cs="Times New Roman"/>
                      <w:color w:val="0000FF"/>
                      <w:sz w:val="21"/>
                      <w:szCs w:val="21"/>
                      <w:lang w:eastAsia="zh-CN"/>
                    </w:rPr>
                    <w:t>(</w:t>
                  </w:r>
                  <w:r>
                    <w:rPr>
                      <w:rFonts w:hint="eastAsia" w:ascii="Times New Roman" w:hAnsi="Times New Roman" w:eastAsia="宋体" w:cs="Times New Roman"/>
                      <w:color w:val="0000FF"/>
                      <w:sz w:val="21"/>
                      <w:szCs w:val="21"/>
                      <w:lang w:val="en-US" w:eastAsia="zh-CN"/>
                    </w:rPr>
                    <w:t>5</w:t>
                  </w:r>
                  <w:r>
                    <w:rPr>
                      <w:rFonts w:hint="default" w:ascii="Times New Roman" w:hAnsi="Times New Roman" w:eastAsia="宋体" w:cs="Times New Roman"/>
                      <w:color w:val="0000FF"/>
                      <w:sz w:val="21"/>
                      <w:szCs w:val="21"/>
                      <w:lang w:eastAsia="zh-CN"/>
                    </w:rPr>
                    <w:t>)</w:t>
                  </w:r>
                </w:p>
              </w:tc>
              <w:tc>
                <w:tcPr>
                  <w:tcW w:w="437"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1</w:t>
                  </w:r>
                </w:p>
              </w:tc>
              <w:tc>
                <w:tcPr>
                  <w:tcW w:w="173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bCs/>
                      <w:color w:val="0000FF"/>
                      <w:sz w:val="21"/>
                      <w:szCs w:val="21"/>
                      <w:lang w:val="en-US" w:eastAsia="zh-CN"/>
                    </w:rPr>
                    <w:t>辰溪县污水处理厂</w:t>
                  </w:r>
                  <w:r>
                    <w:rPr>
                      <w:rFonts w:hint="eastAsia" w:ascii="Times New Roman" w:hAnsi="Times New Roman" w:eastAsia="宋体" w:cs="Times New Roman"/>
                      <w:bCs/>
                      <w:color w:val="0000FF"/>
                      <w:sz w:val="21"/>
                      <w:szCs w:val="21"/>
                      <w:lang w:val="en-US" w:eastAsia="zh-CN"/>
                    </w:rPr>
                    <w:t>出</w:t>
                  </w:r>
                  <w:r>
                    <w:rPr>
                      <w:rFonts w:hint="default" w:ascii="Times New Roman" w:hAnsi="Times New Roman" w:eastAsia="宋体" w:cs="Times New Roman"/>
                      <w:bCs/>
                      <w:color w:val="0000FF"/>
                      <w:sz w:val="21"/>
                      <w:szCs w:val="21"/>
                      <w:lang w:val="en-US" w:eastAsia="zh-CN"/>
                    </w:rPr>
                    <w:t>水水质</w:t>
                  </w:r>
                </w:p>
              </w:tc>
            </w:tr>
          </w:tbl>
          <w:p>
            <w:pPr>
              <w:pStyle w:val="2"/>
              <w:rPr>
                <w:rFonts w:hint="default" w:eastAsia="黑体"/>
                <w:lang w:val="en-US" w:eastAsia="zh-CN"/>
              </w:rPr>
            </w:pPr>
          </w:p>
          <w:p>
            <w:pPr>
              <w:pStyle w:val="5"/>
              <w:spacing w:line="360" w:lineRule="auto"/>
              <w:outlineLvl w:val="2"/>
              <w:rPr>
                <w:rFonts w:hint="default" w:ascii="Times New Roman" w:hAnsi="Times New Roman" w:eastAsia="宋体" w:cs="Times New Roman"/>
                <w:sz w:val="24"/>
                <w:szCs w:val="24"/>
              </w:rPr>
            </w:pPr>
            <w:bookmarkStart w:id="48" w:name="_Toc4057"/>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3.3</w:t>
            </w:r>
            <w:r>
              <w:rPr>
                <w:rFonts w:hint="default" w:ascii="Times New Roman" w:hAnsi="Times New Roman" w:eastAsia="宋体" w:cs="Times New Roman"/>
                <w:sz w:val="24"/>
                <w:szCs w:val="24"/>
              </w:rPr>
              <w:t>噪声</w:t>
            </w:r>
            <w:bookmarkEnd w:id="48"/>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施工期执行《建设施工场界环境噪声排放标准》（GB12523-2011）；项目营运期厂界噪声执行《工业企业厂界环境噪声排放标准》（GB12348-2008）中的2类标准。具体值见下表。</w:t>
            </w:r>
          </w:p>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表3-</w:t>
            </w:r>
            <w:r>
              <w:rPr>
                <w:rFonts w:hint="eastAsia" w:ascii="Times New Roman" w:hAnsi="Times New Roman" w:eastAsia="宋体" w:cs="Times New Roman"/>
                <w:b/>
                <w:sz w:val="21"/>
                <w:szCs w:val="21"/>
                <w:lang w:val="en-US" w:eastAsia="zh-CN"/>
              </w:rPr>
              <w:t>11</w:t>
            </w:r>
            <w:r>
              <w:rPr>
                <w:rFonts w:hint="default" w:ascii="Times New Roman" w:hAnsi="Times New Roman" w:eastAsia="宋体" w:cs="Times New Roman"/>
                <w:b/>
                <w:sz w:val="21"/>
                <w:szCs w:val="21"/>
              </w:rPr>
              <w:t xml:space="preserve"> 建设施工场界环境噪声排放标准</w:t>
            </w:r>
          </w:p>
          <w:tbl>
            <w:tblPr>
              <w:tblStyle w:val="15"/>
              <w:tblW w:w="8402"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3"/>
              <w:gridCol w:w="146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03" w:type="dxa"/>
                  <w:vMerge w:val="restart"/>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w:t>
                  </w:r>
                </w:p>
              </w:tc>
              <w:tc>
                <w:tcPr>
                  <w:tcW w:w="3099" w:type="dxa"/>
                  <w:gridSpan w:val="2"/>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标准限值（dB</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cr/>
                  </w:r>
                  <w:r>
                    <w:rPr>
                      <w:rFonts w:hint="default" w:ascii="Times New Roman" w:hAnsi="Times New Roman" w:eastAsia="宋体" w:cs="Times New Roman"/>
                      <w:b/>
                      <w:sz w:val="21"/>
                      <w:szCs w:val="21"/>
                    </w:rPr>
                    <w:t>A</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03" w:type="dxa"/>
                  <w:vMerge w:val="continue"/>
                  <w:noWrap w:val="0"/>
                  <w:vAlign w:val="center"/>
                </w:tcPr>
                <w:p>
                  <w:pPr>
                    <w:jc w:val="center"/>
                    <w:rPr>
                      <w:rFonts w:hint="default" w:ascii="Times New Roman" w:hAnsi="Times New Roman" w:eastAsia="宋体" w:cs="Times New Roman"/>
                      <w:b/>
                      <w:sz w:val="21"/>
                      <w:szCs w:val="21"/>
                    </w:rPr>
                  </w:pPr>
                </w:p>
              </w:tc>
              <w:tc>
                <w:tcPr>
                  <w:tcW w:w="1464" w:type="dxa"/>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昼间</w:t>
                  </w:r>
                </w:p>
              </w:tc>
              <w:tc>
                <w:tcPr>
                  <w:tcW w:w="1635" w:type="dxa"/>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03" w:type="dxa"/>
                  <w:noWrap w:val="0"/>
                  <w:vAlign w:val="center"/>
                </w:tcPr>
                <w:p>
                  <w:pPr>
                    <w:pStyle w:val="3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《建设施工场界环境噪声排放标准》（GB12523-2011）</w:t>
                  </w:r>
                </w:p>
              </w:tc>
              <w:tc>
                <w:tcPr>
                  <w:tcW w:w="1464" w:type="dxa"/>
                  <w:noWrap w:val="0"/>
                  <w:vAlign w:val="center"/>
                </w:tcPr>
                <w:p>
                  <w:pPr>
                    <w:pStyle w:val="3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635" w:type="dxa"/>
                  <w:noWrap w:val="0"/>
                  <w:vAlign w:val="center"/>
                </w:tcPr>
                <w:p>
                  <w:pPr>
                    <w:pStyle w:val="3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w:t>
                  </w:r>
                </w:p>
              </w:tc>
            </w:tr>
          </w:tbl>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表3-</w:t>
            </w:r>
            <w:r>
              <w:rPr>
                <w:rFonts w:hint="eastAsia" w:ascii="Times New Roman" w:hAnsi="Times New Roman" w:eastAsia="宋体" w:cs="Times New Roman"/>
                <w:b/>
                <w:sz w:val="21"/>
                <w:szCs w:val="21"/>
                <w:lang w:val="en-US" w:eastAsia="zh-CN"/>
              </w:rPr>
              <w:t>12</w:t>
            </w:r>
            <w:r>
              <w:rPr>
                <w:rFonts w:hint="default" w:ascii="Times New Roman" w:hAnsi="Times New Roman" w:eastAsia="宋体" w:cs="Times New Roman"/>
                <w:b/>
                <w:sz w:val="21"/>
                <w:szCs w:val="21"/>
              </w:rPr>
              <w:t xml:space="preserve">  工业企业厂界环境噪声排放标准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187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8" w:type="pct"/>
                  <w:vMerge w:val="restart"/>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厂界外声环境功能区类别</w:t>
                  </w:r>
                </w:p>
              </w:tc>
              <w:tc>
                <w:tcPr>
                  <w:tcW w:w="2222" w:type="pct"/>
                  <w:gridSpan w:val="2"/>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8" w:type="pct"/>
                  <w:vMerge w:val="continue"/>
                  <w:noWrap w:val="0"/>
                  <w:vAlign w:val="center"/>
                </w:tcPr>
                <w:p>
                  <w:pPr>
                    <w:jc w:val="center"/>
                    <w:rPr>
                      <w:rFonts w:hint="default" w:ascii="Times New Roman" w:hAnsi="Times New Roman" w:eastAsia="宋体" w:cs="Times New Roman"/>
                      <w:b/>
                      <w:sz w:val="21"/>
                      <w:szCs w:val="21"/>
                    </w:rPr>
                  </w:pPr>
                </w:p>
              </w:tc>
              <w:tc>
                <w:tcPr>
                  <w:tcW w:w="1117" w:type="pct"/>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昼间dB(A)</w:t>
                  </w:r>
                </w:p>
              </w:tc>
              <w:tc>
                <w:tcPr>
                  <w:tcW w:w="1105" w:type="pct"/>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8"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2类</w:t>
                  </w:r>
                </w:p>
              </w:tc>
              <w:tc>
                <w:tcPr>
                  <w:tcW w:w="1117"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105"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bl>
          <w:p>
            <w:pPr>
              <w:pStyle w:val="5"/>
              <w:spacing w:line="360" w:lineRule="auto"/>
              <w:outlineLvl w:val="2"/>
              <w:rPr>
                <w:rFonts w:hint="default" w:ascii="Times New Roman" w:hAnsi="Times New Roman" w:eastAsia="宋体" w:cs="Times New Roman"/>
                <w:sz w:val="24"/>
                <w:szCs w:val="24"/>
              </w:rPr>
            </w:pPr>
            <w:bookmarkStart w:id="49" w:name="_Toc15979"/>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3.4</w:t>
            </w:r>
            <w:r>
              <w:rPr>
                <w:rFonts w:hint="default" w:ascii="Times New Roman" w:hAnsi="Times New Roman" w:eastAsia="宋体" w:cs="Times New Roman"/>
                <w:sz w:val="24"/>
                <w:szCs w:val="24"/>
              </w:rPr>
              <w:t>固体废物</w:t>
            </w:r>
            <w:bookmarkEnd w:id="49"/>
          </w:p>
          <w:p>
            <w:pPr>
              <w:pStyle w:val="24"/>
              <w:spacing w:line="36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kern w:val="0"/>
                <w:sz w:val="24"/>
                <w:szCs w:val="21"/>
              </w:rPr>
              <w:t>一般</w:t>
            </w:r>
            <w:r>
              <w:rPr>
                <w:rFonts w:hint="eastAsia" w:ascii="Times New Roman" w:hAnsi="Times New Roman" w:eastAsia="宋体" w:cs="Times New Roman"/>
                <w:snapToGrid w:val="0"/>
                <w:color w:val="000000"/>
                <w:kern w:val="0"/>
                <w:sz w:val="24"/>
                <w:szCs w:val="21"/>
                <w:lang w:val="en-US" w:eastAsia="zh-CN"/>
              </w:rPr>
              <w:t>工业固体废物参照</w:t>
            </w:r>
            <w:r>
              <w:rPr>
                <w:rFonts w:hint="default" w:ascii="Times New Roman" w:hAnsi="Times New Roman" w:eastAsia="宋体" w:cs="Times New Roman"/>
                <w:snapToGrid w:val="0"/>
                <w:color w:val="000000"/>
                <w:kern w:val="0"/>
                <w:sz w:val="24"/>
                <w:szCs w:val="21"/>
              </w:rPr>
              <w:t>《一般工业固体废物贮存和填埋污染控制标准》（GB18599-2020）执行；危险废物执行《危险废物贮存污染控制标准》（GB18597-2001）及2013年修改单；生活垃圾执行《生活垃圾填埋污染控制标准》（GB16889-2008）。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52" w:type="dxa"/>
            <w:noWrap w:val="0"/>
            <w:tcMar>
              <w:left w:w="28" w:type="dxa"/>
              <w:right w:w="28" w:type="dxa"/>
            </w:tcMar>
            <w:vAlign w:val="center"/>
          </w:tcPr>
          <w:p>
            <w:pPr>
              <w:pStyle w:val="24"/>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总量</w:t>
            </w:r>
          </w:p>
          <w:p>
            <w:pPr>
              <w:pStyle w:val="24"/>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控制</w:t>
            </w:r>
          </w:p>
          <w:p>
            <w:pPr>
              <w:pStyle w:val="24"/>
              <w:ind w:left="0" w:leftChars="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4"/>
                <w:szCs w:val="24"/>
                <w:lang w:val="en-US" w:eastAsia="zh-CN"/>
              </w:rPr>
              <w:t>指标</w:t>
            </w:r>
          </w:p>
        </w:tc>
        <w:tc>
          <w:tcPr>
            <w:tcW w:w="8608" w:type="dxa"/>
            <w:noWrap w:val="0"/>
            <w:vAlign w:val="center"/>
          </w:tcPr>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依据《湖南省</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十三五</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主要污染物减排规划》，湖南省对COD、NH</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rPr>
              <w:t>-N、SO</w:t>
            </w:r>
            <w:r>
              <w:rPr>
                <w:rFonts w:hint="default" w:ascii="Times New Roman" w:hAnsi="Times New Roman" w:eastAsia="宋体" w:cs="Times New Roman"/>
                <w:sz w:val="24"/>
                <w:szCs w:val="24"/>
                <w:highlight w:val="none"/>
                <w:vertAlign w:val="subscript"/>
              </w:rPr>
              <w:t>2</w:t>
            </w:r>
            <w:r>
              <w:rPr>
                <w:rFonts w:hint="default" w:ascii="Times New Roman" w:hAnsi="Times New Roman" w:eastAsia="宋体" w:cs="Times New Roman"/>
                <w:sz w:val="24"/>
                <w:szCs w:val="24"/>
                <w:highlight w:val="none"/>
              </w:rPr>
              <w:t>、NO</w:t>
            </w:r>
            <w:r>
              <w:rPr>
                <w:rFonts w:hint="default" w:ascii="Times New Roman" w:hAnsi="Times New Roman" w:eastAsia="宋体" w:cs="Times New Roman"/>
                <w:sz w:val="24"/>
                <w:szCs w:val="24"/>
                <w:highlight w:val="none"/>
                <w:vertAlign w:val="subscript"/>
              </w:rPr>
              <w:t>X</w:t>
            </w:r>
            <w:r>
              <w:rPr>
                <w:rFonts w:hint="default" w:ascii="Times New Roman" w:hAnsi="Times New Roman" w:eastAsia="宋体" w:cs="Times New Roman"/>
                <w:sz w:val="24"/>
                <w:szCs w:val="24"/>
                <w:highlight w:val="none"/>
              </w:rPr>
              <w:t>、VOCs五项污染物实施总量控制。</w:t>
            </w:r>
          </w:p>
          <w:p>
            <w:pPr>
              <w:pStyle w:val="33"/>
              <w:spacing w:line="360" w:lineRule="auto"/>
              <w:ind w:firstLine="480"/>
              <w:rPr>
                <w:rFonts w:hint="default" w:ascii="Times New Roman" w:hAnsi="Times New Roman" w:eastAsia="宋体" w:cs="Times New Roman"/>
                <w:bCs/>
                <w:color w:val="0000FF"/>
                <w:sz w:val="24"/>
                <w:szCs w:val="24"/>
                <w:highlight w:val="none"/>
                <w:lang w:val="en-US" w:eastAsia="zh-CN"/>
              </w:rPr>
            </w:pPr>
            <w:r>
              <w:rPr>
                <w:rFonts w:hint="default" w:ascii="Times New Roman" w:hAnsi="Times New Roman" w:eastAsia="宋体" w:cs="Times New Roman"/>
                <w:color w:val="0000FF"/>
                <w:kern w:val="0"/>
                <w:sz w:val="24"/>
                <w:szCs w:val="24"/>
                <w:highlight w:val="none"/>
                <w:u w:val="none"/>
                <w:lang w:val="en-US" w:eastAsia="zh-CN"/>
              </w:rPr>
              <w:t>本项目</w:t>
            </w:r>
            <w:r>
              <w:rPr>
                <w:rFonts w:hint="eastAsia" w:ascii="Times New Roman" w:hAnsi="Times New Roman" w:eastAsia="宋体" w:cs="Times New Roman"/>
                <w:color w:val="0000FF"/>
                <w:kern w:val="0"/>
                <w:sz w:val="24"/>
                <w:szCs w:val="24"/>
                <w:highlight w:val="none"/>
                <w:u w:val="none"/>
                <w:lang w:val="en-US" w:eastAsia="zh-CN"/>
              </w:rPr>
              <w:t>生活污水通过辰溪县污水处理厂间接排放，其他废水回用；</w:t>
            </w:r>
            <w:r>
              <w:rPr>
                <w:rFonts w:hint="default" w:ascii="Times New Roman" w:hAnsi="Times New Roman" w:eastAsia="宋体" w:cs="Times New Roman"/>
                <w:bCs/>
                <w:color w:val="0000FF"/>
                <w:sz w:val="24"/>
                <w:szCs w:val="24"/>
                <w:highlight w:val="none"/>
                <w:u w:val="none"/>
                <w:lang w:eastAsia="zh-CN"/>
              </w:rPr>
              <w:t>废气污染物主要是生产过程中产生的颗粒物。</w:t>
            </w:r>
            <w:r>
              <w:rPr>
                <w:rFonts w:hint="default" w:ascii="Times New Roman" w:hAnsi="Times New Roman" w:eastAsia="宋体" w:cs="Times New Roman"/>
                <w:bCs/>
                <w:color w:val="0000FF"/>
                <w:sz w:val="24"/>
                <w:szCs w:val="24"/>
                <w:highlight w:val="none"/>
                <w:lang w:val="en-US" w:eastAsia="zh-CN"/>
              </w:rPr>
              <w:t>本项目总量控制指标</w:t>
            </w:r>
            <w:r>
              <w:rPr>
                <w:rFonts w:hint="eastAsia" w:ascii="Times New Roman" w:hAnsi="Times New Roman" w:eastAsia="宋体" w:cs="Times New Roman"/>
                <w:bCs/>
                <w:color w:val="0000FF"/>
                <w:sz w:val="24"/>
                <w:szCs w:val="24"/>
                <w:highlight w:val="none"/>
                <w:lang w:val="en-US" w:eastAsia="zh-CN"/>
              </w:rPr>
              <w:t>如下：</w:t>
            </w:r>
          </w:p>
          <w:p>
            <w:pPr>
              <w:adjustRightInd w:val="0"/>
              <w:snapToGrid w:val="0"/>
              <w:spacing w:line="460" w:lineRule="exact"/>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b/>
                <w:bCs/>
                <w:color w:val="0000FF"/>
                <w:sz w:val="21"/>
                <w:szCs w:val="21"/>
              </w:rPr>
              <w:t>表3-1</w:t>
            </w:r>
            <w:r>
              <w:rPr>
                <w:rFonts w:hint="eastAsia" w:ascii="Times New Roman" w:hAnsi="Times New Roman" w:eastAsia="宋体" w:cs="Times New Roman"/>
                <w:b/>
                <w:bCs/>
                <w:color w:val="0000FF"/>
                <w:sz w:val="21"/>
                <w:szCs w:val="21"/>
                <w:lang w:val="en-US" w:eastAsia="zh-CN"/>
              </w:rPr>
              <w:t>3</w:t>
            </w:r>
            <w:r>
              <w:rPr>
                <w:rFonts w:hint="default" w:ascii="Times New Roman" w:hAnsi="Times New Roman" w:eastAsia="宋体" w:cs="Times New Roman"/>
                <w:b/>
                <w:bCs/>
                <w:color w:val="0000FF"/>
                <w:sz w:val="21"/>
                <w:szCs w:val="21"/>
              </w:rPr>
              <w:t xml:space="preserve">  污染物总量控制表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132"/>
              <w:gridCol w:w="1637"/>
              <w:gridCol w:w="2007"/>
              <w:gridCol w:w="155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78" w:type="pct"/>
                  <w:noWrap w:val="0"/>
                  <w:vAlign w:val="center"/>
                </w:tcPr>
                <w:p>
                  <w:pPr>
                    <w:pStyle w:val="46"/>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控制项目</w:t>
                  </w:r>
                </w:p>
              </w:tc>
              <w:tc>
                <w:tcPr>
                  <w:tcW w:w="673" w:type="pct"/>
                  <w:noWrap w:val="0"/>
                  <w:vAlign w:val="center"/>
                </w:tcPr>
                <w:p>
                  <w:pPr>
                    <w:pStyle w:val="46"/>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产生量(t/a)</w:t>
                  </w:r>
                </w:p>
              </w:tc>
              <w:tc>
                <w:tcPr>
                  <w:tcW w:w="973" w:type="pct"/>
                  <w:noWrap w:val="0"/>
                  <w:vAlign w:val="center"/>
                </w:tcPr>
                <w:p>
                  <w:pPr>
                    <w:pStyle w:val="46"/>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lang w:val="en-US" w:eastAsia="zh-CN"/>
                    </w:rPr>
                    <w:t>企业预处理</w:t>
                  </w:r>
                  <w:r>
                    <w:rPr>
                      <w:rFonts w:hint="default" w:ascii="Times New Roman" w:hAnsi="Times New Roman" w:eastAsia="宋体" w:cs="Times New Roman"/>
                      <w:color w:val="0000FF"/>
                      <w:sz w:val="21"/>
                      <w:szCs w:val="21"/>
                    </w:rPr>
                    <w:t>量(t/a)</w:t>
                  </w:r>
                </w:p>
              </w:tc>
              <w:tc>
                <w:tcPr>
                  <w:tcW w:w="1193" w:type="pct"/>
                  <w:noWrap w:val="0"/>
                  <w:vAlign w:val="center"/>
                </w:tcPr>
                <w:p>
                  <w:pPr>
                    <w:pStyle w:val="46"/>
                    <w:spacing w:line="24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企业总排口排放量</w:t>
                  </w:r>
                  <w:r>
                    <w:rPr>
                      <w:rFonts w:hint="default" w:ascii="Times New Roman" w:hAnsi="Times New Roman" w:eastAsia="宋体" w:cs="Times New Roman"/>
                      <w:color w:val="0000FF"/>
                      <w:sz w:val="21"/>
                      <w:szCs w:val="21"/>
                    </w:rPr>
                    <w:t>(t/a)</w:t>
                  </w:r>
                </w:p>
              </w:tc>
              <w:tc>
                <w:tcPr>
                  <w:tcW w:w="927" w:type="pct"/>
                  <w:noWrap w:val="0"/>
                  <w:vAlign w:val="center"/>
                </w:tcPr>
                <w:p>
                  <w:pPr>
                    <w:pStyle w:val="46"/>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排放量(t/a)</w:t>
                  </w:r>
                </w:p>
              </w:tc>
              <w:tc>
                <w:tcPr>
                  <w:tcW w:w="554" w:type="pct"/>
                  <w:noWrap w:val="0"/>
                  <w:vAlign w:val="center"/>
                </w:tcPr>
                <w:p>
                  <w:pPr>
                    <w:pStyle w:val="46"/>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78" w:type="pct"/>
                  <w:noWrap w:val="0"/>
                  <w:vAlign w:val="center"/>
                </w:tcPr>
                <w:p>
                  <w:pPr>
                    <w:pStyle w:val="46"/>
                    <w:spacing w:line="240" w:lineRule="auto"/>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COD</w:t>
                  </w:r>
                </w:p>
              </w:tc>
              <w:tc>
                <w:tcPr>
                  <w:tcW w:w="673" w:type="pct"/>
                  <w:noWrap w:val="0"/>
                  <w:vAlign w:val="center"/>
                </w:tcPr>
                <w:p>
                  <w:pPr>
                    <w:pStyle w:val="46"/>
                    <w:spacing w:line="24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0.76</w:t>
                  </w:r>
                </w:p>
              </w:tc>
              <w:tc>
                <w:tcPr>
                  <w:tcW w:w="973" w:type="pct"/>
                  <w:noWrap w:val="0"/>
                  <w:vAlign w:val="center"/>
                </w:tcPr>
                <w:p>
                  <w:pPr>
                    <w:pStyle w:val="46"/>
                    <w:spacing w:line="24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0.31</w:t>
                  </w:r>
                </w:p>
              </w:tc>
              <w:tc>
                <w:tcPr>
                  <w:tcW w:w="1193" w:type="pct"/>
                  <w:noWrap w:val="0"/>
                  <w:vAlign w:val="center"/>
                </w:tcPr>
                <w:p>
                  <w:pPr>
                    <w:pStyle w:val="46"/>
                    <w:spacing w:line="24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0.45</w:t>
                  </w:r>
                </w:p>
              </w:tc>
              <w:tc>
                <w:tcPr>
                  <w:tcW w:w="927" w:type="pct"/>
                  <w:noWrap w:val="0"/>
                  <w:vAlign w:val="center"/>
                </w:tcPr>
                <w:p>
                  <w:pPr>
                    <w:pStyle w:val="46"/>
                    <w:spacing w:line="24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0.061</w:t>
                  </w:r>
                </w:p>
              </w:tc>
              <w:tc>
                <w:tcPr>
                  <w:tcW w:w="554" w:type="pct"/>
                  <w:noWrap w:val="0"/>
                  <w:vAlign w:val="center"/>
                </w:tcPr>
                <w:p>
                  <w:pPr>
                    <w:pStyle w:val="46"/>
                    <w:spacing w:line="24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78" w:type="pct"/>
                  <w:noWrap w:val="0"/>
                  <w:vAlign w:val="center"/>
                </w:tcPr>
                <w:p>
                  <w:pPr>
                    <w:pStyle w:val="46"/>
                    <w:spacing w:line="240" w:lineRule="auto"/>
                    <w:rPr>
                      <w:rFonts w:hint="eastAsia" w:ascii="Times New Roman" w:hAnsi="Times New Roman"/>
                      <w:color w:val="0000FF"/>
                      <w:szCs w:val="21"/>
                    </w:rPr>
                  </w:pPr>
                  <w:r>
                    <w:rPr>
                      <w:rFonts w:hint="eastAsia" w:ascii="Times New Roman" w:hAnsi="Times New Roman"/>
                      <w:color w:val="0000FF"/>
                      <w:szCs w:val="21"/>
                    </w:rPr>
                    <w:t>氨氮</w:t>
                  </w:r>
                </w:p>
              </w:tc>
              <w:tc>
                <w:tcPr>
                  <w:tcW w:w="673" w:type="pct"/>
                  <w:noWrap w:val="0"/>
                  <w:vAlign w:val="center"/>
                </w:tcPr>
                <w:p>
                  <w:pPr>
                    <w:pStyle w:val="46"/>
                    <w:spacing w:line="240" w:lineRule="auto"/>
                    <w:rPr>
                      <w:rFonts w:hint="default" w:ascii="Times New Roman" w:hAnsi="Times New Roman" w:eastAsia="宋体"/>
                      <w:color w:val="0000FF"/>
                      <w:szCs w:val="21"/>
                      <w:lang w:val="en-US" w:eastAsia="zh-CN"/>
                    </w:rPr>
                  </w:pPr>
                  <w:r>
                    <w:rPr>
                      <w:rFonts w:hint="eastAsia" w:ascii="Times New Roman" w:hAnsi="Times New Roman" w:eastAsia="宋体"/>
                      <w:color w:val="0000FF"/>
                      <w:szCs w:val="21"/>
                      <w:lang w:val="en-US" w:eastAsia="zh-CN"/>
                    </w:rPr>
                    <w:t>0.07</w:t>
                  </w:r>
                </w:p>
              </w:tc>
              <w:tc>
                <w:tcPr>
                  <w:tcW w:w="973" w:type="pct"/>
                  <w:noWrap w:val="0"/>
                  <w:vAlign w:val="center"/>
                </w:tcPr>
                <w:p>
                  <w:pPr>
                    <w:pStyle w:val="46"/>
                    <w:spacing w:line="240" w:lineRule="auto"/>
                    <w:rPr>
                      <w:rFonts w:hint="default" w:ascii="Times New Roman" w:hAnsi="Times New Roman" w:eastAsia="宋体"/>
                      <w:color w:val="0000FF"/>
                      <w:szCs w:val="21"/>
                      <w:lang w:val="en-US" w:eastAsia="zh-CN"/>
                    </w:rPr>
                  </w:pPr>
                  <w:r>
                    <w:rPr>
                      <w:rFonts w:hint="eastAsia" w:ascii="Times New Roman" w:hAnsi="Times New Roman" w:eastAsia="宋体"/>
                      <w:color w:val="0000FF"/>
                      <w:szCs w:val="21"/>
                      <w:lang w:val="en-US" w:eastAsia="zh-CN"/>
                    </w:rPr>
                    <w:t>0.02</w:t>
                  </w:r>
                </w:p>
              </w:tc>
              <w:tc>
                <w:tcPr>
                  <w:tcW w:w="1193" w:type="pct"/>
                  <w:noWrap w:val="0"/>
                  <w:vAlign w:val="center"/>
                </w:tcPr>
                <w:p>
                  <w:pPr>
                    <w:pStyle w:val="46"/>
                    <w:spacing w:line="240" w:lineRule="auto"/>
                    <w:rPr>
                      <w:rFonts w:hint="default" w:ascii="Times New Roman" w:hAnsi="Times New Roman" w:eastAsia="宋体"/>
                      <w:color w:val="0000FF"/>
                      <w:szCs w:val="21"/>
                      <w:lang w:val="en-US" w:eastAsia="zh-CN"/>
                    </w:rPr>
                  </w:pPr>
                  <w:r>
                    <w:rPr>
                      <w:rFonts w:hint="eastAsia" w:ascii="Times New Roman" w:hAnsi="Times New Roman" w:eastAsia="宋体"/>
                      <w:color w:val="0000FF"/>
                      <w:szCs w:val="21"/>
                      <w:lang w:val="en-US" w:eastAsia="zh-CN"/>
                    </w:rPr>
                    <w:t>0.05</w:t>
                  </w:r>
                </w:p>
              </w:tc>
              <w:tc>
                <w:tcPr>
                  <w:tcW w:w="927" w:type="pct"/>
                  <w:noWrap w:val="0"/>
                  <w:vAlign w:val="center"/>
                </w:tcPr>
                <w:p>
                  <w:pPr>
                    <w:pStyle w:val="46"/>
                    <w:spacing w:line="240" w:lineRule="auto"/>
                    <w:rPr>
                      <w:rFonts w:hint="default" w:ascii="Times New Roman" w:hAnsi="Times New Roman" w:eastAsia="宋体"/>
                      <w:color w:val="0000FF"/>
                      <w:szCs w:val="21"/>
                      <w:lang w:val="en-US" w:eastAsia="zh-CN"/>
                    </w:rPr>
                  </w:pPr>
                  <w:r>
                    <w:rPr>
                      <w:rFonts w:hint="eastAsia" w:ascii="Times New Roman" w:hAnsi="Times New Roman" w:eastAsia="宋体"/>
                      <w:color w:val="0000FF"/>
                      <w:szCs w:val="21"/>
                      <w:lang w:val="en-US" w:eastAsia="zh-CN"/>
                    </w:rPr>
                    <w:t>0.008</w:t>
                  </w:r>
                </w:p>
              </w:tc>
              <w:tc>
                <w:tcPr>
                  <w:tcW w:w="554" w:type="pct"/>
                  <w:noWrap w:val="0"/>
                  <w:vAlign w:val="center"/>
                </w:tcPr>
                <w:p>
                  <w:pPr>
                    <w:pStyle w:val="46"/>
                    <w:spacing w:line="240" w:lineRule="auto"/>
                    <w:rPr>
                      <w:rFonts w:hint="eastAsia" w:ascii="Times New Roman" w:hAnsi="Times New Roman" w:eastAsia="宋体"/>
                      <w:color w:val="0000FF"/>
                      <w:szCs w:val="21"/>
                      <w:lang w:eastAsia="zh-CN"/>
                    </w:rPr>
                  </w:pPr>
                  <w:r>
                    <w:rPr>
                      <w:rFonts w:hint="eastAsia" w:ascii="Times New Roman" w:hAnsi="Times New Roman" w:eastAsia="宋体"/>
                      <w:color w:val="0000FF"/>
                      <w:szCs w:val="21"/>
                      <w:lang w:val="en-US" w:eastAsia="zh-CN"/>
                    </w:rPr>
                    <w:t>5</w:t>
                  </w:r>
                </w:p>
              </w:tc>
            </w:tr>
          </w:tbl>
          <w:p>
            <w:pPr>
              <w:pStyle w:val="24"/>
              <w:ind w:firstLine="420"/>
              <w:rPr>
                <w:rFonts w:hint="default" w:ascii="Times New Roman" w:hAnsi="Times New Roman" w:eastAsia="宋体" w:cs="Times New Roman"/>
                <w:sz w:val="21"/>
                <w:szCs w:val="21"/>
              </w:rPr>
            </w:pPr>
          </w:p>
          <w:p>
            <w:pPr>
              <w:pStyle w:val="24"/>
              <w:ind w:firstLine="420"/>
              <w:rPr>
                <w:rFonts w:hint="default" w:ascii="Times New Roman" w:hAnsi="Times New Roman" w:eastAsia="宋体" w:cs="Times New Roman"/>
                <w:sz w:val="21"/>
                <w:szCs w:val="21"/>
              </w:rPr>
            </w:pPr>
          </w:p>
        </w:tc>
      </w:tr>
    </w:tbl>
    <w:p>
      <w:pPr>
        <w:pStyle w:val="3"/>
        <w:keepLines/>
        <w:overflowPunct/>
        <w:snapToGrid/>
        <w:spacing w:before="0" w:after="0" w:line="360" w:lineRule="auto"/>
        <w:ind w:left="0" w:firstLine="0"/>
        <w:jc w:val="center"/>
        <w:rPr>
          <w:rFonts w:hint="default" w:ascii="Times New Roman" w:hAnsi="Times New Roman" w:eastAsia="宋体" w:cs="Times New Roman"/>
          <w:snapToGrid w:val="0"/>
          <w:color w:val="0000FF"/>
        </w:rPr>
      </w:pPr>
      <w:r>
        <w:rPr>
          <w:rFonts w:hint="default" w:ascii="Times New Roman" w:hAnsi="Times New Roman" w:eastAsia="宋体" w:cs="Times New Roman"/>
          <w:snapToGrid w:val="0"/>
          <w:color w:val="0000FF"/>
          <w:sz w:val="36"/>
          <w:szCs w:val="36"/>
        </w:rPr>
        <w:br w:type="page"/>
      </w:r>
      <w:bookmarkStart w:id="50" w:name="_Toc1686"/>
      <w:bookmarkStart w:id="51" w:name="_Toc32222"/>
      <w:bookmarkStart w:id="52" w:name="_Toc27237"/>
      <w:bookmarkStart w:id="53" w:name="_Toc66354772"/>
      <w:bookmarkStart w:id="54" w:name="_Toc16343"/>
      <w:bookmarkStart w:id="55" w:name="_Toc14594"/>
      <w:bookmarkStart w:id="56" w:name="_Toc9547"/>
      <w:bookmarkStart w:id="57" w:name="_Toc2340"/>
      <w:bookmarkStart w:id="58" w:name="_Toc31162"/>
      <w:bookmarkStart w:id="59" w:name="_Toc18836"/>
      <w:r>
        <w:rPr>
          <w:rFonts w:hint="default" w:ascii="Times New Roman" w:hAnsi="Times New Roman" w:eastAsia="宋体" w:cs="Times New Roman"/>
          <w:b w:val="0"/>
          <w:color w:val="auto"/>
        </w:rPr>
        <w:t>四、主要环境影响和保护措施</w:t>
      </w:r>
      <w:bookmarkEnd w:id="50"/>
      <w:bookmarkEnd w:id="51"/>
      <w:bookmarkEnd w:id="52"/>
      <w:bookmarkEnd w:id="53"/>
      <w:bookmarkEnd w:id="54"/>
      <w:bookmarkEnd w:id="55"/>
      <w:bookmarkEnd w:id="56"/>
      <w:bookmarkEnd w:id="57"/>
      <w:bookmarkEnd w:id="58"/>
      <w:bookmarkEnd w:id="59"/>
    </w:p>
    <w:tbl>
      <w:tblPr>
        <w:tblStyle w:val="15"/>
        <w:tblW w:w="89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1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0" w:hRule="atLeast"/>
          <w:jc w:val="center"/>
        </w:trPr>
        <w:tc>
          <w:tcPr>
            <w:tcW w:w="754" w:type="dxa"/>
            <w:noWrap w:val="0"/>
            <w:tcMar>
              <w:left w:w="28" w:type="dxa"/>
              <w:right w:w="28" w:type="dxa"/>
            </w:tcMar>
            <w:vAlign w:val="center"/>
          </w:tcPr>
          <w:p>
            <w:pPr>
              <w:pStyle w:val="24"/>
              <w:ind w:left="0" w:leftChars="0" w:firstLine="0" w:firstLineChars="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sz w:val="24"/>
                <w:szCs w:val="24"/>
                <w:lang w:val="en-US" w:eastAsia="zh-CN"/>
              </w:rPr>
              <w:t>施工期环境保护措施</w:t>
            </w:r>
          </w:p>
        </w:tc>
        <w:tc>
          <w:tcPr>
            <w:tcW w:w="8157" w:type="dxa"/>
            <w:noWrap w:val="0"/>
            <w:vAlign w:val="top"/>
          </w:tcPr>
          <w:p>
            <w:pPr>
              <w:pStyle w:val="5"/>
              <w:spacing w:line="360" w:lineRule="auto"/>
              <w:outlineLvl w:val="2"/>
              <w:rPr>
                <w:rFonts w:hint="default" w:ascii="Times New Roman" w:hAnsi="Times New Roman" w:eastAsia="宋体" w:cs="Times New Roman"/>
                <w:sz w:val="24"/>
                <w:szCs w:val="24"/>
                <w:lang w:val="en-US" w:eastAsia="zh-CN"/>
              </w:rPr>
            </w:pPr>
            <w:bookmarkStart w:id="60" w:name="_Toc9884"/>
            <w:r>
              <w:rPr>
                <w:rFonts w:hint="default" w:ascii="Times New Roman" w:hAnsi="Times New Roman" w:eastAsia="宋体" w:cs="Times New Roman"/>
                <w:sz w:val="24"/>
                <w:szCs w:val="24"/>
                <w:lang w:val="en-US" w:eastAsia="zh-CN"/>
              </w:rPr>
              <w:t>4.1.1废气</w:t>
            </w:r>
            <w:bookmarkEnd w:id="60"/>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项目施工期</w:t>
            </w:r>
            <w:r>
              <w:rPr>
                <w:rFonts w:hint="default" w:ascii="Times New Roman" w:hAnsi="Times New Roman" w:eastAsia="宋体" w:cs="Times New Roman"/>
                <w:sz w:val="24"/>
                <w:szCs w:val="24"/>
              </w:rPr>
              <w:t>废气主要为建筑施工扬尘和运输车辆</w:t>
            </w:r>
            <w:r>
              <w:rPr>
                <w:rFonts w:hint="default" w:ascii="Times New Roman" w:hAnsi="Times New Roman" w:eastAsia="宋体" w:cs="Times New Roman"/>
                <w:sz w:val="24"/>
                <w:szCs w:val="24"/>
                <w:lang w:val="en-US" w:eastAsia="zh-CN"/>
              </w:rPr>
              <w:t>及施工机械作业时</w:t>
            </w:r>
            <w:r>
              <w:rPr>
                <w:rFonts w:hint="default" w:ascii="Times New Roman" w:hAnsi="Times New Roman" w:eastAsia="宋体" w:cs="Times New Roman"/>
                <w:sz w:val="24"/>
                <w:szCs w:val="24"/>
              </w:rPr>
              <w:t>排放的尾气。</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1、扬尘</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扬尘主要包括土地平整产生的扬尘；建筑材料堆放、搬运、装卸等产生的扬尘；车辆运输产生的道路扬尘。其中以车辆运输产生的扬尘影响最大。施工场地产生的扬尘按起尘原因可分为风力起尘和动力起尘，其中风力起尘主要是露天堆放的建筑材料及裸露施工区表层浮尘因天气干燥及大风，产生风起扬尘；动力起尘主要是在建筑材料的装卸过程中由于外力扰动而产生的。运输车辆行驶产生的扬尘与路面情况、管理措施密切相关，在施工场地内，路面为裸露地面，扬尘产生量较大，在施工场地外，由于建筑材料的洒落将造成一定的扬尘。</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2、运输车辆及作业机械排放的尾气</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施工作业机械如挖掘机、装载机和运输车辆会排放尾气，施工作业机械和运输车辆均以柴油作为动力源，施工作业机械和运输车辆产生的尾气主要污染物为CO、THC、NOx、SO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等。</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项目施工废气对环境空气造成的影响大小取决于排放量和气候条件，影响面主要集中在施工场地100~150m范围内。</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针对施工期扬尘问题，评价建议采取以下措施：</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（1）对运输建筑材料及建筑垃圾的</w:t>
            </w:r>
            <w:r>
              <w:rPr>
                <w:rFonts w:hint="default" w:ascii="Times New Roman" w:hAnsi="Times New Roman" w:eastAsia="宋体" w:cs="Times New Roman"/>
                <w:sz w:val="24"/>
                <w:szCs w:val="24"/>
                <w:lang w:val="en-US" w:eastAsia="zh-CN"/>
              </w:rPr>
              <w:t>车辆</w:t>
            </w:r>
            <w:r>
              <w:rPr>
                <w:rFonts w:hint="default" w:ascii="Times New Roman" w:hAnsi="Times New Roman" w:eastAsia="宋体" w:cs="Times New Roman"/>
                <w:sz w:val="24"/>
                <w:szCs w:val="24"/>
                <w:lang w:eastAsia="zh-CN"/>
              </w:rPr>
              <w:t>加盖篷布</w:t>
            </w:r>
            <w:r>
              <w:rPr>
                <w:rFonts w:hint="default" w:ascii="Times New Roman" w:hAnsi="Times New Roman" w:eastAsia="宋体" w:cs="Times New Roman"/>
                <w:sz w:val="24"/>
                <w:szCs w:val="24"/>
              </w:rPr>
              <w:t>减少洒落。同时，车辆进出、装卸场地时应用水将轮胎冲洗干净。</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（2）在施工场地安排员工定期对施工场地洒水以减少扬尘量。</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（3）对建筑垃圾及弃土应及时清运、以减少占地，防止扬尘污染，改善施工场地的环境。</w:t>
            </w:r>
          </w:p>
          <w:p>
            <w:pPr>
              <w:pStyle w:val="5"/>
              <w:spacing w:line="360" w:lineRule="auto"/>
              <w:outlineLvl w:val="2"/>
              <w:rPr>
                <w:rFonts w:hint="default" w:ascii="Times New Roman" w:hAnsi="Times New Roman" w:eastAsia="宋体" w:cs="Times New Roman"/>
                <w:sz w:val="24"/>
                <w:szCs w:val="24"/>
                <w:lang w:val="en-US" w:eastAsia="zh-CN"/>
              </w:rPr>
            </w:pPr>
            <w:bookmarkStart w:id="61" w:name="_Toc14814"/>
            <w:r>
              <w:rPr>
                <w:rFonts w:hint="default" w:ascii="Times New Roman" w:hAnsi="Times New Roman" w:eastAsia="宋体" w:cs="Times New Roman"/>
                <w:sz w:val="24"/>
                <w:szCs w:val="24"/>
                <w:lang w:val="en-US" w:eastAsia="zh-CN"/>
              </w:rPr>
              <w:t>4.1.2废水</w:t>
            </w:r>
            <w:bookmarkEnd w:id="61"/>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施工期产生的废水主要为施工废水和生活污水。</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施工废水主要来自</w:t>
            </w:r>
            <w:r>
              <w:rPr>
                <w:rFonts w:hint="eastAsia" w:ascii="Times New Roman" w:hAnsi="Times New Roman" w:eastAsia="宋体" w:cs="Times New Roman"/>
                <w:sz w:val="24"/>
                <w:szCs w:val="24"/>
                <w:lang w:val="en-US" w:eastAsia="zh-CN"/>
              </w:rPr>
              <w:t>于</w:t>
            </w:r>
            <w:r>
              <w:rPr>
                <w:rFonts w:hint="default" w:ascii="Times New Roman" w:hAnsi="Times New Roman" w:eastAsia="宋体" w:cs="Times New Roman"/>
                <w:sz w:val="24"/>
                <w:szCs w:val="24"/>
              </w:rPr>
              <w:t>机械冲洗、场地冲洗等，主要污染因子为SS、石油类。</w:t>
            </w:r>
            <w:r>
              <w:rPr>
                <w:rFonts w:hint="default" w:ascii="Times New Roman" w:hAnsi="Times New Roman" w:eastAsia="宋体" w:cs="Times New Roman"/>
                <w:sz w:val="24"/>
                <w:szCs w:val="24"/>
                <w:lang w:val="en-US" w:eastAsia="zh-CN"/>
              </w:rPr>
              <w:t>项目施工废水设置初期雨水沉淀池收集，</w:t>
            </w:r>
            <w:r>
              <w:rPr>
                <w:rFonts w:hint="default" w:ascii="Times New Roman" w:hAnsi="Times New Roman" w:eastAsia="宋体" w:cs="Times New Roman"/>
                <w:sz w:val="24"/>
                <w:szCs w:val="24"/>
              </w:rPr>
              <w:t>沉淀处理后的施工废水用于建筑材料的冲洗和施工场地洒水降尘。</w:t>
            </w:r>
          </w:p>
          <w:p>
            <w:pPr>
              <w:pStyle w:val="24"/>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施工人员生活污水水质简单，且水量很小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厂区用地范围内设置施工营地，餐饮废水隔油后与生活污水一起处理，最终用</w:t>
            </w:r>
            <w:r>
              <w:rPr>
                <w:rFonts w:hint="eastAsia" w:ascii="Times New Roman" w:hAnsi="Times New Roman" w:eastAsia="宋体" w:cs="Times New Roman"/>
                <w:sz w:val="24"/>
                <w:szCs w:val="24"/>
                <w:lang w:val="en-US" w:eastAsia="zh-CN"/>
              </w:rPr>
              <w:t>作农肥</w:t>
            </w:r>
            <w:r>
              <w:rPr>
                <w:rFonts w:hint="default" w:ascii="Times New Roman" w:hAnsi="Times New Roman" w:eastAsia="宋体" w:cs="Times New Roman"/>
                <w:sz w:val="24"/>
                <w:szCs w:val="24"/>
                <w:lang w:val="en-US" w:eastAsia="zh-CN"/>
              </w:rPr>
              <w:t>。分离的油类委外转运处置。</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施工期间防止水环境污染的主要措施为：</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①加强施工期管理，针对施工期污水产生过程不连续、废水种类较单一等特点，可采取相应措施有效控制污水中污染物的产生量。</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②安装小流量的设备和器具，以减少在施工期间的用水量。</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通过采取以上措施，可有效控制施工废水污染，措施是切实可行的。总之，在项目建设期间，建设单位应该尽可能通过加强管理，文明施工的手段来减少建设期间施工对环境的影响，做到发展与保护环境的协调。</w:t>
            </w:r>
          </w:p>
          <w:p>
            <w:pPr>
              <w:pStyle w:val="5"/>
              <w:spacing w:line="360" w:lineRule="auto"/>
              <w:outlineLvl w:val="2"/>
              <w:rPr>
                <w:rFonts w:hint="default" w:ascii="Times New Roman" w:hAnsi="Times New Roman" w:eastAsia="宋体" w:cs="Times New Roman"/>
                <w:sz w:val="24"/>
                <w:szCs w:val="24"/>
                <w:lang w:val="en-US" w:eastAsia="zh-CN"/>
              </w:rPr>
            </w:pPr>
            <w:bookmarkStart w:id="62" w:name="_Toc20309"/>
            <w:r>
              <w:rPr>
                <w:rFonts w:hint="default" w:ascii="Times New Roman" w:hAnsi="Times New Roman" w:eastAsia="宋体" w:cs="Times New Roman"/>
                <w:sz w:val="24"/>
                <w:szCs w:val="24"/>
                <w:lang w:val="en-US" w:eastAsia="zh-CN"/>
              </w:rPr>
              <w:t>4.1.3噪声</w:t>
            </w:r>
            <w:bookmarkEnd w:id="62"/>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项目施工期噪声主要包括施工机械噪声和施工车辆噪声</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。施工机械噪声主要为推土机</w:t>
            </w:r>
            <w:r>
              <w:rPr>
                <w:rFonts w:hint="default" w:ascii="Times New Roman" w:hAnsi="Times New Roman" w:eastAsia="宋体" w:cs="Times New Roman"/>
                <w:sz w:val="24"/>
                <w:szCs w:val="24"/>
                <w:lang w:eastAsia="zh-CN"/>
              </w:rPr>
              <w:t>、挖土机</w:t>
            </w:r>
            <w:r>
              <w:rPr>
                <w:rFonts w:hint="default" w:ascii="Times New Roman" w:hAnsi="Times New Roman" w:eastAsia="宋体" w:cs="Times New Roman"/>
                <w:sz w:val="24"/>
                <w:szCs w:val="24"/>
              </w:rPr>
              <w:t>机等施工作业时产生的噪声，多为点声源；施工作业噪声主要是</w:t>
            </w:r>
            <w:r>
              <w:rPr>
                <w:rFonts w:hint="default" w:ascii="Times New Roman" w:hAnsi="Times New Roman" w:eastAsia="宋体" w:cs="Times New Roman"/>
                <w:sz w:val="24"/>
                <w:szCs w:val="24"/>
                <w:lang w:eastAsia="zh-CN"/>
              </w:rPr>
              <w:t>一些</w:t>
            </w:r>
            <w:r>
              <w:rPr>
                <w:rFonts w:hint="default" w:ascii="Times New Roman" w:hAnsi="Times New Roman" w:eastAsia="宋体" w:cs="Times New Roman"/>
                <w:sz w:val="24"/>
                <w:szCs w:val="24"/>
              </w:rPr>
              <w:t>零星的敲打声、装卸车辆时的撞击声等，多为瞬时噪声；施工车辆的噪声属于交通噪声。施工噪声值在55-85dB（A）之间。</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为减少其噪声对周边环境的影响，施工单位务必规范施工行为，建议采纳如下污染防范措施：</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施工现场应</w:t>
            </w:r>
            <w:r>
              <w:rPr>
                <w:rFonts w:hint="eastAsia" w:ascii="Times New Roman" w:hAnsi="Times New Roman" w:eastAsia="宋体" w:cs="Times New Roman"/>
                <w:sz w:val="24"/>
                <w:szCs w:val="24"/>
                <w:lang w:val="en-US" w:eastAsia="zh-CN"/>
              </w:rPr>
              <w:t>严格</w:t>
            </w:r>
            <w:r>
              <w:rPr>
                <w:rFonts w:hint="default" w:ascii="Times New Roman" w:hAnsi="Times New Roman" w:eastAsia="宋体" w:cs="Times New Roman"/>
                <w:sz w:val="24"/>
                <w:szCs w:val="24"/>
              </w:rPr>
              <w:t>遵照《建筑施工场界环境噪声排放标准》（GB12523-2011</w:t>
            </w:r>
            <w:r>
              <w:rPr>
                <w:rFonts w:hint="default" w:ascii="Times New Roman" w:hAnsi="Times New Roman" w:eastAsia="宋体" w:cs="Times New Roman"/>
                <w:sz w:val="24"/>
                <w:szCs w:val="24"/>
                <w:lang w:eastAsia="zh-CN"/>
              </w:rPr>
              <w:t>）制定</w:t>
            </w:r>
            <w:r>
              <w:rPr>
                <w:rFonts w:hint="default" w:ascii="Times New Roman" w:hAnsi="Times New Roman" w:eastAsia="宋体" w:cs="Times New Roman"/>
                <w:sz w:val="24"/>
                <w:szCs w:val="24"/>
              </w:rPr>
              <w:t>降噪制度。</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合理安排施工时间，将噪声级较大的施工活动尽量安排在白天，禁止夜间（夜间22：</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次日6：00）施工作业。</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从声源上控制：选用低噪声、低振动设备，采用低噪声、低振动施工工艺；改造施工方法和操作方法，防止产生高噪声、高振动；采取消声减振措施，努力使噪声、振动降低到对人体无害的水平。</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采取上述措施后，可大大降低施工噪声对敏感点的影响，且施工期结束后相应的噪声污染即随之消失，不会对周围环境产生长期不良影响。</w:t>
            </w:r>
          </w:p>
          <w:p>
            <w:pPr>
              <w:pStyle w:val="5"/>
              <w:spacing w:line="360" w:lineRule="auto"/>
              <w:outlineLvl w:val="2"/>
              <w:rPr>
                <w:rFonts w:hint="default" w:ascii="Times New Roman" w:hAnsi="Times New Roman" w:eastAsia="宋体" w:cs="Times New Roman"/>
                <w:sz w:val="24"/>
                <w:szCs w:val="24"/>
                <w:lang w:val="en-US" w:eastAsia="zh-CN"/>
              </w:rPr>
            </w:pPr>
            <w:bookmarkStart w:id="63" w:name="_Toc28519"/>
            <w:r>
              <w:rPr>
                <w:rFonts w:hint="default" w:ascii="Times New Roman" w:hAnsi="Times New Roman" w:eastAsia="宋体" w:cs="Times New Roman"/>
                <w:sz w:val="24"/>
                <w:szCs w:val="24"/>
                <w:lang w:val="en-US" w:eastAsia="zh-CN"/>
              </w:rPr>
              <w:t>4.1.4固体废物</w:t>
            </w:r>
            <w:bookmarkEnd w:id="63"/>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在工程施工过程中，产生的固体废物主要是少量施工建筑垃圾、土石方和生活垃圾。</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施工建筑垃圾应妥善处理与处置，能回收的应回收，不能回收的</w:t>
            </w:r>
            <w:r>
              <w:rPr>
                <w:rFonts w:hint="eastAsia" w:ascii="Times New Roman" w:hAnsi="Times New Roman" w:eastAsia="宋体" w:cs="Times New Roman"/>
                <w:sz w:val="24"/>
                <w:szCs w:val="24"/>
                <w:lang w:val="en-US" w:eastAsia="zh-CN"/>
              </w:rPr>
              <w:t>建筑垃圾</w:t>
            </w:r>
            <w:r>
              <w:rPr>
                <w:rFonts w:hint="default" w:ascii="Times New Roman" w:hAnsi="Times New Roman" w:eastAsia="宋体" w:cs="Times New Roman"/>
                <w:sz w:val="24"/>
                <w:szCs w:val="24"/>
              </w:rPr>
              <w:t>送往指定地点填埋，尽量减少施工垃圾对环境和城市市容的不利影响。项目土石方能基本实现挖填平衡，无弃方产生；生活垃圾不得随意丢弃，应在施工现场定点收集，定期交由市政环卫部门清运。</w:t>
            </w:r>
          </w:p>
          <w:p>
            <w:pPr>
              <w:pStyle w:val="24"/>
              <w:spacing w:line="360"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4"/>
                <w:szCs w:val="24"/>
              </w:rPr>
              <w:t>通过上述措施可使施工固体废物得到妥善处置。</w:t>
            </w:r>
          </w:p>
          <w:p>
            <w:pPr>
              <w:pStyle w:val="5"/>
              <w:spacing w:line="360" w:lineRule="auto"/>
              <w:outlineLvl w:val="2"/>
              <w:rPr>
                <w:rFonts w:hint="default" w:ascii="Times New Roman" w:hAnsi="Times New Roman" w:eastAsia="宋体" w:cs="Times New Roman"/>
                <w:sz w:val="24"/>
                <w:szCs w:val="24"/>
                <w:lang w:val="en-US" w:eastAsia="zh-CN"/>
              </w:rPr>
            </w:pPr>
            <w:bookmarkStart w:id="64" w:name="_Toc17215"/>
            <w:r>
              <w:rPr>
                <w:rFonts w:hint="default" w:ascii="Times New Roman" w:hAnsi="Times New Roman" w:eastAsia="宋体" w:cs="Times New Roman"/>
                <w:sz w:val="24"/>
                <w:szCs w:val="24"/>
                <w:lang w:val="en-US" w:eastAsia="zh-CN"/>
              </w:rPr>
              <w:t>4.1.5生态环境</w:t>
            </w:r>
            <w:bookmarkEnd w:id="64"/>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val="en-US" w:eastAsia="zh-CN"/>
              </w:rPr>
              <w:t>永久占地将</w:t>
            </w:r>
            <w:r>
              <w:rPr>
                <w:rFonts w:hint="default" w:ascii="Times New Roman" w:hAnsi="Times New Roman" w:eastAsia="宋体" w:cs="Times New Roman"/>
                <w:sz w:val="24"/>
                <w:szCs w:val="24"/>
              </w:rPr>
              <w:t>改变</w:t>
            </w:r>
            <w:r>
              <w:rPr>
                <w:rFonts w:hint="default" w:ascii="Times New Roman" w:hAnsi="Times New Roman" w:eastAsia="宋体" w:cs="Times New Roman"/>
                <w:sz w:val="24"/>
                <w:szCs w:val="24"/>
                <w:lang w:val="en-US" w:eastAsia="zh-CN"/>
              </w:rPr>
              <w:t>厂区用地的</w:t>
            </w:r>
            <w:r>
              <w:rPr>
                <w:rFonts w:hint="default" w:ascii="Times New Roman" w:hAnsi="Times New Roman" w:eastAsia="宋体" w:cs="Times New Roman"/>
                <w:sz w:val="24"/>
                <w:szCs w:val="24"/>
              </w:rPr>
              <w:t>土地原貌，破坏原有水土保持设施；但随着项目的建成，对区域生态环境的影响也随之消失。项目生态环境影响主要表现在施工期水土流失的影响。</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水土流失的影响主要在施工期，施工期由于项目施工、土石开挖、机械碾压等原因，破坏了工程范围内原有地貌和植被，扰动了表土结构，致使土体抗蚀能力降低，土壤侵蚀加剧，堆放弃渣如不采取相应的水土流失防治措施将导致水土流失大量增加。为减小施工期污染物对其影响，根据项目实际情况，本次环评提出以下水土流失防护措施：</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①合理安排施工时间；</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②项目应尽量减少开挖面积以及减少施工面的裸露时间，对裸露地表的松土及时压实，施工单位应根据施工进程及时进行绿化；</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③在施工准备期对项目区域地面进行加强硬化；</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④建设环绕施工场地的临时排水沟，场地内部设置临时</w:t>
            </w:r>
            <w:r>
              <w:rPr>
                <w:rFonts w:hint="default"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rPr>
              <w:t>；</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⑤施工中产生的土石方在未使用时应加强防径流冲刷措施，防止出现处置不当而导致的水土流失。</w:t>
            </w:r>
          </w:p>
          <w:p>
            <w:pPr>
              <w:pStyle w:val="24"/>
              <w:spacing w:line="360" w:lineRule="auto"/>
              <w:ind w:firstLine="420"/>
              <w:rPr>
                <w:rFonts w:hint="default" w:ascii="Times New Roman" w:hAnsi="Times New Roman" w:eastAsia="宋体" w:cs="Times New Roman"/>
                <w:bCs/>
                <w:spacing w:val="-10"/>
                <w:sz w:val="21"/>
                <w:szCs w:val="21"/>
              </w:rPr>
            </w:pPr>
            <w:r>
              <w:rPr>
                <w:rFonts w:hint="default" w:ascii="Times New Roman" w:hAnsi="Times New Roman" w:eastAsia="宋体" w:cs="Times New Roman"/>
                <w:sz w:val="24"/>
                <w:szCs w:val="24"/>
              </w:rPr>
              <w:t>综上所述，施工过程中，若水土流失防治措施采取到位，水土流失</w:t>
            </w:r>
            <w:r>
              <w:rPr>
                <w:rFonts w:hint="eastAsia" w:ascii="Times New Roman" w:hAnsi="Times New Roman" w:eastAsia="宋体" w:cs="Times New Roman"/>
                <w:sz w:val="24"/>
                <w:szCs w:val="24"/>
                <w:lang w:val="en-US" w:eastAsia="zh-CN"/>
              </w:rPr>
              <w:t>影响</w:t>
            </w:r>
            <w:r>
              <w:rPr>
                <w:rFonts w:hint="default" w:ascii="Times New Roman" w:hAnsi="Times New Roman" w:eastAsia="宋体" w:cs="Times New Roman"/>
                <w:sz w:val="24"/>
                <w:szCs w:val="24"/>
              </w:rPr>
              <w:t>能得到有效控制，不会给项目区周边环境带来危害。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4" w:type="dxa"/>
            <w:noWrap w:val="0"/>
            <w:tcMar>
              <w:left w:w="28" w:type="dxa"/>
              <w:right w:w="28" w:type="dxa"/>
            </w:tcMar>
            <w:vAlign w:val="center"/>
          </w:tcPr>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运营</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期环</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境影</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响和</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保护</w:t>
            </w:r>
          </w:p>
          <w:p>
            <w:pPr>
              <w:pStyle w:val="24"/>
              <w:ind w:left="0" w:leftChars="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4"/>
                <w:lang w:val="en-US" w:eastAsia="zh-CN"/>
              </w:rPr>
              <w:t>措施</w:t>
            </w:r>
          </w:p>
        </w:tc>
        <w:tc>
          <w:tcPr>
            <w:tcW w:w="8157" w:type="dxa"/>
            <w:noWrap w:val="0"/>
            <w:vAlign w:val="top"/>
          </w:tcPr>
          <w:p>
            <w:pPr>
              <w:pStyle w:val="5"/>
              <w:spacing w:line="360" w:lineRule="auto"/>
              <w:outlineLvl w:val="2"/>
              <w:rPr>
                <w:rFonts w:hint="default" w:ascii="Times New Roman" w:hAnsi="Times New Roman" w:eastAsia="宋体" w:cs="Times New Roman"/>
                <w:sz w:val="24"/>
                <w:szCs w:val="24"/>
                <w:lang w:val="en-US" w:eastAsia="zh-CN"/>
              </w:rPr>
            </w:pPr>
            <w:bookmarkStart w:id="65" w:name="_Toc27458"/>
            <w:r>
              <w:rPr>
                <w:rFonts w:hint="default" w:ascii="Times New Roman" w:hAnsi="Times New Roman" w:eastAsia="宋体" w:cs="Times New Roman"/>
                <w:sz w:val="24"/>
                <w:szCs w:val="24"/>
                <w:lang w:val="en-US" w:eastAsia="zh-CN"/>
              </w:rPr>
              <w:t>4.2.1废气</w:t>
            </w:r>
            <w:bookmarkEnd w:id="65"/>
          </w:p>
          <w:p>
            <w:pPr>
              <w:numPr>
                <w:ilvl w:val="0"/>
                <w:numId w:val="4"/>
              </w:num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源强及核算</w:t>
            </w:r>
          </w:p>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本项目投产后产生的废气污染物排放主要为粉尘、食堂油烟，产生粉尘的环节有</w:t>
            </w:r>
            <w:r>
              <w:rPr>
                <w:rFonts w:hint="default" w:ascii="Times New Roman" w:hAnsi="Times New Roman" w:eastAsia="宋体" w:cs="Times New Roman"/>
                <w:sz w:val="24"/>
                <w:szCs w:val="24"/>
                <w:lang w:val="en-US" w:eastAsia="zh-CN"/>
              </w:rPr>
              <w:t>堆场扬尘、</w:t>
            </w:r>
            <w:r>
              <w:rPr>
                <w:rFonts w:hint="default" w:ascii="Times New Roman" w:hAnsi="Times New Roman" w:eastAsia="宋体" w:cs="Times New Roman"/>
                <w:sz w:val="24"/>
                <w:szCs w:val="24"/>
              </w:rPr>
              <w:t>筒仓、搅拌区、运输</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color w:val="0000FF"/>
                <w:sz w:val="24"/>
                <w:szCs w:val="24"/>
                <w:lang w:val="en-US" w:eastAsia="zh-CN"/>
              </w:rPr>
              <w:t>储油罐呼吸废气</w:t>
            </w:r>
            <w:r>
              <w:rPr>
                <w:rFonts w:hint="default" w:ascii="Times New Roman" w:hAnsi="Times New Roman" w:eastAsia="宋体" w:cs="Times New Roman"/>
                <w:sz w:val="24"/>
                <w:szCs w:val="24"/>
              </w:rPr>
              <w:t>等。</w:t>
            </w:r>
          </w:p>
          <w:p>
            <w:pPr>
              <w:spacing w:line="360" w:lineRule="auto"/>
              <w:ind w:firstLine="480" w:firstLineChars="200"/>
              <w:rPr>
                <w:rFonts w:hint="default" w:ascii="Times New Roman" w:hAnsi="Times New Roman" w:eastAsia="宋体" w:cs="Times New Roman"/>
                <w:color w:val="auto"/>
                <w:highlight w:val="none"/>
              </w:rPr>
            </w:pPr>
            <w:r>
              <w:rPr>
                <w:rFonts w:hint="eastAsia" w:ascii="Times New Roman" w:hAnsi="Times New Roman" w:eastAsia="宋体" w:cs="Times New Roman"/>
                <w:sz w:val="24"/>
                <w:szCs w:val="24"/>
                <w:highlight w:val="none"/>
                <w:lang w:val="en-US" w:eastAsia="zh-CN"/>
              </w:rPr>
              <w:t>项目污染物指标</w:t>
            </w:r>
            <w:r>
              <w:rPr>
                <w:rFonts w:hint="default" w:ascii="Times New Roman" w:hAnsi="Times New Roman" w:eastAsia="宋体" w:cs="Times New Roman"/>
                <w:sz w:val="24"/>
                <w:szCs w:val="24"/>
                <w:highlight w:val="none"/>
                <w:lang w:val="en-US" w:eastAsia="zh-CN"/>
              </w:rPr>
              <w:t>参照</w:t>
            </w:r>
            <w:r>
              <w:rPr>
                <w:rFonts w:hint="eastAsia" w:ascii="Times New Roman" w:hAnsi="Times New Roman" w:eastAsia="宋体" w:cs="Times New Roman"/>
                <w:sz w:val="24"/>
                <w:szCs w:val="24"/>
                <w:highlight w:val="none"/>
                <w:lang w:val="en-US" w:eastAsia="zh-CN"/>
              </w:rPr>
              <w:t>《第二次全国污染源普查产排污核算系数手册--工业源（试用版</w:t>
            </w:r>
            <w:r>
              <w:rPr>
                <w:rFonts w:hint="eastAsia" w:ascii="Times New Roman" w:hAnsi="Times New Roman" w:eastAsia="宋体" w:cs="Times New Roman"/>
                <w:color w:val="auto"/>
                <w:sz w:val="24"/>
                <w:szCs w:val="24"/>
                <w:highlight w:val="none"/>
                <w:lang w:val="en-US" w:eastAsia="zh-CN"/>
              </w:rPr>
              <w:t>）》（2019 年）中“</w:t>
            </w:r>
            <w:r>
              <w:rPr>
                <w:rFonts w:hint="default" w:ascii="Times New Roman" w:hAnsi="Times New Roman" w:eastAsia="宋体" w:cs="Times New Roman"/>
                <w:color w:val="auto"/>
                <w:sz w:val="24"/>
                <w:szCs w:val="24"/>
                <w:highlight w:val="none"/>
                <w:lang w:val="en-US" w:eastAsia="zh-CN"/>
              </w:rPr>
              <w:t>3021 水泥制品制造（含 3022 砼结构构件制造、3029 其他水泥类似制品制造）行业系数手册</w:t>
            </w:r>
            <w:r>
              <w:rPr>
                <w:rFonts w:hint="eastAsia"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产排污</w:t>
            </w:r>
            <w:r>
              <w:rPr>
                <w:rFonts w:hint="default" w:ascii="Times New Roman" w:hAnsi="Times New Roman" w:eastAsia="宋体" w:cs="Times New Roman"/>
                <w:color w:val="auto"/>
                <w:sz w:val="24"/>
                <w:szCs w:val="24"/>
                <w:highlight w:val="none"/>
              </w:rPr>
              <w:t>系数</w:t>
            </w:r>
            <w:r>
              <w:rPr>
                <w:rFonts w:hint="eastAsia" w:ascii="Times New Roman" w:hAnsi="Times New Roman" w:eastAsia="宋体" w:cs="Times New Roman"/>
                <w:color w:val="auto"/>
                <w:sz w:val="24"/>
                <w:szCs w:val="24"/>
                <w:highlight w:val="none"/>
                <w:lang w:eastAsia="zh-CN"/>
              </w:rPr>
              <w:t>。</w:t>
            </w:r>
          </w:p>
          <w:p>
            <w:pPr>
              <w:wordWrap/>
              <w:spacing w:line="240" w:lineRule="auto"/>
              <w:ind w:left="425"/>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w:t>
            </w:r>
            <w:r>
              <w:rPr>
                <w:rFonts w:hint="default" w:ascii="Times New Roman" w:hAnsi="Times New Roman" w:eastAsia="宋体" w:cs="Times New Roman"/>
                <w:b/>
                <w:color w:val="auto"/>
                <w:kern w:val="0"/>
                <w:sz w:val="21"/>
                <w:szCs w:val="21"/>
                <w:highlight w:val="none"/>
                <w:lang w:val="en-US" w:eastAsia="zh-CN"/>
              </w:rPr>
              <w:t>4-1</w:t>
            </w:r>
            <w:r>
              <w:rPr>
                <w:rFonts w:hint="default" w:ascii="Times New Roman" w:hAnsi="Times New Roman" w:eastAsia="宋体" w:cs="Times New Roman"/>
                <w:b/>
                <w:color w:val="auto"/>
                <w:kern w:val="0"/>
                <w:sz w:val="21"/>
                <w:szCs w:val="21"/>
                <w:highlight w:val="none"/>
              </w:rPr>
              <w:t xml:space="preserve">  </w:t>
            </w:r>
            <w:r>
              <w:rPr>
                <w:rFonts w:hint="eastAsia" w:ascii="Times New Roman" w:hAnsi="Times New Roman" w:eastAsia="宋体" w:cs="Times New Roman"/>
                <w:b/>
                <w:color w:val="auto"/>
                <w:kern w:val="0"/>
                <w:sz w:val="21"/>
                <w:szCs w:val="21"/>
                <w:highlight w:val="none"/>
                <w:lang w:val="en-US" w:eastAsia="zh-CN"/>
              </w:rPr>
              <w:t>废气</w:t>
            </w:r>
            <w:r>
              <w:rPr>
                <w:rFonts w:hint="default" w:ascii="Times New Roman" w:hAnsi="Times New Roman" w:eastAsia="宋体" w:cs="Times New Roman"/>
                <w:b/>
                <w:color w:val="auto"/>
                <w:kern w:val="0"/>
                <w:sz w:val="21"/>
                <w:szCs w:val="21"/>
                <w:highlight w:val="none"/>
              </w:rPr>
              <w:t>产排污系数表</w:t>
            </w:r>
          </w:p>
          <w:tbl>
            <w:tblPr>
              <w:tblStyle w:val="15"/>
              <w:tblW w:w="7936" w:type="dxa"/>
              <w:jc w:val="center"/>
              <w:tblLayout w:type="fixed"/>
              <w:tblCellMar>
                <w:top w:w="0" w:type="dxa"/>
                <w:left w:w="0" w:type="dxa"/>
                <w:bottom w:w="0" w:type="dxa"/>
                <w:right w:w="0" w:type="dxa"/>
              </w:tblCellMar>
            </w:tblPr>
            <w:tblGrid>
              <w:gridCol w:w="619"/>
              <w:gridCol w:w="494"/>
              <w:gridCol w:w="480"/>
              <w:gridCol w:w="629"/>
              <w:gridCol w:w="599"/>
              <w:gridCol w:w="868"/>
              <w:gridCol w:w="1576"/>
              <w:gridCol w:w="795"/>
              <w:gridCol w:w="1011"/>
              <w:gridCol w:w="865"/>
            </w:tblGrid>
            <w:tr>
              <w:tblPrEx>
                <w:tblCellMar>
                  <w:top w:w="0" w:type="dxa"/>
                  <w:left w:w="0" w:type="dxa"/>
                  <w:bottom w:w="0" w:type="dxa"/>
                  <w:right w:w="0" w:type="dxa"/>
                </w:tblCellMar>
              </w:tblPrEx>
              <w:trPr>
                <w:trHeight w:val="283" w:hRule="atLeast"/>
                <w:jc w:val="center"/>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color w:val="auto"/>
                    </w:rPr>
                  </w:pPr>
                  <w:r>
                    <w:rPr>
                      <w:rFonts w:ascii="宋体" w:hAnsi="宋体" w:eastAsia="宋体" w:cs="宋体"/>
                      <w:b/>
                      <w:bCs/>
                      <w:snapToGrid w:val="0"/>
                      <w:color w:val="auto"/>
                      <w:kern w:val="0"/>
                      <w:sz w:val="24"/>
                      <w:szCs w:val="24"/>
                      <w:lang w:val="en-US" w:eastAsia="zh-CN" w:bidi="ar"/>
                    </w:rPr>
                    <w:t>工段</w:t>
                  </w:r>
                </w:p>
                <w:p>
                  <w:pPr>
                    <w:spacing w:line="240" w:lineRule="auto"/>
                    <w:jc w:val="center"/>
                    <w:rPr>
                      <w:rFonts w:hint="default" w:ascii="Times New Roman" w:hAnsi="Times New Roman" w:eastAsia="宋体" w:cs="Times New Roman"/>
                      <w:b/>
                      <w:bCs/>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产品名称</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原料</w:t>
                  </w:r>
                </w:p>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396"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工艺</w:t>
                  </w:r>
                </w:p>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377"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规模</w:t>
                  </w:r>
                </w:p>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等级</w:t>
                  </w:r>
                </w:p>
              </w:tc>
              <w:tc>
                <w:tcPr>
                  <w:tcW w:w="546"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指数</w:t>
                  </w:r>
                </w:p>
              </w:tc>
              <w:tc>
                <w:tcPr>
                  <w:tcW w:w="9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系数</w:t>
                  </w:r>
                  <w:r>
                    <w:rPr>
                      <w:rFonts w:hint="default" w:ascii="Times New Roman" w:hAnsi="Times New Roman" w:eastAsia="宋体" w:cs="Times New Roman"/>
                      <w:b/>
                      <w:bCs/>
                      <w:color w:val="auto"/>
                      <w:sz w:val="21"/>
                      <w:szCs w:val="21"/>
                      <w:highlight w:val="none"/>
                    </w:rPr>
                    <w:t>单位</w:t>
                  </w:r>
                </w:p>
              </w:tc>
              <w:tc>
                <w:tcPr>
                  <w:tcW w:w="500"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产污</w:t>
                  </w:r>
                </w:p>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系数</w:t>
                  </w:r>
                </w:p>
              </w:tc>
              <w:tc>
                <w:tcPr>
                  <w:tcW w:w="636"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末端治理技术名称</w:t>
                  </w:r>
                </w:p>
              </w:tc>
              <w:tc>
                <w:tcPr>
                  <w:tcW w:w="544"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末端治理技术效率（</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w:t>
                  </w:r>
                </w:p>
              </w:tc>
            </w:tr>
            <w:tr>
              <w:tblPrEx>
                <w:tblCellMar>
                  <w:top w:w="0" w:type="dxa"/>
                  <w:left w:w="0" w:type="dxa"/>
                  <w:bottom w:w="0" w:type="dxa"/>
                  <w:right w:w="0" w:type="dxa"/>
                </w:tblCellMar>
              </w:tblPrEx>
              <w:trPr>
                <w:trHeight w:val="283" w:hRule="atLeast"/>
                <w:jc w:val="center"/>
              </w:trPr>
              <w:tc>
                <w:tcPr>
                  <w:tcW w:w="390"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物料</w:t>
                  </w:r>
                </w:p>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输送</w:t>
                  </w:r>
                </w:p>
              </w:tc>
              <w:tc>
                <w:tcPr>
                  <w:tcW w:w="311"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混凝土制品</w:t>
                  </w:r>
                </w:p>
              </w:tc>
              <w:tc>
                <w:tcPr>
                  <w:tcW w:w="302"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沙子、水泥、石子</w:t>
                  </w:r>
                  <w:r>
                    <w:rPr>
                      <w:rFonts w:hint="eastAsia" w:ascii="Times New Roman" w:hAnsi="Times New Roman" w:eastAsia="宋体" w:cs="Times New Roman"/>
                      <w:color w:val="auto"/>
                      <w:sz w:val="21"/>
                      <w:szCs w:val="21"/>
                      <w:highlight w:val="none"/>
                      <w:lang w:val="en-US" w:eastAsia="zh-CN"/>
                    </w:rPr>
                    <w:t>等</w:t>
                  </w:r>
                </w:p>
              </w:tc>
              <w:tc>
                <w:tcPr>
                  <w:tcW w:w="396"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物料</w:t>
                  </w:r>
                </w:p>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输送</w:t>
                  </w:r>
                </w:p>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储存</w:t>
                  </w:r>
                </w:p>
              </w:tc>
              <w:tc>
                <w:tcPr>
                  <w:tcW w:w="377"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所有</w:t>
                  </w:r>
                </w:p>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规模</w:t>
                  </w:r>
                </w:p>
              </w:tc>
              <w:tc>
                <w:tcPr>
                  <w:tcW w:w="546"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废气量</w:t>
                  </w:r>
                </w:p>
              </w:tc>
              <w:tc>
                <w:tcPr>
                  <w:tcW w:w="992"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标立方米/吨</w:t>
                  </w:r>
                  <w:r>
                    <w:rPr>
                      <w:rFonts w:hint="eastAsia" w:ascii="Times New Roman" w:hAnsi="Times New Roman" w:eastAsia="宋体" w:cs="Times New Roman"/>
                      <w:color w:val="auto"/>
                      <w:sz w:val="21"/>
                      <w:szCs w:val="21"/>
                      <w:highlight w:val="none"/>
                      <w:lang w:val="en-US" w:eastAsia="zh-CN"/>
                    </w:rPr>
                    <w:t>产品</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20 </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w:t>
                  </w:r>
                </w:p>
              </w:tc>
            </w:tr>
            <w:tr>
              <w:tblPrEx>
                <w:tblCellMar>
                  <w:top w:w="0" w:type="dxa"/>
                  <w:left w:w="0" w:type="dxa"/>
                  <w:bottom w:w="0" w:type="dxa"/>
                  <w:right w:w="0" w:type="dxa"/>
                </w:tblCellMar>
              </w:tblPrEx>
              <w:trPr>
                <w:trHeight w:val="283" w:hRule="atLeast"/>
                <w:jc w:val="center"/>
              </w:trPr>
              <w:tc>
                <w:tcPr>
                  <w:tcW w:w="390"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311"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02"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96"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77"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546"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颗粒物</w:t>
                  </w:r>
                </w:p>
              </w:tc>
              <w:tc>
                <w:tcPr>
                  <w:tcW w:w="992"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千克</w:t>
                  </w:r>
                  <w:r>
                    <w:rPr>
                      <w:rFonts w:hint="default" w:ascii="Times New Roman" w:hAnsi="Times New Roman" w:eastAsia="宋体" w:cs="Times New Roman"/>
                      <w:color w:val="auto"/>
                      <w:sz w:val="21"/>
                      <w:szCs w:val="21"/>
                      <w:highlight w:val="none"/>
                    </w:rPr>
                    <w:t>/吨</w:t>
                  </w:r>
                  <w:r>
                    <w:rPr>
                      <w:rFonts w:hint="eastAsia" w:ascii="Times New Roman" w:hAnsi="Times New Roman" w:eastAsia="宋体" w:cs="Times New Roman"/>
                      <w:color w:val="auto"/>
                      <w:sz w:val="21"/>
                      <w:szCs w:val="21"/>
                      <w:highlight w:val="none"/>
                      <w:lang w:val="en-US" w:eastAsia="zh-CN"/>
                    </w:rPr>
                    <w:t>产品</w:t>
                  </w:r>
                </w:p>
              </w:tc>
              <w:tc>
                <w:tcPr>
                  <w:tcW w:w="500"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0.13 </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袋式除尘</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99.7 </w:t>
                  </w:r>
                </w:p>
              </w:tc>
            </w:tr>
            <w:tr>
              <w:tblPrEx>
                <w:tblCellMar>
                  <w:top w:w="0" w:type="dxa"/>
                  <w:left w:w="0" w:type="dxa"/>
                  <w:bottom w:w="0" w:type="dxa"/>
                  <w:right w:w="0" w:type="dxa"/>
                </w:tblCellMar>
              </w:tblPrEx>
              <w:trPr>
                <w:trHeight w:val="283" w:hRule="atLeast"/>
                <w:jc w:val="center"/>
              </w:trPr>
              <w:tc>
                <w:tcPr>
                  <w:tcW w:w="390" w:type="pct"/>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311"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02"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96"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77"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546"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992"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50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直排 </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CellMar>
                  <w:top w:w="0" w:type="dxa"/>
                  <w:left w:w="0" w:type="dxa"/>
                  <w:bottom w:w="0" w:type="dxa"/>
                  <w:right w:w="0" w:type="dxa"/>
                </w:tblCellMar>
              </w:tblPrEx>
              <w:trPr>
                <w:trHeight w:val="283" w:hRule="atLeast"/>
                <w:jc w:val="center"/>
              </w:trPr>
              <w:tc>
                <w:tcPr>
                  <w:tcW w:w="390" w:type="pct"/>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物料</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搅拌</w:t>
                  </w:r>
                </w:p>
              </w:tc>
              <w:tc>
                <w:tcPr>
                  <w:tcW w:w="311"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02"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96"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物料</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混合</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搅拌</w:t>
                  </w:r>
                </w:p>
              </w:tc>
              <w:tc>
                <w:tcPr>
                  <w:tcW w:w="377"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所有</w:t>
                  </w:r>
                </w:p>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规模</w:t>
                  </w:r>
                </w:p>
              </w:tc>
              <w:tc>
                <w:tcPr>
                  <w:tcW w:w="546"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废气量</w:t>
                  </w:r>
                </w:p>
              </w:tc>
              <w:tc>
                <w:tcPr>
                  <w:tcW w:w="992"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标立方米/吨</w:t>
                  </w:r>
                  <w:r>
                    <w:rPr>
                      <w:rFonts w:hint="eastAsia" w:ascii="Times New Roman" w:hAnsi="Times New Roman" w:eastAsia="宋体" w:cs="Times New Roman"/>
                      <w:color w:val="auto"/>
                      <w:sz w:val="21"/>
                      <w:szCs w:val="21"/>
                      <w:highlight w:val="none"/>
                      <w:lang w:val="en-US" w:eastAsia="zh-CN"/>
                    </w:rPr>
                    <w:t>产品</w:t>
                  </w:r>
                </w:p>
              </w:tc>
              <w:tc>
                <w:tcPr>
                  <w:tcW w:w="500" w:type="pc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25 </w:t>
                  </w:r>
                </w:p>
              </w:tc>
              <w:tc>
                <w:tcPr>
                  <w:tcW w:w="636" w:type="pct"/>
                  <w:tcBorders>
                    <w:top w:val="single" w:color="000000" w:sz="4" w:space="0"/>
                    <w:left w:val="single" w:color="000000" w:sz="4" w:space="0"/>
                    <w:bottom w:val="single" w:color="000000" w:sz="8"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544" w:type="pct"/>
                  <w:tcBorders>
                    <w:top w:val="single" w:color="000000" w:sz="4" w:space="0"/>
                    <w:left w:val="single" w:color="000000" w:sz="4" w:space="0"/>
                    <w:bottom w:val="single" w:color="000000" w:sz="8"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CellMar>
                  <w:top w:w="0" w:type="dxa"/>
                  <w:left w:w="0" w:type="dxa"/>
                  <w:bottom w:w="0" w:type="dxa"/>
                  <w:right w:w="0" w:type="dxa"/>
                </w:tblCellMar>
              </w:tblPrEx>
              <w:trPr>
                <w:trHeight w:val="283" w:hRule="atLeast"/>
                <w:jc w:val="center"/>
              </w:trPr>
              <w:tc>
                <w:tcPr>
                  <w:tcW w:w="390" w:type="pct"/>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11"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02"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96"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77"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546"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颗粒物</w:t>
                  </w:r>
                </w:p>
              </w:tc>
              <w:tc>
                <w:tcPr>
                  <w:tcW w:w="992"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千克</w:t>
                  </w:r>
                  <w:r>
                    <w:rPr>
                      <w:rFonts w:hint="default" w:ascii="Times New Roman" w:hAnsi="Times New Roman" w:eastAsia="宋体" w:cs="Times New Roman"/>
                      <w:color w:val="auto"/>
                      <w:sz w:val="21"/>
                      <w:szCs w:val="21"/>
                      <w:highlight w:val="none"/>
                    </w:rPr>
                    <w:t>/吨</w:t>
                  </w:r>
                  <w:r>
                    <w:rPr>
                      <w:rFonts w:hint="eastAsia" w:ascii="Times New Roman" w:hAnsi="Times New Roman" w:eastAsia="宋体" w:cs="Times New Roman"/>
                      <w:color w:val="auto"/>
                      <w:sz w:val="21"/>
                      <w:szCs w:val="21"/>
                      <w:highlight w:val="none"/>
                      <w:lang w:val="en-US" w:eastAsia="zh-CN"/>
                    </w:rPr>
                    <w:t>产品</w:t>
                  </w:r>
                </w:p>
              </w:tc>
              <w:tc>
                <w:tcPr>
                  <w:tcW w:w="500" w:type="pct"/>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0.166 </w:t>
                  </w:r>
                </w:p>
              </w:tc>
              <w:tc>
                <w:tcPr>
                  <w:tcW w:w="636" w:type="pct"/>
                  <w:tcBorders>
                    <w:top w:val="single" w:color="000000" w:sz="8" w:space="0"/>
                    <w:left w:val="single" w:color="000000" w:sz="4" w:space="0"/>
                    <w:bottom w:val="single" w:color="000000" w:sz="8"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袋式除尘</w:t>
                  </w:r>
                </w:p>
              </w:tc>
              <w:tc>
                <w:tcPr>
                  <w:tcW w:w="544" w:type="pct"/>
                  <w:tcBorders>
                    <w:top w:val="single" w:color="000000" w:sz="8" w:space="0"/>
                    <w:left w:val="single" w:color="000000" w:sz="4" w:space="0"/>
                    <w:bottom w:val="single" w:color="000000" w:sz="8"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99.7 </w:t>
                  </w:r>
                </w:p>
              </w:tc>
            </w:tr>
            <w:tr>
              <w:tblPrEx>
                <w:tblCellMar>
                  <w:top w:w="0" w:type="dxa"/>
                  <w:left w:w="0" w:type="dxa"/>
                  <w:bottom w:w="0" w:type="dxa"/>
                  <w:right w:w="0" w:type="dxa"/>
                </w:tblCellMar>
              </w:tblPrEx>
              <w:trPr>
                <w:trHeight w:val="283" w:hRule="atLeast"/>
                <w:jc w:val="center"/>
              </w:trPr>
              <w:tc>
                <w:tcPr>
                  <w:tcW w:w="390"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11"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02"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96"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377"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546"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992"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500" w:type="pct"/>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636" w:type="pct"/>
                  <w:tcBorders>
                    <w:top w:val="single" w:color="000000" w:sz="8"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直排 </w:t>
                  </w:r>
                </w:p>
              </w:tc>
              <w:tc>
                <w:tcPr>
                  <w:tcW w:w="544" w:type="pct"/>
                  <w:tcBorders>
                    <w:top w:val="single" w:color="000000" w:sz="8"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bl>
          <w:p>
            <w:pPr>
              <w:spacing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w:t>
            </w:r>
            <w:r>
              <w:rPr>
                <w:rFonts w:hint="default" w:ascii="Times New Roman" w:hAnsi="Times New Roman" w:eastAsia="宋体" w:cs="Times New Roman"/>
                <w:color w:val="auto"/>
                <w:sz w:val="21"/>
                <w:szCs w:val="21"/>
                <w:highlight w:val="none"/>
                <w:lang w:val="en-US" w:eastAsia="zh-CN"/>
              </w:rPr>
              <w:t>末端治理设施实际运行率 （K 值）计算公式</w:t>
            </w:r>
            <w:r>
              <w:rPr>
                <w:rFonts w:hint="eastAsia" w:ascii="Times New Roman" w:hAnsi="Times New Roman" w:eastAsia="宋体" w:cs="Times New Roman"/>
                <w:color w:val="auto"/>
                <w:sz w:val="21"/>
                <w:szCs w:val="21"/>
                <w:highlight w:val="none"/>
                <w:lang w:val="en-US" w:eastAsia="zh-CN"/>
              </w:rPr>
              <w:t>：K=治理设施正常运行小时数(小时/年)/企业正常运转小时数（小时/年）。</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①</w:t>
            </w:r>
            <w:r>
              <w:rPr>
                <w:rFonts w:hint="default" w:ascii="Times New Roman" w:hAnsi="Times New Roman" w:eastAsia="宋体" w:cs="Times New Roman"/>
                <w:sz w:val="24"/>
                <w:szCs w:val="24"/>
                <w:highlight w:val="none"/>
                <w:lang w:val="en-US" w:eastAsia="zh-CN"/>
              </w:rPr>
              <w:t xml:space="preserve">砂石堆棚扬尘 </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本项目原料堆棚主要堆存砂、石等骨料，在砂、石装卸过程中易形成扬尘。项目骨料中石子颗粒较大，其起尘主要是砂子和石子表面产生</w:t>
            </w:r>
            <w:r>
              <w:rPr>
                <w:rFonts w:hint="eastAsia" w:ascii="Times New Roman" w:hAnsi="Times New Roman" w:eastAsia="宋体" w:cs="Times New Roman"/>
                <w:sz w:val="24"/>
                <w:szCs w:val="24"/>
                <w:highlight w:val="none"/>
                <w:lang w:val="en-US" w:eastAsia="zh-CN"/>
              </w:rPr>
              <w:t>的风化</w:t>
            </w:r>
            <w:r>
              <w:rPr>
                <w:rFonts w:hint="default" w:ascii="Times New Roman" w:hAnsi="Times New Roman" w:eastAsia="宋体" w:cs="Times New Roman"/>
                <w:sz w:val="24"/>
                <w:szCs w:val="24"/>
                <w:highlight w:val="none"/>
                <w:lang w:val="en-US" w:eastAsia="zh-CN"/>
              </w:rPr>
              <w:t>粉尘，</w:t>
            </w:r>
            <w:r>
              <w:rPr>
                <w:rFonts w:hint="eastAsia" w:ascii="Times New Roman" w:hAnsi="Times New Roman" w:eastAsia="宋体" w:cs="Times New Roman"/>
                <w:sz w:val="24"/>
                <w:szCs w:val="24"/>
                <w:highlight w:val="none"/>
                <w:lang w:val="en-US" w:eastAsia="zh-CN"/>
              </w:rPr>
              <w:t>保持</w:t>
            </w:r>
            <w:r>
              <w:rPr>
                <w:rFonts w:hint="default" w:ascii="Times New Roman" w:hAnsi="Times New Roman" w:eastAsia="宋体" w:cs="Times New Roman"/>
                <w:sz w:val="24"/>
                <w:szCs w:val="24"/>
                <w:highlight w:val="none"/>
                <w:lang w:val="en-US" w:eastAsia="zh-CN"/>
              </w:rPr>
              <w:t>砂子和石子表面</w:t>
            </w:r>
            <w:r>
              <w:rPr>
                <w:rFonts w:hint="eastAsia" w:ascii="Times New Roman" w:hAnsi="Times New Roman" w:eastAsia="宋体" w:cs="Times New Roman"/>
                <w:sz w:val="24"/>
                <w:szCs w:val="24"/>
                <w:highlight w:val="none"/>
                <w:lang w:val="en-US" w:eastAsia="zh-CN"/>
              </w:rPr>
              <w:t>湿润</w:t>
            </w:r>
            <w:r>
              <w:rPr>
                <w:rFonts w:hint="default" w:ascii="Times New Roman" w:hAnsi="Times New Roman" w:eastAsia="宋体" w:cs="Times New Roman"/>
                <w:sz w:val="24"/>
                <w:szCs w:val="24"/>
                <w:highlight w:val="none"/>
                <w:lang w:val="en-US" w:eastAsia="zh-CN"/>
              </w:rPr>
              <w:t>即可将该部分粉尘降至最低。本项目采用封闭式厂房和封闭式输送管道，原料装卸均在封闭厂房内进行，并在厂房顶部设置喷淋系统，进行喷雾处理，保持砂堆表层湿润，防止装卸料产生的扬尘。</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sz w:val="24"/>
                <w:szCs w:val="24"/>
                <w:highlight w:val="none"/>
                <w:lang w:val="en-US" w:eastAsia="zh-CN"/>
              </w:rPr>
              <w:t>本次评价参考《逸散性工业粉尘控制技术》粒料加工厂中砂和粒料贮堆的逸散系数，砂石排放因子为0.006kg/t，碎石排放因子为0.007kg/t。</w:t>
            </w:r>
            <w:r>
              <w:rPr>
                <w:rFonts w:hint="default" w:ascii="Times New Roman" w:hAnsi="Times New Roman" w:eastAsia="宋体" w:cs="Times New Roman"/>
                <w:color w:val="0000FF"/>
                <w:sz w:val="24"/>
                <w:szCs w:val="24"/>
                <w:highlight w:val="none"/>
                <w:lang w:val="en-US" w:eastAsia="zh-CN"/>
              </w:rPr>
              <w:t>项目使用机制砂</w:t>
            </w:r>
            <w:r>
              <w:rPr>
                <w:rFonts w:hint="eastAsia" w:ascii="Times New Roman" w:hAnsi="Times New Roman" w:eastAsia="宋体" w:cs="Times New Roman"/>
                <w:color w:val="0000FF"/>
                <w:sz w:val="24"/>
                <w:szCs w:val="24"/>
                <w:highlight w:val="none"/>
                <w:lang w:val="en-US" w:eastAsia="zh-CN"/>
              </w:rPr>
              <w:t>519000</w:t>
            </w:r>
            <w:r>
              <w:rPr>
                <w:rFonts w:hint="default" w:ascii="Times New Roman" w:hAnsi="Times New Roman" w:eastAsia="宋体" w:cs="Times New Roman"/>
                <w:color w:val="0000FF"/>
                <w:sz w:val="24"/>
                <w:szCs w:val="24"/>
                <w:highlight w:val="none"/>
                <w:lang w:val="en-US" w:eastAsia="zh-CN"/>
              </w:rPr>
              <w:t>t/a，使用碎石</w:t>
            </w:r>
            <w:r>
              <w:rPr>
                <w:rFonts w:hint="eastAsia" w:ascii="Times New Roman" w:hAnsi="Times New Roman" w:eastAsia="宋体" w:cs="Times New Roman"/>
                <w:color w:val="0000FF"/>
                <w:sz w:val="24"/>
                <w:szCs w:val="24"/>
                <w:highlight w:val="none"/>
                <w:lang w:val="en-US" w:eastAsia="zh-CN"/>
              </w:rPr>
              <w:t>594500</w:t>
            </w:r>
            <w:r>
              <w:rPr>
                <w:rFonts w:hint="default" w:ascii="Times New Roman" w:hAnsi="Times New Roman" w:eastAsia="宋体" w:cs="Times New Roman"/>
                <w:color w:val="0000FF"/>
                <w:sz w:val="24"/>
                <w:szCs w:val="24"/>
                <w:highlight w:val="none"/>
                <w:lang w:val="en-US" w:eastAsia="zh-CN"/>
              </w:rPr>
              <w:t>t/a，则</w:t>
            </w:r>
            <w:r>
              <w:rPr>
                <w:rFonts w:hint="eastAsia" w:ascii="Times New Roman" w:hAnsi="Times New Roman" w:eastAsia="宋体" w:cs="Times New Roman"/>
                <w:color w:val="0000FF"/>
                <w:sz w:val="24"/>
                <w:szCs w:val="24"/>
                <w:highlight w:val="none"/>
                <w:lang w:val="en-US" w:eastAsia="zh-CN"/>
              </w:rPr>
              <w:t>在不采取任何措施的情况下，</w:t>
            </w:r>
            <w:r>
              <w:rPr>
                <w:rFonts w:hint="default" w:ascii="Times New Roman" w:hAnsi="Times New Roman" w:eastAsia="宋体" w:cs="Times New Roman"/>
                <w:color w:val="0000FF"/>
                <w:sz w:val="24"/>
                <w:szCs w:val="24"/>
                <w:highlight w:val="none"/>
                <w:lang w:val="en-US" w:eastAsia="zh-CN"/>
              </w:rPr>
              <w:t>厂区内堆场机制砂扬尘产生量为</w:t>
            </w:r>
            <w:r>
              <w:rPr>
                <w:rFonts w:hint="eastAsia" w:ascii="Times New Roman" w:hAnsi="Times New Roman" w:eastAsia="宋体" w:cs="Times New Roman"/>
                <w:color w:val="0000FF"/>
                <w:sz w:val="24"/>
                <w:szCs w:val="24"/>
                <w:highlight w:val="none"/>
                <w:lang w:val="en-US" w:eastAsia="zh-CN"/>
              </w:rPr>
              <w:t>3.114</w:t>
            </w:r>
            <w:r>
              <w:rPr>
                <w:rFonts w:hint="default" w:ascii="Times New Roman" w:hAnsi="Times New Roman" w:eastAsia="宋体" w:cs="Times New Roman"/>
                <w:color w:val="0000FF"/>
                <w:sz w:val="24"/>
                <w:szCs w:val="24"/>
                <w:highlight w:val="none"/>
                <w:lang w:val="en-US" w:eastAsia="zh-CN"/>
              </w:rPr>
              <w:t>t/a</w:t>
            </w:r>
            <w:r>
              <w:rPr>
                <w:rFonts w:hint="eastAsia" w:ascii="Times New Roman" w:hAnsi="Times New Roman" w:eastAsia="宋体" w:cs="Times New Roman"/>
                <w:color w:val="0000FF"/>
                <w:sz w:val="24"/>
                <w:szCs w:val="24"/>
                <w:highlight w:val="none"/>
                <w:lang w:val="en-US" w:eastAsia="zh-CN"/>
              </w:rPr>
              <w:t>，碎石扬尘产生量为4.162</w:t>
            </w:r>
            <w:r>
              <w:rPr>
                <w:rFonts w:hint="default" w:ascii="Times New Roman" w:hAnsi="Times New Roman" w:eastAsia="宋体" w:cs="Times New Roman"/>
                <w:color w:val="0000FF"/>
                <w:sz w:val="24"/>
                <w:szCs w:val="24"/>
                <w:highlight w:val="none"/>
                <w:lang w:val="en-US" w:eastAsia="zh-CN"/>
              </w:rPr>
              <w:t>t/a</w:t>
            </w:r>
            <w:r>
              <w:rPr>
                <w:rFonts w:hint="eastAsia" w:ascii="Times New Roman" w:hAnsi="Times New Roman" w:eastAsia="宋体" w:cs="Times New Roman"/>
                <w:color w:val="0000FF"/>
                <w:sz w:val="24"/>
                <w:szCs w:val="24"/>
                <w:highlight w:val="none"/>
                <w:lang w:val="en-US" w:eastAsia="zh-CN"/>
              </w:rPr>
              <w:t>，合计扬尘7.276t/a。</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物料运输采用封闭式输送，堆场上方设置顶棚，三面设置挡墙，仅一侧设置输送进出口。进出口采用喷淋系统抑尘，约80%粉尘随水雾沉降在堆场中，其余20%无组织排放。</w:t>
            </w:r>
            <w:r>
              <w:rPr>
                <w:rFonts w:hint="default" w:ascii="Times New Roman" w:hAnsi="Times New Roman" w:eastAsia="宋体" w:cs="Times New Roman"/>
                <w:color w:val="0000FF"/>
                <w:sz w:val="24"/>
                <w:szCs w:val="24"/>
                <w:highlight w:val="none"/>
                <w:lang w:val="en-US" w:eastAsia="zh-CN"/>
              </w:rPr>
              <w:t>最终堆场扬尘排放量约</w:t>
            </w:r>
            <w:r>
              <w:rPr>
                <w:rFonts w:hint="eastAsia" w:ascii="Times New Roman" w:hAnsi="Times New Roman" w:eastAsia="宋体" w:cs="Times New Roman"/>
                <w:color w:val="0000FF"/>
                <w:sz w:val="24"/>
                <w:szCs w:val="24"/>
                <w:highlight w:val="none"/>
                <w:lang w:val="en-US" w:eastAsia="zh-CN"/>
              </w:rPr>
              <w:t>1.455</w:t>
            </w:r>
            <w:r>
              <w:rPr>
                <w:rFonts w:hint="default" w:ascii="Times New Roman" w:hAnsi="Times New Roman" w:eastAsia="宋体" w:cs="Times New Roman"/>
                <w:color w:val="0000FF"/>
                <w:sz w:val="24"/>
                <w:szCs w:val="24"/>
                <w:highlight w:val="none"/>
                <w:lang w:val="en-US" w:eastAsia="zh-CN"/>
              </w:rPr>
              <w:t xml:space="preserve">t/a。 </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②</w:t>
            </w:r>
            <w:r>
              <w:rPr>
                <w:rFonts w:hint="default" w:ascii="Times New Roman" w:hAnsi="Times New Roman" w:eastAsia="宋体" w:cs="Times New Roman"/>
                <w:sz w:val="24"/>
                <w:szCs w:val="24"/>
                <w:highlight w:val="none"/>
                <w:lang w:val="en-US" w:eastAsia="zh-CN"/>
              </w:rPr>
              <w:t>筒仓粉尘</w:t>
            </w:r>
          </w:p>
          <w:p>
            <w:pPr>
              <w:spacing w:line="360" w:lineRule="auto"/>
              <w:ind w:firstLine="480" w:firstLineChars="200"/>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sz w:val="24"/>
                <w:szCs w:val="24"/>
                <w:highlight w:val="none"/>
              </w:rPr>
              <w:t>本项目生产用粉状原料主要为水泥、矿粉、粉煤灰，</w:t>
            </w:r>
            <w:r>
              <w:rPr>
                <w:rFonts w:hint="eastAsia" w:ascii="Times New Roman" w:hAnsi="Times New Roman" w:eastAsia="宋体" w:cs="Times New Roman"/>
                <w:sz w:val="24"/>
                <w:szCs w:val="24"/>
                <w:highlight w:val="none"/>
                <w:lang w:val="en-US" w:eastAsia="zh-CN"/>
              </w:rPr>
              <w:t>经密闭管道抽送至</w:t>
            </w:r>
            <w:r>
              <w:rPr>
                <w:rFonts w:hint="default" w:ascii="Times New Roman" w:hAnsi="Times New Roman" w:eastAsia="宋体" w:cs="Times New Roman"/>
                <w:sz w:val="24"/>
                <w:szCs w:val="24"/>
                <w:highlight w:val="none"/>
              </w:rPr>
              <w:t>原料筒仓内部，筒仓会产生一定量的粉尘，产生的粉尘通过安装的脉冲反吹布袋除尘器处理后排放</w:t>
            </w:r>
            <w:r>
              <w:rPr>
                <w:rFonts w:hint="eastAsia" w:ascii="Times New Roman" w:hAnsi="Times New Roman" w:eastAsia="宋体" w:cs="Times New Roman"/>
                <w:color w:val="0000FF"/>
                <w:sz w:val="24"/>
                <w:szCs w:val="24"/>
                <w:highlight w:val="none"/>
                <w:lang w:val="en-US" w:eastAsia="zh-CN"/>
              </w:rPr>
              <w:t>至搅拌区车间，再经过</w:t>
            </w:r>
            <w:r>
              <w:rPr>
                <w:rFonts w:hint="eastAsia" w:ascii="Times New Roman" w:hAnsi="Times New Roman" w:eastAsia="宋体" w:cs="Times New Roman"/>
                <w:color w:val="0000FF"/>
                <w:sz w:val="24"/>
                <w:szCs w:val="24"/>
                <w:lang w:val="en-US" w:eastAsia="zh-CN"/>
              </w:rPr>
              <w:t>车间上方喷淋装置进一步处理后无组织排放。</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根据建设单位提供资料，本项目</w:t>
            </w:r>
            <w:r>
              <w:rPr>
                <w:rFonts w:hint="default" w:ascii="Times New Roman" w:hAnsi="Times New Roman" w:eastAsia="宋体" w:cs="Times New Roman"/>
                <w:sz w:val="24"/>
                <w:lang w:val="en-US" w:eastAsia="zh-CN"/>
              </w:rPr>
              <w:t>年</w:t>
            </w:r>
            <w:r>
              <w:rPr>
                <w:rFonts w:hint="default" w:ascii="Times New Roman" w:hAnsi="Times New Roman" w:eastAsia="宋体" w:cs="Times New Roman"/>
                <w:sz w:val="24"/>
                <w:szCs w:val="24"/>
                <w:lang w:val="en-US" w:eastAsia="zh-CN"/>
              </w:rPr>
              <w:t>生产商品混凝土</w:t>
            </w:r>
            <w:r>
              <w:rPr>
                <w:rFonts w:hint="eastAsia" w:ascii="Times New Roman" w:hAnsi="Times New Roman" w:eastAsia="宋体" w:cs="Times New Roman"/>
                <w:sz w:val="24"/>
                <w:szCs w:val="24"/>
                <w:lang w:val="en-US" w:eastAsia="zh-CN"/>
              </w:rPr>
              <w:t>约</w:t>
            </w:r>
            <w:r>
              <w:rPr>
                <w:rFonts w:hint="default" w:ascii="Times New Roman" w:hAnsi="Times New Roman" w:eastAsia="宋体" w:cs="Times New Roman"/>
                <w:sz w:val="24"/>
                <w:szCs w:val="24"/>
                <w:lang w:val="en-US" w:eastAsia="zh-CN"/>
              </w:rPr>
              <w:t>144万t/a</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厂区</w:t>
            </w:r>
            <w:r>
              <w:rPr>
                <w:rFonts w:hint="default" w:ascii="Times New Roman" w:hAnsi="Times New Roman" w:eastAsia="宋体" w:cs="Times New Roman"/>
                <w:sz w:val="24"/>
                <w:szCs w:val="24"/>
                <w:highlight w:val="none"/>
              </w:rPr>
              <w:t>设置水泥筒仓4个，矿粉筒仓2个，粉煤灰筒仓2个，每个原料筒仓设置仓顶排气口。各原料筒仓分别加装脉冲反吹布袋除尘器，除尘效率可达到99.7%以上。</w:t>
            </w:r>
            <w:r>
              <w:rPr>
                <w:rFonts w:hint="eastAsia" w:ascii="Times New Roman" w:hAnsi="Times New Roman" w:eastAsia="宋体" w:cs="Times New Roman"/>
                <w:sz w:val="24"/>
                <w:szCs w:val="24"/>
                <w:highlight w:val="none"/>
                <w:lang w:val="en-US" w:eastAsia="zh-CN"/>
              </w:rPr>
              <w:t>物料入仓工序产生的颗粒物总量为187.2t/a</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产生速率为考虑到营运期粉料筒仓自带的</w:t>
            </w:r>
            <w:r>
              <w:rPr>
                <w:rFonts w:hint="default" w:ascii="Times New Roman" w:hAnsi="Times New Roman" w:eastAsia="宋体" w:cs="Times New Roman"/>
                <w:sz w:val="24"/>
                <w:szCs w:val="24"/>
                <w:highlight w:val="none"/>
                <w:lang w:val="en-US" w:eastAsia="zh-CN"/>
              </w:rPr>
              <w:t>脉冲反吹布袋除尘器</w:t>
            </w:r>
            <w:r>
              <w:rPr>
                <w:rFonts w:hint="eastAsia" w:ascii="Times New Roman" w:hAnsi="Times New Roman" w:eastAsia="宋体" w:cs="Times New Roman"/>
                <w:sz w:val="24"/>
                <w:szCs w:val="24"/>
                <w:highlight w:val="none"/>
                <w:lang w:val="en-US" w:eastAsia="zh-CN"/>
              </w:rPr>
              <w:t>有发生故障的可能性，项目设置了2条混凝土生产线，每条混凝土生产线配置2个水泥筒仓、1个矿粉筒仓和1个粉煤灰筒仓。若发现1个筒仓除尘器故障，就会中断该筒仓涉及的混凝土生产线。根据建设单位估算，筒仓</w:t>
            </w:r>
            <w:r>
              <w:rPr>
                <w:rFonts w:hint="default" w:ascii="Times New Roman" w:hAnsi="Times New Roman" w:eastAsia="宋体" w:cs="Times New Roman"/>
                <w:sz w:val="24"/>
                <w:szCs w:val="24"/>
                <w:highlight w:val="none"/>
                <w:lang w:val="en-US" w:eastAsia="zh-CN"/>
              </w:rPr>
              <w:t>末端治理设施实际运行率</w:t>
            </w:r>
            <w:r>
              <w:rPr>
                <w:rFonts w:hint="eastAsia" w:ascii="Times New Roman" w:hAnsi="Times New Roman" w:eastAsia="宋体" w:cs="Times New Roman"/>
                <w:sz w:val="24"/>
                <w:szCs w:val="24"/>
                <w:highlight w:val="none"/>
                <w:lang w:val="en-US" w:eastAsia="zh-CN"/>
              </w:rPr>
              <w:t>按95%考虑，则项目</w:t>
            </w:r>
            <w:r>
              <w:rPr>
                <w:rFonts w:hint="default" w:ascii="Times New Roman" w:hAnsi="Times New Roman" w:eastAsia="宋体" w:cs="Times New Roman"/>
                <w:sz w:val="24"/>
                <w:szCs w:val="24"/>
                <w:highlight w:val="none"/>
                <w:lang w:val="en-US" w:eastAsia="zh-CN"/>
              </w:rPr>
              <w:t>脉冲反吹布袋除尘器</w:t>
            </w:r>
            <w:r>
              <w:rPr>
                <w:rFonts w:hint="eastAsia" w:ascii="Times New Roman" w:hAnsi="Times New Roman" w:eastAsia="宋体" w:cs="Times New Roman"/>
                <w:sz w:val="24"/>
                <w:szCs w:val="24"/>
                <w:highlight w:val="none"/>
                <w:lang w:val="en-US" w:eastAsia="zh-CN"/>
              </w:rPr>
              <w:t>收集除尘灰177.31t/a，经筒仓呼吸口排放至搅拌区车间的颗粒物排放</w:t>
            </w:r>
            <w:r>
              <w:rPr>
                <w:rFonts w:hint="default" w:ascii="Times New Roman" w:hAnsi="Times New Roman" w:eastAsia="宋体" w:cs="Times New Roman"/>
                <w:sz w:val="24"/>
                <w:szCs w:val="24"/>
                <w:highlight w:val="none"/>
                <w:lang w:val="en-US" w:eastAsia="zh-CN"/>
              </w:rPr>
              <w:t>量</w:t>
            </w:r>
            <w:r>
              <w:rPr>
                <w:rFonts w:hint="eastAsia" w:ascii="Times New Roman" w:hAnsi="Times New Roman" w:eastAsia="宋体" w:cs="Times New Roman"/>
                <w:sz w:val="24"/>
                <w:szCs w:val="24"/>
                <w:highlight w:val="none"/>
                <w:lang w:val="en-US" w:eastAsia="zh-CN"/>
              </w:rPr>
              <w:t>9.89t/a。</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none"/>
                <w:lang w:val="en-US" w:eastAsia="zh-CN"/>
              </w:rPr>
              <w:t>③</w:t>
            </w:r>
            <w:r>
              <w:rPr>
                <w:rFonts w:hint="default" w:ascii="Times New Roman" w:hAnsi="Times New Roman" w:eastAsia="宋体" w:cs="Times New Roman"/>
                <w:sz w:val="24"/>
                <w:szCs w:val="24"/>
                <w:highlight w:val="none"/>
              </w:rPr>
              <w:t> 搅拌粉尘</w:t>
            </w:r>
          </w:p>
          <w:p>
            <w:pPr>
              <w:spacing w:line="360" w:lineRule="auto"/>
              <w:ind w:firstLine="480" w:firstLineChars="200"/>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sz w:val="24"/>
                <w:szCs w:val="24"/>
                <w:highlight w:val="none"/>
              </w:rPr>
              <w:t>本项目生产过程中设置搅拌</w:t>
            </w:r>
            <w:r>
              <w:rPr>
                <w:rFonts w:hint="eastAsia" w:ascii="Times New Roman" w:hAnsi="Times New Roman" w:eastAsia="宋体" w:cs="Times New Roman"/>
                <w:sz w:val="24"/>
                <w:szCs w:val="24"/>
                <w:highlight w:val="none"/>
                <w:lang w:val="en-US" w:eastAsia="zh-CN"/>
              </w:rPr>
              <w:t>站</w:t>
            </w: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个</w:t>
            </w:r>
            <w:r>
              <w:rPr>
                <w:rFonts w:hint="default" w:ascii="Times New Roman" w:hAnsi="Times New Roman" w:eastAsia="宋体" w:cs="Times New Roman"/>
                <w:sz w:val="24"/>
                <w:szCs w:val="24"/>
                <w:highlight w:val="none"/>
              </w:rPr>
              <w:t>，配料时会产生</w:t>
            </w:r>
            <w:r>
              <w:rPr>
                <w:rFonts w:hint="default" w:ascii="Times New Roman" w:hAnsi="Times New Roman" w:eastAsia="宋体" w:cs="Times New Roman"/>
                <w:sz w:val="24"/>
                <w:szCs w:val="24"/>
                <w:highlight w:val="none"/>
                <w:lang w:val="en-US" w:eastAsia="zh-CN"/>
              </w:rPr>
              <w:t>粉尘，搅拌</w:t>
            </w:r>
            <w:r>
              <w:rPr>
                <w:rFonts w:hint="eastAsia" w:ascii="Times New Roman" w:hAnsi="Times New Roman" w:eastAsia="宋体" w:cs="Times New Roman"/>
                <w:sz w:val="24"/>
                <w:szCs w:val="24"/>
                <w:highlight w:val="none"/>
                <w:lang w:val="en-US" w:eastAsia="zh-CN"/>
              </w:rPr>
              <w:t>站密闭</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且</w:t>
            </w:r>
            <w:r>
              <w:rPr>
                <w:rFonts w:hint="default" w:ascii="Times New Roman" w:hAnsi="Times New Roman" w:eastAsia="宋体" w:cs="Times New Roman"/>
                <w:sz w:val="24"/>
                <w:szCs w:val="24"/>
                <w:highlight w:val="none"/>
                <w:lang w:val="en-US" w:eastAsia="zh-CN"/>
              </w:rPr>
              <w:t>进料口处自带除尘器</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FF0000"/>
                <w:sz w:val="24"/>
                <w:szCs w:val="24"/>
                <w:highlight w:val="none"/>
              </w:rPr>
              <w:t>其除尘效率可达99.</w:t>
            </w:r>
            <w:r>
              <w:rPr>
                <w:rFonts w:hint="eastAsia" w:ascii="Times New Roman" w:hAnsi="Times New Roman" w:eastAsia="宋体" w:cs="Times New Roman"/>
                <w:color w:val="FF0000"/>
                <w:sz w:val="24"/>
                <w:szCs w:val="24"/>
                <w:highlight w:val="none"/>
                <w:lang w:val="en-US" w:eastAsia="zh-CN"/>
              </w:rPr>
              <w:t>7</w:t>
            </w:r>
            <w:r>
              <w:rPr>
                <w:rFonts w:hint="default" w:ascii="Times New Roman" w:hAnsi="Times New Roman" w:eastAsia="宋体" w:cs="Times New Roman"/>
                <w:color w:val="FF0000"/>
                <w:sz w:val="24"/>
                <w:szCs w:val="24"/>
                <w:highlight w:val="none"/>
              </w:rPr>
              <w:t>%以上</w:t>
            </w:r>
            <w:r>
              <w:rPr>
                <w:rFonts w:hint="default" w:ascii="Times New Roman" w:hAnsi="Times New Roman" w:eastAsia="宋体" w:cs="Times New Roman"/>
                <w:sz w:val="24"/>
                <w:szCs w:val="24"/>
                <w:highlight w:val="none"/>
              </w:rPr>
              <w:t>，经处理后排放</w:t>
            </w:r>
            <w:r>
              <w:rPr>
                <w:rFonts w:hint="eastAsia" w:ascii="Times New Roman" w:hAnsi="Times New Roman" w:eastAsia="宋体" w:cs="Times New Roman"/>
                <w:color w:val="0000FF"/>
                <w:sz w:val="24"/>
                <w:szCs w:val="24"/>
                <w:highlight w:val="none"/>
                <w:lang w:val="en-US" w:eastAsia="zh-CN"/>
              </w:rPr>
              <w:t>至搅拌区车间，再经过</w:t>
            </w:r>
            <w:r>
              <w:rPr>
                <w:rFonts w:hint="eastAsia" w:ascii="Times New Roman" w:hAnsi="Times New Roman" w:eastAsia="宋体" w:cs="Times New Roman"/>
                <w:color w:val="0000FF"/>
                <w:sz w:val="24"/>
                <w:szCs w:val="24"/>
                <w:lang w:val="en-US" w:eastAsia="zh-CN"/>
              </w:rPr>
              <w:t>车间上方喷淋装置进一步处理后无组织排放。</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搅拌工序</w:t>
            </w:r>
            <w:r>
              <w:rPr>
                <w:rFonts w:hint="eastAsia" w:ascii="Times New Roman" w:hAnsi="Times New Roman" w:eastAsia="宋体" w:cs="Times New Roman"/>
                <w:sz w:val="24"/>
                <w:szCs w:val="24"/>
                <w:highlight w:val="none"/>
                <w:lang w:val="en-US" w:eastAsia="zh-CN"/>
              </w:rPr>
              <w:t>产生的颗粒物总量为239.04t/a，根据建设单位估算，搅拌机</w:t>
            </w:r>
            <w:r>
              <w:rPr>
                <w:rFonts w:hint="default" w:ascii="Times New Roman" w:hAnsi="Times New Roman" w:eastAsia="宋体" w:cs="Times New Roman"/>
                <w:sz w:val="24"/>
                <w:szCs w:val="24"/>
                <w:highlight w:val="none"/>
                <w:lang w:val="en-US" w:eastAsia="zh-CN"/>
              </w:rPr>
              <w:t>末端治理设施实际运行率</w:t>
            </w:r>
            <w:r>
              <w:rPr>
                <w:rFonts w:hint="eastAsia" w:ascii="Times New Roman" w:hAnsi="Times New Roman" w:eastAsia="宋体" w:cs="Times New Roman"/>
                <w:sz w:val="24"/>
                <w:szCs w:val="24"/>
                <w:highlight w:val="none"/>
                <w:lang w:val="en-US" w:eastAsia="zh-CN"/>
              </w:rPr>
              <w:t>按97.5%考虑，则项目</w:t>
            </w:r>
            <w:r>
              <w:rPr>
                <w:rFonts w:hint="default" w:ascii="Times New Roman" w:hAnsi="Times New Roman" w:eastAsia="宋体" w:cs="Times New Roman"/>
                <w:sz w:val="24"/>
                <w:szCs w:val="24"/>
                <w:highlight w:val="none"/>
                <w:lang w:val="en-US" w:eastAsia="zh-CN"/>
              </w:rPr>
              <w:t>除尘器</w:t>
            </w:r>
            <w:r>
              <w:rPr>
                <w:rFonts w:hint="eastAsia" w:ascii="Times New Roman" w:hAnsi="Times New Roman" w:eastAsia="宋体" w:cs="Times New Roman"/>
                <w:sz w:val="24"/>
                <w:szCs w:val="24"/>
                <w:highlight w:val="none"/>
                <w:lang w:val="en-US" w:eastAsia="zh-CN"/>
              </w:rPr>
              <w:t>收集除尘灰232.36t/a，排放至搅拌区车间的颗粒物排放</w:t>
            </w:r>
            <w:r>
              <w:rPr>
                <w:rFonts w:hint="default" w:ascii="Times New Roman" w:hAnsi="Times New Roman" w:eastAsia="宋体" w:cs="Times New Roman"/>
                <w:sz w:val="24"/>
                <w:szCs w:val="24"/>
                <w:highlight w:val="none"/>
                <w:lang w:val="en-US" w:eastAsia="zh-CN"/>
              </w:rPr>
              <w:t>量</w:t>
            </w:r>
            <w:r>
              <w:rPr>
                <w:rFonts w:hint="eastAsia" w:ascii="Times New Roman" w:hAnsi="Times New Roman" w:eastAsia="宋体" w:cs="Times New Roman"/>
                <w:sz w:val="24"/>
                <w:szCs w:val="24"/>
                <w:highlight w:val="none"/>
                <w:lang w:val="en-US" w:eastAsia="zh-CN"/>
              </w:rPr>
              <w:t>6.68t/a。</w:t>
            </w:r>
          </w:p>
          <w:p>
            <w:pPr>
              <w:spacing w:line="360" w:lineRule="auto"/>
              <w:ind w:firstLine="480" w:firstLineChars="200"/>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筒仓粉尘和搅拌粉尘经除尘器除尘后排放在搅拌区车间内，排放量共计16.57</w:t>
            </w:r>
            <w:r>
              <w:rPr>
                <w:rFonts w:hint="eastAsia" w:ascii="Times New Roman" w:hAnsi="Times New Roman" w:eastAsia="宋体" w:cs="Times New Roman"/>
                <w:color w:val="0000FF"/>
                <w:sz w:val="24"/>
                <w:szCs w:val="24"/>
                <w:highlight w:val="none"/>
                <w:lang w:val="en-US" w:eastAsia="zh-CN"/>
              </w:rPr>
              <w:t>t/a，</w:t>
            </w:r>
            <w:r>
              <w:rPr>
                <w:rFonts w:hint="eastAsia" w:ascii="Times New Roman" w:hAnsi="Times New Roman" w:eastAsia="宋体" w:cs="Times New Roman"/>
                <w:color w:val="0000FF"/>
                <w:sz w:val="24"/>
                <w:szCs w:val="24"/>
                <w:lang w:val="en-US" w:eastAsia="zh-CN"/>
              </w:rPr>
              <w:t>经车间上方喷淋装置进一步处理后无组织排放。喷淋装置除尘效率约80%，筒仓及搅拌机粉尘进入大气环境的排放量为3.32t/a。</w:t>
            </w:r>
          </w:p>
          <w:p>
            <w:pPr>
              <w:spacing w:line="360" w:lineRule="auto"/>
              <w:ind w:firstLine="480" w:firstLineChars="200"/>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sz w:val="24"/>
                <w:szCs w:val="24"/>
                <w:highlight w:val="none"/>
                <w:lang w:val="en-US" w:eastAsia="zh-CN"/>
              </w:rPr>
              <w:t>④</w:t>
            </w:r>
            <w:r>
              <w:rPr>
                <w:rFonts w:hint="default" w:ascii="Times New Roman" w:hAnsi="Times New Roman" w:eastAsia="宋体" w:cs="Times New Roman"/>
                <w:kern w:val="0"/>
                <w:sz w:val="24"/>
                <w:szCs w:val="24"/>
                <w:highlight w:val="none"/>
              </w:rPr>
              <w:t>运输扬尘</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原料需运输至厂内砂石原料堆棚、产品需运至各工地，其运输车辆在本项目区内道路上行驶时均会产生一定的扬尘，本项目原材料及产品</w:t>
            </w:r>
            <w:r>
              <w:rPr>
                <w:rFonts w:hint="eastAsia" w:ascii="Times New Roman" w:hAnsi="Times New Roman" w:eastAsia="宋体" w:cs="Times New Roman"/>
                <w:sz w:val="24"/>
                <w:szCs w:val="24"/>
                <w:highlight w:val="none"/>
                <w:lang w:val="en-US" w:eastAsia="zh-CN"/>
              </w:rPr>
              <w:t>物料</w:t>
            </w:r>
            <w:r>
              <w:rPr>
                <w:rFonts w:hint="default" w:ascii="Times New Roman" w:hAnsi="Times New Roman" w:eastAsia="宋体" w:cs="Times New Roman"/>
                <w:sz w:val="24"/>
                <w:szCs w:val="24"/>
                <w:highlight w:val="none"/>
                <w:lang w:val="en-US" w:eastAsia="zh-CN"/>
              </w:rPr>
              <w:t>年运输量约为</w:t>
            </w:r>
            <w:r>
              <w:rPr>
                <w:rFonts w:hint="eastAsia" w:ascii="Times New Roman" w:hAnsi="Times New Roman" w:eastAsia="宋体" w:cs="Times New Roman"/>
                <w:color w:val="0000FF"/>
                <w:sz w:val="24"/>
                <w:szCs w:val="24"/>
                <w:highlight w:val="none"/>
                <w:lang w:val="en-US" w:eastAsia="zh-CN"/>
              </w:rPr>
              <w:t>2772000</w:t>
            </w:r>
            <w:r>
              <w:rPr>
                <w:rFonts w:hint="default" w:ascii="Times New Roman" w:hAnsi="Times New Roman" w:eastAsia="宋体" w:cs="Times New Roman"/>
                <w:color w:val="0000FF"/>
                <w:sz w:val="24"/>
                <w:szCs w:val="24"/>
                <w:highlight w:val="none"/>
                <w:lang w:val="en-US" w:eastAsia="zh-CN"/>
              </w:rPr>
              <w:t>吨，则运营期车流量约为</w:t>
            </w:r>
            <w:r>
              <w:rPr>
                <w:rFonts w:hint="eastAsia" w:ascii="Times New Roman" w:hAnsi="Times New Roman" w:eastAsia="宋体" w:cs="Times New Roman"/>
                <w:color w:val="0000FF"/>
                <w:sz w:val="24"/>
                <w:szCs w:val="24"/>
                <w:highlight w:val="none"/>
                <w:lang w:val="en-US" w:eastAsia="zh-CN"/>
              </w:rPr>
              <w:t>138600</w:t>
            </w:r>
            <w:r>
              <w:rPr>
                <w:rFonts w:hint="default" w:ascii="Times New Roman" w:hAnsi="Times New Roman" w:eastAsia="宋体" w:cs="Times New Roman"/>
                <w:color w:val="0000FF"/>
                <w:sz w:val="24"/>
                <w:szCs w:val="24"/>
                <w:highlight w:val="none"/>
                <w:lang w:val="en-US" w:eastAsia="zh-CN"/>
              </w:rPr>
              <w:t>车次/年（以20吨每车次计）</w:t>
            </w:r>
            <w:r>
              <w:rPr>
                <w:rFonts w:hint="eastAsia" w:ascii="Times New Roman" w:hAnsi="Times New Roman" w:eastAsia="宋体" w:cs="Times New Roman"/>
                <w:color w:val="0000FF"/>
                <w:sz w:val="24"/>
                <w:szCs w:val="24"/>
                <w:highlight w:val="none"/>
                <w:lang w:val="en-US" w:eastAsia="zh-CN"/>
              </w:rPr>
              <w:t>，420</w:t>
            </w:r>
            <w:r>
              <w:rPr>
                <w:rFonts w:hint="default" w:ascii="Times New Roman" w:hAnsi="Times New Roman" w:eastAsia="宋体" w:cs="Times New Roman"/>
                <w:color w:val="0000FF"/>
                <w:sz w:val="24"/>
                <w:szCs w:val="24"/>
                <w:highlight w:val="none"/>
                <w:lang w:val="en-US" w:eastAsia="zh-CN"/>
              </w:rPr>
              <w:t>车次/</w:t>
            </w:r>
            <w:r>
              <w:rPr>
                <w:rFonts w:hint="eastAsia" w:ascii="Times New Roman" w:hAnsi="Times New Roman" w:eastAsia="宋体" w:cs="Times New Roman"/>
                <w:color w:val="0000FF"/>
                <w:sz w:val="24"/>
                <w:szCs w:val="24"/>
                <w:highlight w:val="none"/>
                <w:lang w:val="en-US" w:eastAsia="zh-CN"/>
              </w:rPr>
              <w:t>天</w:t>
            </w:r>
            <w:r>
              <w:rPr>
                <w:rFonts w:hint="default" w:ascii="Times New Roman" w:hAnsi="Times New Roman" w:eastAsia="宋体" w:cs="Times New Roman"/>
                <w:color w:val="0000FF"/>
                <w:sz w:val="24"/>
                <w:szCs w:val="24"/>
                <w:highlight w:val="none"/>
                <w:lang w:val="en-US" w:eastAsia="zh-CN"/>
              </w:rPr>
              <w:t>。</w:t>
            </w:r>
            <w:r>
              <w:rPr>
                <w:rFonts w:hint="default" w:ascii="Times New Roman" w:hAnsi="Times New Roman" w:eastAsia="宋体" w:cs="Times New Roman"/>
                <w:sz w:val="24"/>
                <w:szCs w:val="24"/>
                <w:highlight w:val="none"/>
                <w:lang w:val="en-US" w:eastAsia="zh-CN"/>
              </w:rPr>
              <w:t>由于道路扬尘只在晴天时路面干燥的情况下发生，已知当地年均降雨天数为165天，年均晴天天数为200天，</w:t>
            </w:r>
            <w:r>
              <w:rPr>
                <w:rFonts w:hint="eastAsia" w:ascii="Times New Roman" w:hAnsi="Times New Roman" w:eastAsia="宋体" w:cs="Times New Roman"/>
                <w:color w:val="0000FF"/>
                <w:sz w:val="24"/>
                <w:szCs w:val="24"/>
                <w:highlight w:val="none"/>
                <w:lang w:val="en-US" w:eastAsia="zh-CN"/>
              </w:rPr>
              <w:t>则</w:t>
            </w:r>
            <w:r>
              <w:rPr>
                <w:rFonts w:hint="default" w:ascii="Times New Roman" w:hAnsi="Times New Roman" w:eastAsia="宋体" w:cs="Times New Roman"/>
                <w:color w:val="0000FF"/>
                <w:sz w:val="24"/>
                <w:szCs w:val="24"/>
                <w:highlight w:val="none"/>
                <w:lang w:val="en-US" w:eastAsia="zh-CN"/>
              </w:rPr>
              <w:t>引发道路扬尘的车流量约</w:t>
            </w:r>
            <w:r>
              <w:rPr>
                <w:rFonts w:hint="eastAsia" w:ascii="Times New Roman" w:hAnsi="Times New Roman" w:eastAsia="宋体" w:cs="Times New Roman"/>
                <w:color w:val="0000FF"/>
                <w:sz w:val="24"/>
                <w:szCs w:val="24"/>
                <w:highlight w:val="none"/>
                <w:lang w:val="en-US" w:eastAsia="zh-CN"/>
              </w:rPr>
              <w:t>84000</w:t>
            </w:r>
            <w:r>
              <w:rPr>
                <w:rFonts w:hint="default" w:ascii="Times New Roman" w:hAnsi="Times New Roman" w:eastAsia="宋体" w:cs="Times New Roman"/>
                <w:color w:val="0000FF"/>
                <w:sz w:val="24"/>
                <w:szCs w:val="24"/>
                <w:highlight w:val="none"/>
                <w:lang w:val="en-US" w:eastAsia="zh-CN"/>
              </w:rPr>
              <w:t>车次/年。</w:t>
            </w:r>
            <w:r>
              <w:rPr>
                <w:rFonts w:hint="default" w:ascii="Times New Roman" w:hAnsi="Times New Roman" w:eastAsia="宋体" w:cs="Times New Roman"/>
                <w:sz w:val="24"/>
                <w:szCs w:val="24"/>
                <w:highlight w:val="none"/>
                <w:lang w:val="en-US" w:eastAsia="zh-CN"/>
              </w:rPr>
              <w:t>项目运输车辆在厂区内行驶平均距离按1960m计，运输车辆在厂区内行驶速度一般小于10km/h。根据相关资料及类比同类项目可知，行车速度小于10km/h时，单位车辆扬尘量约0.135kg/km·辆，</w:t>
            </w:r>
            <w:r>
              <w:rPr>
                <w:rFonts w:hint="default" w:ascii="Times New Roman" w:hAnsi="Times New Roman" w:eastAsia="宋体" w:cs="Times New Roman"/>
                <w:color w:val="0000FF"/>
                <w:sz w:val="24"/>
                <w:szCs w:val="24"/>
                <w:highlight w:val="none"/>
                <w:lang w:val="en-US" w:eastAsia="zh-CN"/>
              </w:rPr>
              <w:t>则道路扬尘总量</w:t>
            </w:r>
            <w:r>
              <w:rPr>
                <w:rFonts w:hint="eastAsia" w:ascii="Times New Roman" w:hAnsi="Times New Roman" w:eastAsia="宋体" w:cs="Times New Roman"/>
                <w:color w:val="0000FF"/>
                <w:sz w:val="24"/>
                <w:szCs w:val="24"/>
                <w:highlight w:val="none"/>
                <w:lang w:val="en-US" w:eastAsia="zh-CN"/>
              </w:rPr>
              <w:t>22.23</w:t>
            </w:r>
            <w:r>
              <w:rPr>
                <w:rFonts w:hint="default" w:ascii="Times New Roman" w:hAnsi="Times New Roman" w:eastAsia="宋体" w:cs="Times New Roman"/>
                <w:color w:val="0000FF"/>
                <w:sz w:val="24"/>
                <w:szCs w:val="24"/>
                <w:highlight w:val="none"/>
                <w:lang w:val="en-US" w:eastAsia="zh-CN"/>
              </w:rPr>
              <w:t>t/a。</w:t>
            </w:r>
            <w:r>
              <w:rPr>
                <w:rFonts w:hint="default" w:ascii="Times New Roman" w:hAnsi="Times New Roman" w:eastAsia="宋体" w:cs="Times New Roman"/>
                <w:sz w:val="24"/>
                <w:szCs w:val="24"/>
                <w:highlight w:val="none"/>
                <w:lang w:val="en-US" w:eastAsia="zh-CN"/>
              </w:rPr>
              <w:t>通过对厂区内地面进行洒水降尘、严密遮盖砂石运输车辆等措施后，可使粉尘降低70%左右，即汽车运输在厂区内外扬尘排放量约为</w:t>
            </w:r>
            <w:r>
              <w:rPr>
                <w:rFonts w:hint="eastAsia" w:ascii="Times New Roman" w:hAnsi="Times New Roman" w:eastAsia="宋体" w:cs="Times New Roman"/>
                <w:color w:val="0000FF"/>
                <w:sz w:val="24"/>
                <w:szCs w:val="24"/>
                <w:highlight w:val="none"/>
                <w:lang w:val="en-US" w:eastAsia="zh-CN"/>
              </w:rPr>
              <w:t>6.669</w:t>
            </w:r>
            <w:r>
              <w:rPr>
                <w:rFonts w:hint="default" w:ascii="Times New Roman" w:hAnsi="Times New Roman" w:eastAsia="宋体" w:cs="Times New Roman"/>
                <w:color w:val="0000FF"/>
                <w:sz w:val="24"/>
                <w:szCs w:val="24"/>
                <w:highlight w:val="none"/>
                <w:lang w:val="en-US" w:eastAsia="zh-CN"/>
              </w:rPr>
              <w:t xml:space="preserve">t/a。 </w:t>
            </w:r>
          </w:p>
          <w:p>
            <w:pPr>
              <w:spacing w:line="360" w:lineRule="auto"/>
              <w:ind w:firstLine="480" w:firstLineChars="200"/>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val="en-US" w:eastAsia="zh-CN"/>
              </w:rPr>
              <w:t>⑤</w:t>
            </w:r>
            <w:r>
              <w:rPr>
                <w:rFonts w:hint="default" w:ascii="Times New Roman" w:hAnsi="Times New Roman" w:eastAsia="宋体" w:cs="Times New Roman"/>
                <w:sz w:val="24"/>
                <w:szCs w:val="24"/>
                <w:highlight w:val="none"/>
                <w:u w:val="none"/>
                <w:lang w:val="en-US" w:eastAsia="zh-CN"/>
              </w:rPr>
              <w:t xml:space="preserve">食堂油烟 </w:t>
            </w:r>
          </w:p>
          <w:p>
            <w:pPr>
              <w:pStyle w:val="2"/>
              <w:spacing w:line="360" w:lineRule="auto"/>
              <w:ind w:firstLine="480" w:firstLineChars="200"/>
              <w:rPr>
                <w:rFonts w:hint="default" w:ascii="Times New Roman" w:hAnsi="Times New Roman" w:eastAsia="宋体" w:cs="Times New Roman"/>
                <w:color w:val="auto"/>
                <w:highlight w:val="none"/>
                <w:u w:val="none"/>
              </w:rPr>
            </w:pPr>
            <w:r>
              <w:rPr>
                <w:rFonts w:hint="default" w:ascii="Times New Roman" w:hAnsi="Times New Roman" w:eastAsia="宋体" w:cs="Times New Roman"/>
                <w:sz w:val="24"/>
                <w:szCs w:val="24"/>
                <w:highlight w:val="none"/>
                <w:u w:val="none"/>
                <w:lang w:val="en-US" w:eastAsia="zh-CN"/>
              </w:rPr>
              <w:t>本项目区内设有员工食堂，设基准灶头数为2个，属于小型食堂，食堂废气主要为油烟废气。油烟主要来自厨房烹饪，在烹饪过程中加热挥发的食用油及食用油受热氧化和分解反应而产生的挥发性有机化合物的混合物，前者占80%以上，是粒径较小的气溶胶，通常称为烹饪油烟。根据类比资料，人均消耗动植物油以50g/人次 计，据建设方提供资料本项目建成后平均每天就餐人数90人次（10×3+60×1=90），以年工作时间330天计，则年消耗食用油1485</w:t>
            </w:r>
            <w:r>
              <w:rPr>
                <w:rFonts w:hint="default" w:ascii="Times New Roman" w:hAnsi="Times New Roman" w:eastAsia="宋体" w:cs="Times New Roman"/>
                <w:color w:val="auto"/>
                <w:highlight w:val="none"/>
                <w:u w:val="none"/>
              </w:rPr>
              <w:t>kg</w:t>
            </w:r>
            <w:r>
              <w:rPr>
                <w:rFonts w:hint="default" w:ascii="Times New Roman" w:hAnsi="Times New Roman" w:eastAsia="宋体" w:cs="Times New Roman"/>
                <w:sz w:val="24"/>
                <w:szCs w:val="24"/>
                <w:highlight w:val="none"/>
                <w:u w:val="none"/>
                <w:lang w:val="en-US" w:eastAsia="zh-CN"/>
              </w:rPr>
              <w:t>/a，在烹饪过程时挥发损失约3%，食堂油烟产生量44.55</w:t>
            </w:r>
            <w:r>
              <w:rPr>
                <w:rFonts w:hint="default" w:ascii="Times New Roman" w:hAnsi="Times New Roman" w:eastAsia="宋体" w:cs="Times New Roman"/>
                <w:color w:val="auto"/>
                <w:highlight w:val="none"/>
                <w:u w:val="none"/>
              </w:rPr>
              <w:t>kg</w:t>
            </w:r>
            <w:r>
              <w:rPr>
                <w:rFonts w:hint="default" w:ascii="Times New Roman" w:hAnsi="Times New Roman" w:eastAsia="宋体" w:cs="Times New Roman"/>
                <w:sz w:val="24"/>
                <w:szCs w:val="24"/>
                <w:highlight w:val="none"/>
                <w:u w:val="none"/>
                <w:lang w:val="en-US" w:eastAsia="zh-CN"/>
              </w:rPr>
              <w:t>/a。</w:t>
            </w:r>
            <w:r>
              <w:rPr>
                <w:rFonts w:hint="default" w:ascii="Times New Roman" w:hAnsi="Times New Roman" w:eastAsia="宋体" w:cs="Times New Roman"/>
                <w:highlight w:val="none"/>
                <w:u w:val="none"/>
              </w:rPr>
              <w:t>按每个基准灶头风量2000m</w:t>
            </w:r>
            <w:r>
              <w:rPr>
                <w:rFonts w:hint="default" w:ascii="Times New Roman" w:hAnsi="Times New Roman" w:eastAsia="宋体" w:cs="Times New Roman"/>
                <w:highlight w:val="none"/>
                <w:u w:val="none"/>
                <w:vertAlign w:val="superscript"/>
              </w:rPr>
              <w:t>3</w:t>
            </w:r>
            <w:r>
              <w:rPr>
                <w:rFonts w:hint="default" w:ascii="Times New Roman" w:hAnsi="Times New Roman" w:eastAsia="宋体" w:cs="Times New Roman"/>
                <w:highlight w:val="none"/>
                <w:u w:val="none"/>
              </w:rPr>
              <w:t>/h计，则项目</w:t>
            </w:r>
            <w:r>
              <w:rPr>
                <w:rFonts w:hint="default" w:ascii="Times New Roman" w:hAnsi="Times New Roman" w:eastAsia="宋体" w:cs="Times New Roman"/>
                <w:highlight w:val="none"/>
                <w:u w:val="none"/>
                <w:lang w:val="en-US" w:eastAsia="zh-CN"/>
              </w:rPr>
              <w:t>食堂</w:t>
            </w:r>
            <w:r>
              <w:rPr>
                <w:rFonts w:hint="default" w:ascii="Times New Roman" w:hAnsi="Times New Roman" w:eastAsia="宋体" w:cs="Times New Roman"/>
                <w:highlight w:val="none"/>
                <w:u w:val="none"/>
              </w:rPr>
              <w:t>风量为</w:t>
            </w:r>
            <w:r>
              <w:rPr>
                <w:rFonts w:hint="default" w:ascii="Times New Roman" w:hAnsi="Times New Roman" w:eastAsia="宋体" w:cs="Times New Roman"/>
                <w:highlight w:val="none"/>
                <w:u w:val="none"/>
                <w:lang w:val="en-US" w:eastAsia="zh-CN"/>
              </w:rPr>
              <w:t>4</w:t>
            </w:r>
            <w:r>
              <w:rPr>
                <w:rFonts w:hint="default" w:ascii="Times New Roman" w:hAnsi="Times New Roman" w:eastAsia="宋体" w:cs="Times New Roman"/>
                <w:highlight w:val="none"/>
                <w:u w:val="none"/>
              </w:rPr>
              <w:t>000m</w:t>
            </w:r>
            <w:r>
              <w:rPr>
                <w:rFonts w:hint="default" w:ascii="Times New Roman" w:hAnsi="Times New Roman" w:eastAsia="宋体" w:cs="Times New Roman"/>
                <w:highlight w:val="none"/>
                <w:u w:val="none"/>
                <w:vertAlign w:val="superscript"/>
              </w:rPr>
              <w:t>3</w:t>
            </w:r>
            <w:r>
              <w:rPr>
                <w:rFonts w:hint="default" w:ascii="Times New Roman" w:hAnsi="Times New Roman" w:eastAsia="宋体" w:cs="Times New Roman"/>
                <w:highlight w:val="none"/>
                <w:u w:val="none"/>
              </w:rPr>
              <w:t>/h，</w:t>
            </w:r>
            <w:r>
              <w:rPr>
                <w:rFonts w:hint="default" w:ascii="Times New Roman" w:hAnsi="Times New Roman" w:eastAsia="宋体" w:cs="Times New Roman"/>
                <w:color w:val="auto"/>
                <w:highlight w:val="none"/>
                <w:u w:val="none"/>
              </w:rPr>
              <w:t>平均工作时间为3.0h。则食堂所排油烟</w:t>
            </w:r>
            <w:r>
              <w:rPr>
                <w:rFonts w:hint="default" w:ascii="Times New Roman" w:hAnsi="Times New Roman" w:eastAsia="宋体" w:cs="Times New Roman"/>
                <w:color w:val="auto"/>
                <w:highlight w:val="none"/>
                <w:u w:val="none"/>
                <w:lang w:val="en-US" w:eastAsia="zh-CN"/>
              </w:rPr>
              <w:t>速率</w:t>
            </w:r>
            <w:r>
              <w:rPr>
                <w:rFonts w:hint="default" w:ascii="Times New Roman" w:hAnsi="Times New Roman" w:eastAsia="宋体" w:cs="Times New Roman"/>
                <w:color w:val="auto"/>
                <w:highlight w:val="none"/>
                <w:u w:val="none"/>
              </w:rPr>
              <w:t>为0</w:t>
            </w:r>
            <w:r>
              <w:rPr>
                <w:rFonts w:hint="default" w:ascii="Times New Roman" w:hAnsi="Times New Roman" w:eastAsia="宋体" w:cs="Times New Roman"/>
                <w:color w:val="auto"/>
                <w:highlight w:val="none"/>
                <w:u w:val="none"/>
                <w:lang w:val="en-US" w:eastAsia="zh-CN"/>
              </w:rPr>
              <w:t>.045</w:t>
            </w:r>
            <w:r>
              <w:rPr>
                <w:rFonts w:hint="default" w:ascii="Times New Roman" w:hAnsi="Times New Roman" w:eastAsia="宋体" w:cs="Times New Roman"/>
                <w:color w:val="auto"/>
                <w:highlight w:val="none"/>
                <w:u w:val="none"/>
              </w:rPr>
              <w:t>kg/h，产生浓度为</w:t>
            </w:r>
            <w:r>
              <w:rPr>
                <w:rFonts w:hint="default" w:ascii="Times New Roman" w:hAnsi="Times New Roman" w:eastAsia="宋体" w:cs="Times New Roman"/>
                <w:color w:val="auto"/>
                <w:highlight w:val="none"/>
                <w:u w:val="none"/>
                <w:lang w:val="en-US" w:eastAsia="zh-CN"/>
              </w:rPr>
              <w:t>11.25</w:t>
            </w:r>
            <w:r>
              <w:rPr>
                <w:rFonts w:hint="default" w:ascii="Times New Roman" w:hAnsi="Times New Roman" w:eastAsia="宋体" w:cs="Times New Roman"/>
                <w:color w:val="auto"/>
                <w:highlight w:val="none"/>
                <w:u w:val="none"/>
              </w:rPr>
              <w:t>mg/m</w:t>
            </w:r>
            <w:r>
              <w:rPr>
                <w:rFonts w:hint="default" w:ascii="Times New Roman" w:hAnsi="Times New Roman" w:eastAsia="宋体" w:cs="Times New Roman"/>
                <w:color w:val="auto"/>
                <w:highlight w:val="none"/>
                <w:u w:val="none"/>
                <w:vertAlign w:val="superscript"/>
              </w:rPr>
              <w:t>3</w:t>
            </w:r>
            <w:r>
              <w:rPr>
                <w:rFonts w:hint="default" w:ascii="Times New Roman" w:hAnsi="Times New Roman" w:eastAsia="宋体" w:cs="Times New Roman"/>
                <w:color w:val="auto"/>
                <w:highlight w:val="none"/>
                <w:u w:val="none"/>
              </w:rPr>
              <w:t>。</w:t>
            </w:r>
          </w:p>
          <w:p>
            <w:pPr>
              <w:pStyle w:val="39"/>
              <w:spacing w:line="360" w:lineRule="auto"/>
              <w:ind w:firstLine="480" w:firstLineChars="200"/>
              <w:rPr>
                <w:rFonts w:hint="default" w:ascii="Times New Roman" w:hAnsi="Times New Roman" w:eastAsia="宋体" w:cs="Times New Roman"/>
                <w:color w:val="auto"/>
                <w:highlight w:val="none"/>
                <w:u w:val="none"/>
              </w:rPr>
            </w:pPr>
            <w:r>
              <w:rPr>
                <w:rFonts w:hint="default" w:ascii="Times New Roman" w:hAnsi="Times New Roman" w:eastAsia="宋体" w:cs="Times New Roman"/>
                <w:bCs/>
                <w:color w:val="auto"/>
                <w:highlight w:val="none"/>
                <w:u w:val="none"/>
              </w:rPr>
              <w:t>建设单位拟安装油烟净化装置对厨房油烟进行处理，</w:t>
            </w:r>
            <w:r>
              <w:rPr>
                <w:rFonts w:hint="default" w:ascii="Times New Roman" w:hAnsi="Times New Roman" w:eastAsia="宋体" w:cs="Times New Roman"/>
                <w:color w:val="auto"/>
                <w:highlight w:val="none"/>
                <w:u w:val="none"/>
              </w:rPr>
              <w:t>油烟净化效率</w:t>
            </w:r>
            <w:r>
              <w:rPr>
                <w:rFonts w:hint="default" w:ascii="Times New Roman" w:hAnsi="Times New Roman" w:eastAsia="宋体" w:cs="Times New Roman"/>
                <w:color w:val="auto"/>
                <w:highlight w:val="none"/>
                <w:u w:val="none"/>
                <w:lang w:eastAsia="zh-CN"/>
              </w:rPr>
              <w:t>不低于</w:t>
            </w:r>
            <w:r>
              <w:rPr>
                <w:rFonts w:hint="default" w:ascii="Times New Roman" w:hAnsi="Times New Roman" w:eastAsia="宋体" w:cs="Times New Roman"/>
                <w:color w:val="auto"/>
                <w:highlight w:val="none"/>
                <w:u w:val="none"/>
              </w:rPr>
              <w:t>9</w:t>
            </w:r>
            <w:r>
              <w:rPr>
                <w:rFonts w:hint="default" w:ascii="Times New Roman" w:hAnsi="Times New Roman" w:eastAsia="宋体" w:cs="Times New Roman"/>
                <w:color w:val="auto"/>
                <w:highlight w:val="none"/>
                <w:u w:val="none"/>
                <w:lang w:val="en-US" w:eastAsia="zh-CN"/>
              </w:rPr>
              <w:t>0</w:t>
            </w:r>
            <w:r>
              <w:rPr>
                <w:rFonts w:hint="default" w:ascii="Times New Roman" w:hAnsi="Times New Roman" w:eastAsia="宋体" w:cs="Times New Roman"/>
                <w:color w:val="auto"/>
                <w:highlight w:val="none"/>
                <w:u w:val="none"/>
              </w:rPr>
              <w:t>％，经处理后油烟排放量约为</w:t>
            </w:r>
            <w:r>
              <w:rPr>
                <w:rFonts w:hint="default" w:ascii="Times New Roman" w:hAnsi="Times New Roman" w:eastAsia="宋体" w:cs="Times New Roman"/>
                <w:color w:val="auto"/>
                <w:highlight w:val="none"/>
                <w:u w:val="none"/>
                <w:lang w:val="en-US" w:eastAsia="zh-CN"/>
              </w:rPr>
              <w:t>4.46</w:t>
            </w:r>
            <w:r>
              <w:rPr>
                <w:rFonts w:hint="default" w:ascii="Times New Roman" w:hAnsi="Times New Roman" w:eastAsia="宋体" w:cs="Times New Roman"/>
                <w:color w:val="auto"/>
                <w:highlight w:val="none"/>
                <w:u w:val="none"/>
              </w:rPr>
              <w:t>kg</w:t>
            </w:r>
            <w:r>
              <w:rPr>
                <w:rFonts w:hint="default" w:ascii="Times New Roman" w:hAnsi="Times New Roman" w:eastAsia="宋体" w:cs="Times New Roman"/>
                <w:color w:val="auto"/>
                <w:kern w:val="0"/>
                <w:szCs w:val="21"/>
                <w:highlight w:val="none"/>
                <w:u w:val="none"/>
              </w:rPr>
              <w:t>/a</w:t>
            </w:r>
            <w:r>
              <w:rPr>
                <w:rFonts w:hint="default" w:ascii="Times New Roman" w:hAnsi="Times New Roman" w:eastAsia="宋体" w:cs="Times New Roman"/>
                <w:color w:val="auto"/>
                <w:highlight w:val="none"/>
                <w:u w:val="none"/>
              </w:rPr>
              <w:t>，排放速率为0.0</w:t>
            </w:r>
            <w:r>
              <w:rPr>
                <w:rFonts w:hint="default" w:ascii="Times New Roman" w:hAnsi="Times New Roman" w:eastAsia="宋体" w:cs="Times New Roman"/>
                <w:color w:val="auto"/>
                <w:highlight w:val="none"/>
                <w:u w:val="none"/>
                <w:lang w:val="en-US" w:eastAsia="zh-CN"/>
              </w:rPr>
              <w:t>05</w:t>
            </w:r>
            <w:r>
              <w:rPr>
                <w:rFonts w:hint="default" w:ascii="Times New Roman" w:hAnsi="Times New Roman" w:eastAsia="宋体" w:cs="Times New Roman"/>
                <w:color w:val="auto"/>
                <w:highlight w:val="none"/>
                <w:u w:val="none"/>
              </w:rPr>
              <w:t>kg/h，排放浓度为</w:t>
            </w:r>
            <w:r>
              <w:rPr>
                <w:rFonts w:hint="default" w:ascii="Times New Roman" w:hAnsi="Times New Roman" w:eastAsia="宋体" w:cs="Times New Roman"/>
                <w:color w:val="auto"/>
                <w:highlight w:val="none"/>
                <w:u w:val="none"/>
                <w:lang w:val="en-US" w:eastAsia="zh-CN"/>
              </w:rPr>
              <w:t>1.13</w:t>
            </w:r>
            <w:r>
              <w:rPr>
                <w:rFonts w:hint="default" w:ascii="Times New Roman" w:hAnsi="Times New Roman" w:eastAsia="宋体" w:cs="Times New Roman"/>
                <w:color w:val="auto"/>
                <w:highlight w:val="none"/>
                <w:u w:val="none"/>
              </w:rPr>
              <w:t>mg/m</w:t>
            </w:r>
            <w:r>
              <w:rPr>
                <w:rFonts w:hint="default" w:ascii="Times New Roman" w:hAnsi="Times New Roman" w:eastAsia="宋体" w:cs="Times New Roman"/>
                <w:color w:val="auto"/>
                <w:highlight w:val="none"/>
                <w:u w:val="none"/>
                <w:vertAlign w:val="superscript"/>
              </w:rPr>
              <w:t>3</w:t>
            </w:r>
            <w:r>
              <w:rPr>
                <w:rFonts w:hint="default" w:ascii="Times New Roman" w:hAnsi="Times New Roman" w:eastAsia="宋体" w:cs="Times New Roman"/>
                <w:color w:val="auto"/>
                <w:highlight w:val="none"/>
                <w:u w:val="none"/>
              </w:rPr>
              <w:t>。</w:t>
            </w:r>
          </w:p>
          <w:p>
            <w:pPr>
              <w:pStyle w:val="2"/>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排放浓度符合《饮食业油烟排放标准》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GB18483-2001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不超过2</w:t>
            </w:r>
            <w:r>
              <w:rPr>
                <w:rFonts w:hint="default" w:ascii="Times New Roman" w:hAnsi="Times New Roman" w:eastAsia="宋体" w:cs="Times New Roman"/>
                <w:color w:val="auto"/>
                <w:highlight w:val="none"/>
              </w:rPr>
              <w:t>mg/m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lang w:val="en-US" w:eastAsia="zh-CN"/>
              </w:rPr>
              <w:t>的</w:t>
            </w:r>
            <w:r>
              <w:rPr>
                <w:rFonts w:hint="default" w:ascii="Times New Roman" w:hAnsi="Times New Roman" w:eastAsia="宋体" w:cs="Times New Roman"/>
                <w:color w:val="auto"/>
                <w:highlight w:val="none"/>
              </w:rPr>
              <w:t>排放</w:t>
            </w:r>
            <w:r>
              <w:rPr>
                <w:rFonts w:hint="default" w:ascii="Times New Roman" w:hAnsi="Times New Roman" w:eastAsia="宋体" w:cs="Times New Roman"/>
                <w:color w:val="auto"/>
                <w:highlight w:val="none"/>
                <w:lang w:val="en-US" w:eastAsia="zh-CN"/>
              </w:rPr>
              <w:t>要求</w:t>
            </w:r>
            <w:r>
              <w:rPr>
                <w:rFonts w:hint="default" w:ascii="Times New Roman" w:hAnsi="Times New Roman" w:eastAsia="宋体" w:cs="Times New Roman"/>
                <w:color w:val="auto"/>
                <w:highlight w:val="none"/>
              </w:rPr>
              <w:t>。</w:t>
            </w:r>
          </w:p>
          <w:p>
            <w:pPr>
              <w:spacing w:line="360" w:lineRule="auto"/>
              <w:ind w:firstLine="480" w:firstLineChars="200"/>
              <w:rPr>
                <w:rFonts w:hint="default" w:ascii="Times New Roman" w:hAnsi="Times New Roman" w:eastAsia="宋体" w:cs="Times New Roman"/>
                <w:color w:val="0000FF"/>
                <w:sz w:val="24"/>
                <w:szCs w:val="24"/>
                <w:highlight w:val="none"/>
                <w:u w:val="none"/>
                <w:lang w:val="en-US" w:eastAsia="zh-CN"/>
              </w:rPr>
            </w:pPr>
            <w:r>
              <w:rPr>
                <w:rFonts w:hint="eastAsia" w:ascii="Times New Roman" w:hAnsi="Times New Roman" w:eastAsia="宋体" w:cs="Times New Roman"/>
                <w:color w:val="0000FF"/>
                <w:sz w:val="24"/>
                <w:szCs w:val="24"/>
                <w:highlight w:val="none"/>
                <w:u w:val="none"/>
                <w:lang w:val="en-US" w:eastAsia="zh-CN"/>
              </w:rPr>
              <w:t xml:space="preserve">⑥柴油罐呼吸废气 </w:t>
            </w:r>
          </w:p>
          <w:p>
            <w:pPr>
              <w:keepNext w:val="0"/>
              <w:keepLines w:val="0"/>
              <w:widowControl/>
              <w:suppressLineNumbers w:val="0"/>
              <w:spacing w:line="360" w:lineRule="auto"/>
              <w:ind w:firstLine="480" w:firstLineChars="200"/>
              <w:jc w:val="left"/>
              <w:rPr>
                <w:color w:val="0000FF"/>
                <w:sz w:val="24"/>
                <w:szCs w:val="24"/>
              </w:rPr>
            </w:pPr>
            <w:r>
              <w:rPr>
                <w:rFonts w:hint="eastAsia" w:ascii="宋体" w:hAnsi="宋体" w:eastAsia="宋体" w:cs="宋体"/>
                <w:snapToGrid w:val="0"/>
                <w:color w:val="0000FF"/>
                <w:kern w:val="0"/>
                <w:sz w:val="24"/>
                <w:szCs w:val="24"/>
                <w:lang w:val="en-US" w:eastAsia="zh-CN" w:bidi="ar"/>
              </w:rPr>
              <w:t xml:space="preserve">参照美国《工业污染源调查与研究》，储罐呼吸计算公式如下： </w:t>
            </w:r>
          </w:p>
          <w:p>
            <w:pPr>
              <w:keepNext w:val="0"/>
              <w:keepLines w:val="0"/>
              <w:widowControl/>
              <w:suppressLineNumbers w:val="0"/>
              <w:spacing w:line="360" w:lineRule="auto"/>
              <w:ind w:firstLine="480" w:firstLineChars="2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L</w:t>
            </w:r>
            <w:r>
              <w:rPr>
                <w:rFonts w:hint="default" w:ascii="Times New Roman" w:hAnsi="Times New Roman" w:eastAsia="宋体" w:cs="Times New Roman"/>
                <w:snapToGrid w:val="0"/>
                <w:color w:val="0000FF"/>
                <w:kern w:val="0"/>
                <w:sz w:val="24"/>
                <w:szCs w:val="24"/>
                <w:vertAlign w:val="subscript"/>
                <w:lang w:val="en-US" w:eastAsia="zh-CN" w:bidi="ar"/>
              </w:rPr>
              <w:t>B</w:t>
            </w:r>
            <w:r>
              <w:rPr>
                <w:rFonts w:hint="default" w:ascii="Times New Roman" w:hAnsi="Times New Roman" w:eastAsia="宋体" w:cs="Times New Roman"/>
                <w:snapToGrid w:val="0"/>
                <w:color w:val="0000FF"/>
                <w:kern w:val="0"/>
                <w:sz w:val="24"/>
                <w:szCs w:val="24"/>
                <w:lang w:val="en-US" w:eastAsia="zh-CN" w:bidi="ar"/>
              </w:rPr>
              <w:t>=0.191·M{P/</w:t>
            </w:r>
            <w:r>
              <w:rPr>
                <w:rFonts w:hint="eastAsia" w:ascii="宋体" w:hAnsi="宋体" w:eastAsia="宋体" w:cs="宋体"/>
                <w:snapToGrid w:val="0"/>
                <w:color w:val="0000FF"/>
                <w:kern w:val="0"/>
                <w:sz w:val="24"/>
                <w:szCs w:val="24"/>
                <w:lang w:val="en-US" w:eastAsia="zh-CN" w:bidi="ar"/>
              </w:rPr>
              <w:t>（</w:t>
            </w:r>
            <w:r>
              <w:rPr>
                <w:rFonts w:hint="default" w:ascii="Times New Roman" w:hAnsi="Times New Roman" w:eastAsia="宋体" w:cs="Times New Roman"/>
                <w:snapToGrid w:val="0"/>
                <w:color w:val="0000FF"/>
                <w:kern w:val="0"/>
                <w:sz w:val="24"/>
                <w:szCs w:val="24"/>
                <w:lang w:val="en-US" w:eastAsia="zh-CN" w:bidi="ar"/>
              </w:rPr>
              <w:t>100910-P</w:t>
            </w:r>
            <w:r>
              <w:rPr>
                <w:rFonts w:hint="eastAsia" w:ascii="宋体" w:hAnsi="宋体" w:eastAsia="宋体" w:cs="宋体"/>
                <w:snapToGrid w:val="0"/>
                <w:color w:val="0000FF"/>
                <w:kern w:val="0"/>
                <w:sz w:val="24"/>
                <w:szCs w:val="24"/>
                <w:lang w:val="en-US" w:eastAsia="zh-CN" w:bidi="ar"/>
              </w:rPr>
              <w:t>）</w:t>
            </w:r>
            <w:r>
              <w:rPr>
                <w:rFonts w:hint="default" w:ascii="Times New Roman" w:hAnsi="Times New Roman" w:eastAsia="宋体" w:cs="Times New Roman"/>
                <w:snapToGrid w:val="0"/>
                <w:color w:val="0000FF"/>
                <w:kern w:val="0"/>
                <w:sz w:val="24"/>
                <w:szCs w:val="24"/>
                <w:lang w:val="en-US" w:eastAsia="zh-CN" w:bidi="ar"/>
              </w:rPr>
              <w:t xml:space="preserve">} </w:t>
            </w:r>
            <w:r>
              <w:rPr>
                <w:rFonts w:hint="default" w:ascii="Times New Roman" w:hAnsi="Times New Roman" w:eastAsia="宋体" w:cs="Times New Roman"/>
                <w:snapToGrid w:val="0"/>
                <w:color w:val="0000FF"/>
                <w:kern w:val="0"/>
                <w:sz w:val="24"/>
                <w:szCs w:val="24"/>
                <w:vertAlign w:val="superscript"/>
                <w:lang w:val="en-US" w:eastAsia="zh-CN" w:bidi="ar"/>
              </w:rPr>
              <w:t>0.68</w:t>
            </w:r>
            <w:r>
              <w:rPr>
                <w:rFonts w:hint="default" w:ascii="Times New Roman" w:hAnsi="Times New Roman" w:eastAsia="宋体" w:cs="Times New Roman"/>
                <w:snapToGrid w:val="0"/>
                <w:color w:val="0000FF"/>
                <w:kern w:val="0"/>
                <w:sz w:val="24"/>
                <w:szCs w:val="24"/>
                <w:lang w:val="en-US" w:eastAsia="zh-CN" w:bidi="ar"/>
              </w:rPr>
              <w:t>·D</w:t>
            </w:r>
            <w:r>
              <w:rPr>
                <w:rFonts w:hint="default" w:ascii="Times New Roman" w:hAnsi="Times New Roman" w:eastAsia="宋体" w:cs="Times New Roman"/>
                <w:snapToGrid w:val="0"/>
                <w:color w:val="0000FF"/>
                <w:kern w:val="0"/>
                <w:sz w:val="24"/>
                <w:szCs w:val="24"/>
                <w:vertAlign w:val="superscript"/>
                <w:lang w:val="en-US" w:eastAsia="zh-CN" w:bidi="ar"/>
              </w:rPr>
              <w:t>1.73</w:t>
            </w:r>
            <w:r>
              <w:rPr>
                <w:rFonts w:hint="default" w:ascii="Times New Roman" w:hAnsi="Times New Roman" w:eastAsia="宋体" w:cs="Times New Roman"/>
                <w:snapToGrid w:val="0"/>
                <w:color w:val="0000FF"/>
                <w:kern w:val="0"/>
                <w:sz w:val="24"/>
                <w:szCs w:val="24"/>
                <w:lang w:val="en-US" w:eastAsia="zh-CN" w:bidi="ar"/>
              </w:rPr>
              <w:t>·H</w:t>
            </w:r>
            <w:r>
              <w:rPr>
                <w:rFonts w:hint="default" w:ascii="Times New Roman" w:hAnsi="Times New Roman" w:eastAsia="宋体" w:cs="Times New Roman"/>
                <w:snapToGrid w:val="0"/>
                <w:color w:val="0000FF"/>
                <w:kern w:val="0"/>
                <w:sz w:val="24"/>
                <w:szCs w:val="24"/>
                <w:vertAlign w:val="superscript"/>
                <w:lang w:val="en-US" w:eastAsia="zh-CN" w:bidi="ar"/>
              </w:rPr>
              <w:t>0.51</w:t>
            </w:r>
            <w:r>
              <w:rPr>
                <w:rFonts w:hint="default" w:ascii="Times New Roman" w:hAnsi="Times New Roman" w:eastAsia="宋体" w:cs="Times New Roman"/>
                <w:snapToGrid w:val="0"/>
                <w:color w:val="0000FF"/>
                <w:kern w:val="0"/>
                <w:sz w:val="24"/>
                <w:szCs w:val="24"/>
                <w:lang w:val="en-US" w:eastAsia="zh-CN" w:bidi="ar"/>
              </w:rPr>
              <w:t>·</w:t>
            </w:r>
            <w:r>
              <w:rPr>
                <w:rFonts w:ascii="Cambria Math" w:hAnsi="Cambria Math" w:eastAsia="Cambria Math" w:cs="Cambria Math"/>
                <w:snapToGrid w:val="0"/>
                <w:color w:val="0000FF"/>
                <w:kern w:val="0"/>
                <w:sz w:val="24"/>
                <w:szCs w:val="24"/>
                <w:lang w:val="en-US" w:eastAsia="zh-CN" w:bidi="ar"/>
              </w:rPr>
              <w:t xml:space="preserve">△ </w:t>
            </w:r>
            <w:r>
              <w:rPr>
                <w:rFonts w:hint="default" w:ascii="Times New Roman" w:hAnsi="Times New Roman" w:eastAsia="宋体" w:cs="Times New Roman"/>
                <w:snapToGrid w:val="0"/>
                <w:color w:val="0000FF"/>
                <w:kern w:val="0"/>
                <w:sz w:val="24"/>
                <w:szCs w:val="24"/>
                <w:lang w:val="en-US" w:eastAsia="zh-CN" w:bidi="ar"/>
              </w:rPr>
              <w:t>T</w:t>
            </w:r>
            <w:r>
              <w:rPr>
                <w:rFonts w:hint="default" w:ascii="Times New Roman" w:hAnsi="Times New Roman" w:eastAsia="宋体" w:cs="Times New Roman"/>
                <w:snapToGrid w:val="0"/>
                <w:color w:val="0000FF"/>
                <w:kern w:val="0"/>
                <w:sz w:val="24"/>
                <w:szCs w:val="24"/>
                <w:vertAlign w:val="superscript"/>
                <w:lang w:val="en-US" w:eastAsia="zh-CN" w:bidi="ar"/>
              </w:rPr>
              <w:t xml:space="preserve"> 0.45</w:t>
            </w:r>
            <w:r>
              <w:rPr>
                <w:rFonts w:hint="default" w:ascii="Times New Roman" w:hAnsi="Times New Roman" w:eastAsia="宋体" w:cs="Times New Roman"/>
                <w:snapToGrid w:val="0"/>
                <w:color w:val="0000FF"/>
                <w:kern w:val="0"/>
                <w:sz w:val="24"/>
                <w:szCs w:val="24"/>
                <w:lang w:val="en-US" w:eastAsia="zh-CN" w:bidi="ar"/>
              </w:rPr>
              <w:t>·F</w:t>
            </w:r>
            <w:r>
              <w:rPr>
                <w:rFonts w:hint="default" w:ascii="Times New Roman" w:hAnsi="Times New Roman" w:eastAsia="宋体" w:cs="Times New Roman"/>
                <w:snapToGrid w:val="0"/>
                <w:color w:val="0000FF"/>
                <w:kern w:val="0"/>
                <w:sz w:val="24"/>
                <w:szCs w:val="24"/>
                <w:vertAlign w:val="subscript"/>
                <w:lang w:val="en-US" w:eastAsia="zh-CN" w:bidi="ar"/>
              </w:rPr>
              <w:t>p</w:t>
            </w:r>
            <w:r>
              <w:rPr>
                <w:rFonts w:hint="default" w:ascii="Times New Roman" w:hAnsi="Times New Roman" w:eastAsia="宋体" w:cs="Times New Roman"/>
                <w:snapToGrid w:val="0"/>
                <w:color w:val="0000FF"/>
                <w:kern w:val="0"/>
                <w:sz w:val="24"/>
                <w:szCs w:val="24"/>
                <w:lang w:val="en-US" w:eastAsia="zh-CN" w:bidi="ar"/>
              </w:rPr>
              <w:t xml:space="preserve">·C·Kc·η1·η2 </w:t>
            </w:r>
          </w:p>
          <w:p>
            <w:pPr>
              <w:keepNext w:val="0"/>
              <w:keepLines w:val="0"/>
              <w:widowControl/>
              <w:suppressLineNumbers w:val="0"/>
              <w:spacing w:line="360" w:lineRule="auto"/>
              <w:ind w:firstLine="480" w:firstLineChars="200"/>
              <w:jc w:val="left"/>
              <w:rPr>
                <w:color w:val="0000FF"/>
                <w:sz w:val="24"/>
                <w:szCs w:val="24"/>
              </w:rPr>
            </w:pPr>
            <w:r>
              <w:rPr>
                <w:rFonts w:hint="eastAsia" w:ascii="宋体" w:hAnsi="宋体" w:eastAsia="宋体" w:cs="宋体"/>
                <w:snapToGrid w:val="0"/>
                <w:color w:val="0000FF"/>
                <w:kern w:val="0"/>
                <w:sz w:val="24"/>
                <w:szCs w:val="24"/>
                <w:lang w:val="en-US" w:eastAsia="zh-CN" w:bidi="ar"/>
              </w:rPr>
              <w:t>式中：</w:t>
            </w:r>
            <w:r>
              <w:rPr>
                <w:rFonts w:hint="default" w:ascii="Times New Roman" w:hAnsi="Times New Roman" w:eastAsia="宋体" w:cs="Times New Roman"/>
                <w:snapToGrid w:val="0"/>
                <w:color w:val="0000FF"/>
                <w:kern w:val="0"/>
                <w:sz w:val="24"/>
                <w:szCs w:val="24"/>
                <w:lang w:val="en-US" w:eastAsia="zh-CN" w:bidi="ar"/>
              </w:rPr>
              <w:t xml:space="preserve"> L</w:t>
            </w:r>
            <w:r>
              <w:rPr>
                <w:rFonts w:hint="default" w:ascii="Times New Roman" w:hAnsi="Times New Roman" w:eastAsia="宋体" w:cs="Times New Roman"/>
                <w:snapToGrid w:val="0"/>
                <w:color w:val="0000FF"/>
                <w:kern w:val="0"/>
                <w:sz w:val="24"/>
                <w:szCs w:val="24"/>
                <w:vertAlign w:val="subscript"/>
                <w:lang w:val="en-US" w:eastAsia="zh-CN" w:bidi="ar"/>
              </w:rPr>
              <w:t>B</w:t>
            </w:r>
            <w:r>
              <w:rPr>
                <w:rFonts w:hint="default" w:ascii="Times New Roman" w:hAnsi="Times New Roman" w:eastAsia="宋体" w:cs="Times New Roman"/>
                <w:snapToGrid w:val="0"/>
                <w:color w:val="0000FF"/>
                <w:kern w:val="0"/>
                <w:sz w:val="24"/>
                <w:szCs w:val="24"/>
                <w:lang w:val="en-US" w:eastAsia="zh-CN" w:bidi="ar"/>
              </w:rPr>
              <w:t>——</w:t>
            </w:r>
            <w:r>
              <w:rPr>
                <w:rFonts w:hint="eastAsia" w:ascii="宋体" w:hAnsi="宋体" w:eastAsia="宋体" w:cs="宋体"/>
                <w:snapToGrid w:val="0"/>
                <w:color w:val="0000FF"/>
                <w:kern w:val="0"/>
                <w:sz w:val="24"/>
                <w:szCs w:val="24"/>
                <w:lang w:val="en-US" w:eastAsia="zh-CN" w:bidi="ar"/>
              </w:rPr>
              <w:t>储罐的呼吸排放量（</w:t>
            </w:r>
            <w:r>
              <w:rPr>
                <w:rFonts w:hint="default" w:ascii="Times New Roman" w:hAnsi="Times New Roman" w:eastAsia="宋体" w:cs="Times New Roman"/>
                <w:snapToGrid w:val="0"/>
                <w:color w:val="0000FF"/>
                <w:kern w:val="0"/>
                <w:sz w:val="24"/>
                <w:szCs w:val="24"/>
                <w:lang w:val="en-US" w:eastAsia="zh-CN" w:bidi="ar"/>
              </w:rPr>
              <w:t>kg/a</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M——</w:t>
            </w:r>
            <w:r>
              <w:rPr>
                <w:rFonts w:hint="eastAsia" w:ascii="宋体" w:hAnsi="宋体" w:eastAsia="宋体" w:cs="宋体"/>
                <w:snapToGrid w:val="0"/>
                <w:color w:val="0000FF"/>
                <w:kern w:val="0"/>
                <w:sz w:val="24"/>
                <w:szCs w:val="24"/>
                <w:lang w:val="en-US" w:eastAsia="zh-CN" w:bidi="ar"/>
              </w:rPr>
              <w:t xml:space="preserve">储罐内蒸汽的分子量；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P——</w:t>
            </w:r>
            <w:r>
              <w:rPr>
                <w:rFonts w:hint="eastAsia" w:ascii="宋体" w:hAnsi="宋体" w:eastAsia="宋体" w:cs="宋体"/>
                <w:snapToGrid w:val="0"/>
                <w:color w:val="0000FF"/>
                <w:kern w:val="0"/>
                <w:sz w:val="24"/>
                <w:szCs w:val="24"/>
                <w:lang w:val="en-US" w:eastAsia="zh-CN" w:bidi="ar"/>
              </w:rPr>
              <w:t>在大量液体状态下，真实的蒸汽压力（</w:t>
            </w:r>
            <w:r>
              <w:rPr>
                <w:rFonts w:hint="default" w:ascii="Times New Roman" w:hAnsi="Times New Roman" w:eastAsia="宋体" w:cs="Times New Roman"/>
                <w:snapToGrid w:val="0"/>
                <w:color w:val="0000FF"/>
                <w:kern w:val="0"/>
                <w:sz w:val="24"/>
                <w:szCs w:val="24"/>
                <w:lang w:val="en-US" w:eastAsia="zh-CN" w:bidi="ar"/>
              </w:rPr>
              <w:t>Pa</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D——</w:t>
            </w:r>
            <w:r>
              <w:rPr>
                <w:rFonts w:hint="eastAsia" w:ascii="宋体" w:hAnsi="宋体" w:eastAsia="宋体" w:cs="宋体"/>
                <w:snapToGrid w:val="0"/>
                <w:color w:val="0000FF"/>
                <w:kern w:val="0"/>
                <w:sz w:val="24"/>
                <w:szCs w:val="24"/>
                <w:lang w:val="en-US" w:eastAsia="zh-CN" w:bidi="ar"/>
              </w:rPr>
              <w:t>储罐的直径（</w:t>
            </w:r>
            <w:r>
              <w:rPr>
                <w:rFonts w:hint="default" w:ascii="Times New Roman" w:hAnsi="Times New Roman" w:eastAsia="宋体" w:cs="Times New Roman"/>
                <w:snapToGrid w:val="0"/>
                <w:color w:val="0000FF"/>
                <w:kern w:val="0"/>
                <w:sz w:val="24"/>
                <w:szCs w:val="24"/>
                <w:lang w:val="en-US" w:eastAsia="zh-CN" w:bidi="ar"/>
              </w:rPr>
              <w:t>m</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H——</w:t>
            </w:r>
            <w:r>
              <w:rPr>
                <w:rFonts w:hint="eastAsia" w:ascii="宋体" w:hAnsi="宋体" w:eastAsia="宋体" w:cs="宋体"/>
                <w:snapToGrid w:val="0"/>
                <w:color w:val="0000FF"/>
                <w:kern w:val="0"/>
                <w:sz w:val="24"/>
                <w:szCs w:val="24"/>
                <w:lang w:val="en-US" w:eastAsia="zh-CN" w:bidi="ar"/>
              </w:rPr>
              <w:t>平均蒸汽空间高度（</w:t>
            </w:r>
            <w:r>
              <w:rPr>
                <w:rFonts w:hint="default" w:ascii="Times New Roman" w:hAnsi="Times New Roman" w:eastAsia="宋体" w:cs="Times New Roman"/>
                <w:snapToGrid w:val="0"/>
                <w:color w:val="0000FF"/>
                <w:kern w:val="0"/>
                <w:sz w:val="24"/>
                <w:szCs w:val="24"/>
                <w:lang w:val="en-US" w:eastAsia="zh-CN" w:bidi="ar"/>
              </w:rPr>
              <w:t>m</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sz w:val="24"/>
                <w:szCs w:val="24"/>
              </w:rPr>
            </w:pPr>
            <w:r>
              <w:rPr>
                <w:rFonts w:hint="default" w:ascii="Cambria Math" w:hAnsi="Cambria Math" w:eastAsia="Cambria Math" w:cs="Cambria Math"/>
                <w:snapToGrid w:val="0"/>
                <w:color w:val="0000FF"/>
                <w:kern w:val="0"/>
                <w:sz w:val="24"/>
                <w:szCs w:val="24"/>
                <w:lang w:val="en-US" w:eastAsia="zh-CN" w:bidi="ar"/>
              </w:rPr>
              <w:t xml:space="preserve">△ </w:t>
            </w:r>
            <w:r>
              <w:rPr>
                <w:rFonts w:hint="default" w:ascii="Times New Roman" w:hAnsi="Times New Roman" w:eastAsia="宋体" w:cs="Times New Roman"/>
                <w:snapToGrid w:val="0"/>
                <w:color w:val="0000FF"/>
                <w:kern w:val="0"/>
                <w:sz w:val="24"/>
                <w:szCs w:val="24"/>
                <w:lang w:val="en-US" w:eastAsia="zh-CN" w:bidi="ar"/>
              </w:rPr>
              <w:t>T——</w:t>
            </w:r>
            <w:r>
              <w:rPr>
                <w:rFonts w:hint="eastAsia" w:ascii="宋体" w:hAnsi="宋体" w:eastAsia="宋体" w:cs="宋体"/>
                <w:snapToGrid w:val="0"/>
                <w:color w:val="0000FF"/>
                <w:kern w:val="0"/>
                <w:sz w:val="24"/>
                <w:szCs w:val="24"/>
                <w:lang w:val="en-US" w:eastAsia="zh-CN" w:bidi="ar"/>
              </w:rPr>
              <w:t xml:space="preserve">一天之内平均的温度差（℃）；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Fp——</w:t>
            </w:r>
            <w:r>
              <w:rPr>
                <w:rFonts w:hint="eastAsia" w:ascii="宋体" w:hAnsi="宋体" w:eastAsia="宋体" w:cs="宋体"/>
                <w:snapToGrid w:val="0"/>
                <w:color w:val="0000FF"/>
                <w:kern w:val="0"/>
                <w:sz w:val="24"/>
                <w:szCs w:val="24"/>
                <w:lang w:val="en-US" w:eastAsia="zh-CN" w:bidi="ar"/>
              </w:rPr>
              <w:t>涂层因子（无量纲），根据油漆状况取</w:t>
            </w:r>
            <w:r>
              <w:rPr>
                <w:rFonts w:hint="default" w:ascii="Times New Roman" w:hAnsi="Times New Roman" w:eastAsia="宋体" w:cs="Times New Roman"/>
                <w:snapToGrid w:val="0"/>
                <w:color w:val="0000FF"/>
                <w:kern w:val="0"/>
                <w:sz w:val="24"/>
                <w:szCs w:val="24"/>
                <w:lang w:val="en-US" w:eastAsia="zh-CN" w:bidi="ar"/>
              </w:rPr>
              <w:t>1-1.5</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C——</w:t>
            </w:r>
            <w:r>
              <w:rPr>
                <w:rFonts w:hint="eastAsia" w:ascii="宋体" w:hAnsi="宋体" w:eastAsia="宋体" w:cs="宋体"/>
                <w:snapToGrid w:val="0"/>
                <w:color w:val="0000FF"/>
                <w:kern w:val="0"/>
                <w:sz w:val="24"/>
                <w:szCs w:val="24"/>
                <w:lang w:val="en-US" w:eastAsia="zh-CN" w:bidi="ar"/>
              </w:rPr>
              <w:t>用于小直径罐的调节因子（无量纲）；对于直径在</w:t>
            </w:r>
            <w:r>
              <w:rPr>
                <w:rFonts w:hint="default" w:ascii="Times New Roman" w:hAnsi="Times New Roman" w:eastAsia="宋体" w:cs="Times New Roman"/>
                <w:snapToGrid w:val="0"/>
                <w:color w:val="0000FF"/>
                <w:kern w:val="0"/>
                <w:sz w:val="24"/>
                <w:szCs w:val="24"/>
                <w:lang w:val="en-US" w:eastAsia="zh-CN" w:bidi="ar"/>
              </w:rPr>
              <w:t xml:space="preserve">0~9m </w:t>
            </w:r>
            <w:r>
              <w:rPr>
                <w:rFonts w:hint="eastAsia" w:ascii="宋体" w:hAnsi="宋体" w:eastAsia="宋体" w:cs="宋体"/>
                <w:snapToGrid w:val="0"/>
                <w:color w:val="0000FF"/>
                <w:kern w:val="0"/>
                <w:sz w:val="24"/>
                <w:szCs w:val="24"/>
                <w:lang w:val="en-US" w:eastAsia="zh-CN" w:bidi="ar"/>
              </w:rPr>
              <w:t>之间的罐体，</w:t>
            </w:r>
            <w:r>
              <w:rPr>
                <w:rFonts w:hint="default" w:ascii="Times New Roman" w:hAnsi="Times New Roman" w:eastAsia="宋体" w:cs="Times New Roman"/>
                <w:snapToGrid w:val="0"/>
                <w:color w:val="0000FF"/>
                <w:kern w:val="0"/>
                <w:sz w:val="24"/>
                <w:szCs w:val="24"/>
                <w:lang w:val="en-US" w:eastAsia="zh-CN" w:bidi="ar"/>
              </w:rPr>
              <w:t>c=1</w:t>
            </w:r>
            <w:r>
              <w:rPr>
                <w:rFonts w:hint="eastAsia" w:ascii="Times New Roman" w:hAnsi="Times New Roman" w:eastAsia="宋体" w:cs="Times New Roman"/>
                <w:snapToGrid w:val="0"/>
                <w:color w:val="0000FF"/>
                <w:kern w:val="0"/>
                <w:sz w:val="24"/>
                <w:szCs w:val="24"/>
                <w:lang w:val="en-US" w:eastAsia="zh-CN" w:bidi="ar"/>
              </w:rPr>
              <w:t>-</w:t>
            </w:r>
            <w:r>
              <w:rPr>
                <w:rFonts w:hint="default" w:ascii="Times New Roman" w:hAnsi="Times New Roman" w:eastAsia="宋体" w:cs="Times New Roman"/>
                <w:snapToGrid w:val="0"/>
                <w:color w:val="0000FF"/>
                <w:kern w:val="0"/>
                <w:sz w:val="24"/>
                <w:szCs w:val="24"/>
                <w:lang w:val="en-US" w:eastAsia="zh-CN" w:bidi="ar"/>
              </w:rPr>
              <w:t>0.0123×</w:t>
            </w:r>
            <w:r>
              <w:rPr>
                <w:rFonts w:hint="eastAsia" w:ascii="宋体" w:hAnsi="宋体" w:eastAsia="宋体" w:cs="宋体"/>
                <w:snapToGrid w:val="0"/>
                <w:color w:val="0000FF"/>
                <w:kern w:val="0"/>
                <w:sz w:val="24"/>
                <w:szCs w:val="24"/>
                <w:lang w:val="en-US" w:eastAsia="zh-CN" w:bidi="ar"/>
              </w:rPr>
              <w:t>（</w:t>
            </w:r>
            <w:r>
              <w:rPr>
                <w:rFonts w:hint="default" w:ascii="Times New Roman" w:hAnsi="Times New Roman" w:eastAsia="宋体" w:cs="Times New Roman"/>
                <w:snapToGrid w:val="0"/>
                <w:color w:val="0000FF"/>
                <w:kern w:val="0"/>
                <w:sz w:val="24"/>
                <w:szCs w:val="24"/>
                <w:lang w:val="en-US" w:eastAsia="zh-CN" w:bidi="ar"/>
              </w:rPr>
              <w:t>D-9</w:t>
            </w:r>
            <w:r>
              <w:rPr>
                <w:rFonts w:hint="eastAsia" w:ascii="宋体" w:hAnsi="宋体" w:eastAsia="宋体" w:cs="宋体"/>
                <w:snapToGrid w:val="0"/>
                <w:color w:val="0000FF"/>
                <w:kern w:val="0"/>
                <w:sz w:val="24"/>
                <w:szCs w:val="24"/>
                <w:lang w:val="en-US" w:eastAsia="zh-CN" w:bidi="ar"/>
              </w:rPr>
              <w:t>）</w:t>
            </w:r>
            <w:r>
              <w:rPr>
                <w:rFonts w:hint="default" w:ascii="Times New Roman" w:hAnsi="Times New Roman" w:eastAsia="宋体" w:cs="Times New Roman"/>
                <w:snapToGrid w:val="0"/>
                <w:color w:val="0000FF"/>
                <w:kern w:val="0"/>
                <w:sz w:val="24"/>
                <w:szCs w:val="24"/>
                <w:vertAlign w:val="superscript"/>
                <w:lang w:val="en-US" w:eastAsia="zh-CN" w:bidi="ar"/>
              </w:rPr>
              <w:t>2</w:t>
            </w:r>
            <w:r>
              <w:rPr>
                <w:rFonts w:hint="eastAsia" w:ascii="宋体" w:hAnsi="宋体" w:eastAsia="宋体" w:cs="宋体"/>
                <w:snapToGrid w:val="0"/>
                <w:color w:val="0000FF"/>
                <w:kern w:val="0"/>
                <w:sz w:val="24"/>
                <w:szCs w:val="24"/>
                <w:lang w:val="en-US" w:eastAsia="zh-CN" w:bidi="ar"/>
              </w:rPr>
              <w:t>；罐径大于</w:t>
            </w:r>
            <w:r>
              <w:rPr>
                <w:rFonts w:hint="default" w:ascii="Times New Roman" w:hAnsi="Times New Roman" w:eastAsia="宋体" w:cs="Times New Roman"/>
                <w:snapToGrid w:val="0"/>
                <w:color w:val="0000FF"/>
                <w:kern w:val="0"/>
                <w:sz w:val="24"/>
                <w:szCs w:val="24"/>
                <w:lang w:val="en-US" w:eastAsia="zh-CN" w:bidi="ar"/>
              </w:rPr>
              <w:t xml:space="preserve">9m </w:t>
            </w:r>
            <w:r>
              <w:rPr>
                <w:rFonts w:hint="eastAsia" w:ascii="宋体" w:hAnsi="宋体" w:eastAsia="宋体" w:cs="宋体"/>
                <w:snapToGrid w:val="0"/>
                <w:color w:val="0000FF"/>
                <w:kern w:val="0"/>
                <w:sz w:val="24"/>
                <w:szCs w:val="24"/>
                <w:lang w:val="en-US" w:eastAsia="zh-CN" w:bidi="ar"/>
              </w:rPr>
              <w:t>的</w:t>
            </w:r>
            <w:r>
              <w:rPr>
                <w:rFonts w:hint="default" w:ascii="Times New Roman" w:hAnsi="Times New Roman" w:eastAsia="宋体" w:cs="Times New Roman"/>
                <w:snapToGrid w:val="0"/>
                <w:color w:val="0000FF"/>
                <w:kern w:val="0"/>
                <w:sz w:val="24"/>
                <w:szCs w:val="24"/>
                <w:lang w:val="en-US" w:eastAsia="zh-CN" w:bidi="ar"/>
              </w:rPr>
              <w:t>C=1</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Kc——</w:t>
            </w:r>
            <w:r>
              <w:rPr>
                <w:rFonts w:hint="eastAsia" w:ascii="宋体" w:hAnsi="宋体" w:eastAsia="宋体" w:cs="宋体"/>
                <w:snapToGrid w:val="0"/>
                <w:color w:val="0000FF"/>
                <w:kern w:val="0"/>
                <w:sz w:val="24"/>
                <w:szCs w:val="24"/>
                <w:lang w:val="en-US" w:eastAsia="zh-CN" w:bidi="ar"/>
              </w:rPr>
              <w:t>产品因子（石油原油取</w:t>
            </w:r>
            <w:r>
              <w:rPr>
                <w:rFonts w:hint="default" w:ascii="Times New Roman" w:hAnsi="Times New Roman" w:eastAsia="宋体" w:cs="Times New Roman"/>
                <w:snapToGrid w:val="0"/>
                <w:color w:val="0000FF"/>
                <w:kern w:val="0"/>
                <w:sz w:val="24"/>
                <w:szCs w:val="24"/>
                <w:lang w:val="en-US" w:eastAsia="zh-CN" w:bidi="ar"/>
              </w:rPr>
              <w:t>0.65</w:t>
            </w:r>
            <w:r>
              <w:rPr>
                <w:rFonts w:hint="eastAsia" w:ascii="宋体" w:hAnsi="宋体" w:eastAsia="宋体" w:cs="宋体"/>
                <w:snapToGrid w:val="0"/>
                <w:color w:val="0000FF"/>
                <w:kern w:val="0"/>
                <w:sz w:val="24"/>
                <w:szCs w:val="24"/>
                <w:lang w:val="en-US" w:eastAsia="zh-CN" w:bidi="ar"/>
              </w:rPr>
              <w:t>，其他有机液体取</w:t>
            </w:r>
            <w:r>
              <w:rPr>
                <w:rFonts w:hint="default" w:ascii="Times New Roman" w:hAnsi="Times New Roman" w:eastAsia="宋体" w:cs="Times New Roman"/>
                <w:snapToGrid w:val="0"/>
                <w:color w:val="0000FF"/>
                <w:kern w:val="0"/>
                <w:sz w:val="24"/>
                <w:szCs w:val="24"/>
                <w:lang w:val="en-US" w:eastAsia="zh-CN" w:bidi="ar"/>
              </w:rPr>
              <w:t>1</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sz w:val="24"/>
                <w:szCs w:val="24"/>
              </w:rPr>
            </w:pPr>
            <w:r>
              <w:rPr>
                <w:rFonts w:hint="default" w:ascii="Times New Roman" w:hAnsi="Times New Roman" w:eastAsia="宋体" w:cs="Times New Roman"/>
                <w:snapToGrid w:val="0"/>
                <w:color w:val="0000FF"/>
                <w:kern w:val="0"/>
                <w:sz w:val="24"/>
                <w:szCs w:val="24"/>
                <w:lang w:val="en-US" w:eastAsia="zh-CN" w:bidi="ar"/>
              </w:rPr>
              <w:t>η1——</w:t>
            </w:r>
            <w:r>
              <w:rPr>
                <w:rFonts w:hint="eastAsia" w:ascii="宋体" w:hAnsi="宋体" w:eastAsia="宋体" w:cs="宋体"/>
                <w:snapToGrid w:val="0"/>
                <w:color w:val="0000FF"/>
                <w:kern w:val="0"/>
                <w:sz w:val="24"/>
                <w:szCs w:val="24"/>
                <w:lang w:val="en-US" w:eastAsia="zh-CN" w:bidi="ar"/>
              </w:rPr>
              <w:t>内浮顶储罐取</w:t>
            </w:r>
            <w:r>
              <w:rPr>
                <w:rFonts w:hint="default" w:ascii="Times New Roman" w:hAnsi="Times New Roman" w:eastAsia="宋体" w:cs="Times New Roman"/>
                <w:snapToGrid w:val="0"/>
                <w:color w:val="0000FF"/>
                <w:kern w:val="0"/>
                <w:sz w:val="24"/>
                <w:szCs w:val="24"/>
                <w:lang w:val="en-US" w:eastAsia="zh-CN" w:bidi="ar"/>
              </w:rPr>
              <w:t>0.5</w:t>
            </w:r>
            <w:r>
              <w:rPr>
                <w:rFonts w:hint="eastAsia" w:ascii="宋体" w:hAnsi="宋体" w:eastAsia="宋体" w:cs="宋体"/>
                <w:snapToGrid w:val="0"/>
                <w:color w:val="0000FF"/>
                <w:kern w:val="0"/>
                <w:sz w:val="24"/>
                <w:szCs w:val="24"/>
                <w:lang w:val="en-US" w:eastAsia="zh-CN" w:bidi="ar"/>
              </w:rPr>
              <w:t>，拱顶罐取</w:t>
            </w:r>
            <w:r>
              <w:rPr>
                <w:rFonts w:hint="default" w:ascii="Times New Roman" w:hAnsi="Times New Roman" w:eastAsia="宋体" w:cs="Times New Roman"/>
                <w:snapToGrid w:val="0"/>
                <w:color w:val="0000FF"/>
                <w:kern w:val="0"/>
                <w:sz w:val="24"/>
                <w:szCs w:val="24"/>
                <w:lang w:val="en-US" w:eastAsia="zh-CN" w:bidi="ar"/>
              </w:rPr>
              <w:t>1</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360" w:lineRule="auto"/>
              <w:ind w:firstLine="1200" w:firstLineChars="500"/>
              <w:jc w:val="left"/>
              <w:rPr>
                <w:color w:val="0000FF"/>
              </w:rPr>
            </w:pPr>
            <w:r>
              <w:rPr>
                <w:rFonts w:hint="default" w:ascii="Times New Roman" w:hAnsi="Times New Roman" w:eastAsia="宋体" w:cs="Times New Roman"/>
                <w:snapToGrid w:val="0"/>
                <w:color w:val="0000FF"/>
                <w:kern w:val="0"/>
                <w:sz w:val="24"/>
                <w:szCs w:val="24"/>
                <w:lang w:val="en-US" w:eastAsia="zh-CN" w:bidi="ar"/>
              </w:rPr>
              <w:t>η2——</w:t>
            </w:r>
            <w:r>
              <w:rPr>
                <w:rFonts w:hint="eastAsia" w:ascii="宋体" w:hAnsi="宋体" w:eastAsia="宋体" w:cs="宋体"/>
                <w:snapToGrid w:val="0"/>
                <w:color w:val="0000FF"/>
                <w:kern w:val="0"/>
                <w:sz w:val="24"/>
                <w:szCs w:val="24"/>
                <w:lang w:val="en-US" w:eastAsia="zh-CN" w:bidi="ar"/>
              </w:rPr>
              <w:t>设置呼吸阀取</w:t>
            </w:r>
            <w:r>
              <w:rPr>
                <w:rFonts w:hint="default" w:ascii="Times New Roman" w:hAnsi="Times New Roman" w:eastAsia="宋体" w:cs="Times New Roman"/>
                <w:snapToGrid w:val="0"/>
                <w:color w:val="0000FF"/>
                <w:kern w:val="0"/>
                <w:sz w:val="24"/>
                <w:szCs w:val="24"/>
                <w:lang w:val="en-US" w:eastAsia="zh-CN" w:bidi="ar"/>
              </w:rPr>
              <w:t>0.7</w:t>
            </w:r>
            <w:r>
              <w:rPr>
                <w:rFonts w:hint="eastAsia" w:ascii="宋体" w:hAnsi="宋体" w:eastAsia="宋体" w:cs="宋体"/>
                <w:snapToGrid w:val="0"/>
                <w:color w:val="0000FF"/>
                <w:kern w:val="0"/>
                <w:sz w:val="24"/>
                <w:szCs w:val="24"/>
                <w:lang w:val="en-US" w:eastAsia="zh-CN" w:bidi="ar"/>
              </w:rPr>
              <w:t xml:space="preserve">，不设取 </w:t>
            </w:r>
            <w:r>
              <w:rPr>
                <w:rFonts w:hint="default" w:ascii="Times New Roman" w:hAnsi="Times New Roman" w:eastAsia="宋体" w:cs="Times New Roman"/>
                <w:snapToGrid w:val="0"/>
                <w:color w:val="0000FF"/>
                <w:kern w:val="0"/>
                <w:sz w:val="24"/>
                <w:szCs w:val="24"/>
                <w:lang w:val="en-US" w:eastAsia="zh-CN" w:bidi="ar"/>
              </w:rPr>
              <w:t>1</w:t>
            </w:r>
            <w:r>
              <w:rPr>
                <w:rFonts w:hint="eastAsia" w:ascii="宋体" w:hAnsi="宋体" w:eastAsia="宋体" w:cs="宋体"/>
                <w:snapToGrid w:val="0"/>
                <w:color w:val="0000FF"/>
                <w:kern w:val="0"/>
                <w:sz w:val="24"/>
                <w:szCs w:val="24"/>
                <w:lang w:val="en-US" w:eastAsia="zh-CN" w:bidi="ar"/>
              </w:rPr>
              <w:t xml:space="preserve">； </w:t>
            </w:r>
          </w:p>
          <w:p>
            <w:pPr>
              <w:keepNext w:val="0"/>
              <w:keepLines w:val="0"/>
              <w:widowControl/>
              <w:suppressLineNumbers w:val="0"/>
              <w:spacing w:line="240" w:lineRule="auto"/>
              <w:ind w:firstLine="422" w:firstLineChars="200"/>
              <w:jc w:val="center"/>
              <w:rPr>
                <w:rFonts w:hint="eastAsia" w:ascii="宋体" w:hAnsi="宋体" w:eastAsia="宋体" w:cs="宋体"/>
                <w:b/>
                <w:bCs/>
                <w:snapToGrid w:val="0"/>
                <w:color w:val="0000FF"/>
                <w:kern w:val="0"/>
                <w:sz w:val="21"/>
                <w:szCs w:val="21"/>
                <w:lang w:val="en-US" w:eastAsia="zh-CN" w:bidi="ar"/>
              </w:rPr>
            </w:pPr>
            <w:r>
              <w:rPr>
                <w:rFonts w:hint="eastAsia" w:ascii="宋体" w:hAnsi="宋体" w:eastAsia="宋体" w:cs="宋体"/>
                <w:b/>
                <w:bCs/>
                <w:snapToGrid w:val="0"/>
                <w:color w:val="0000FF"/>
                <w:kern w:val="0"/>
                <w:sz w:val="21"/>
                <w:szCs w:val="21"/>
                <w:lang w:val="en-US" w:eastAsia="zh-CN" w:bidi="ar"/>
              </w:rPr>
              <w:t>表</w:t>
            </w:r>
            <w:r>
              <w:rPr>
                <w:rFonts w:hint="eastAsia" w:ascii="Times New Roman" w:hAnsi="Times New Roman" w:eastAsia="宋体" w:cs="Times New Roman"/>
                <w:b/>
                <w:bCs/>
                <w:snapToGrid w:val="0"/>
                <w:color w:val="0000FF"/>
                <w:kern w:val="0"/>
                <w:sz w:val="21"/>
                <w:szCs w:val="21"/>
                <w:lang w:val="en-US" w:eastAsia="zh-CN" w:bidi="ar"/>
              </w:rPr>
              <w:t>4-2</w:t>
            </w:r>
            <w:r>
              <w:rPr>
                <w:rFonts w:hint="eastAsia" w:ascii="宋体" w:hAnsi="宋体" w:eastAsia="宋体" w:cs="宋体"/>
                <w:b/>
                <w:bCs/>
                <w:snapToGrid w:val="0"/>
                <w:color w:val="0000FF"/>
                <w:kern w:val="0"/>
                <w:sz w:val="21"/>
                <w:szCs w:val="21"/>
                <w:lang w:val="en-US" w:eastAsia="zh-CN" w:bidi="ar"/>
              </w:rPr>
              <w:t>储罐大小呼吸参数</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0"/>
              <w:gridCol w:w="720"/>
              <w:gridCol w:w="720"/>
              <w:gridCol w:w="720"/>
              <w:gridCol w:w="720"/>
              <w:gridCol w:w="720"/>
              <w:gridCol w:w="720"/>
              <w:gridCol w:w="720"/>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4" w:type="pct"/>
                  <w:vAlign w:val="center"/>
                </w:tcPr>
                <w:p>
                  <w:pPr>
                    <w:pStyle w:val="19"/>
                    <w:spacing w:line="240" w:lineRule="auto"/>
                    <w:ind w:left="0" w:leftChars="0" w:firstLine="0" w:firstLineChars="0"/>
                    <w:jc w:val="center"/>
                    <w:rPr>
                      <w:rFonts w:hint="default" w:ascii="Times New Roman" w:hAnsi="Times New Roman" w:eastAsia="宋体" w:cs="宋体"/>
                      <w:b/>
                      <w:bCs w:val="0"/>
                      <w:color w:val="0000FF"/>
                      <w:sz w:val="21"/>
                      <w:szCs w:val="21"/>
                      <w:vertAlign w:val="baseline"/>
                      <w:lang w:val="en-US" w:eastAsia="zh-CN"/>
                    </w:rPr>
                  </w:pPr>
                  <w:r>
                    <w:rPr>
                      <w:rFonts w:hint="eastAsia" w:ascii="Times New Roman" w:hAnsi="Times New Roman" w:eastAsia="宋体" w:cs="宋体"/>
                      <w:b/>
                      <w:bCs w:val="0"/>
                      <w:color w:val="0000FF"/>
                      <w:sz w:val="21"/>
                      <w:szCs w:val="21"/>
                      <w:vertAlign w:val="baseline"/>
                      <w:lang w:val="en-US" w:eastAsia="zh-CN"/>
                    </w:rPr>
                    <w:t>品类</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M</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P</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D</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H</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 T</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Fp</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C</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Kc</w:t>
                  </w:r>
                </w:p>
              </w:tc>
              <w:tc>
                <w:tcPr>
                  <w:tcW w:w="455"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η1</w:t>
                  </w:r>
                </w:p>
              </w:tc>
              <w:tc>
                <w:tcPr>
                  <w:tcW w:w="455" w:type="pct"/>
                  <w:vAlign w:val="center"/>
                </w:tcPr>
                <w:p>
                  <w:pPr>
                    <w:pStyle w:val="19"/>
                    <w:spacing w:line="240" w:lineRule="auto"/>
                    <w:ind w:left="0" w:leftChars="0" w:firstLine="0" w:firstLineChars="0"/>
                    <w:jc w:val="center"/>
                    <w:rPr>
                      <w:rFonts w:hint="eastAsia" w:ascii="Times New Roman" w:hAnsi="Times New Roman" w:eastAsia="宋体" w:cs="宋体"/>
                      <w:b/>
                      <w:bCs w:val="0"/>
                      <w:color w:val="0000FF"/>
                      <w:sz w:val="21"/>
                      <w:szCs w:val="21"/>
                      <w:vertAlign w:val="baseline"/>
                      <w:lang w:val="en-US" w:eastAsia="zh-CN"/>
                    </w:rPr>
                  </w:pPr>
                  <w:r>
                    <w:rPr>
                      <w:rFonts w:hint="default" w:ascii="Times New Roman" w:hAnsi="Times New Roman" w:eastAsia="宋体" w:cs="宋体"/>
                      <w:b/>
                      <w:bCs w:val="0"/>
                      <w:color w:val="0000FF"/>
                      <w:sz w:val="21"/>
                      <w:szCs w:val="21"/>
                      <w:vertAlign w:val="baseline"/>
                      <w:lang w:val="en-US" w:eastAsia="zh-CN"/>
                    </w:rPr>
                    <w:t>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eastAsia" w:ascii="Times New Roman" w:hAnsi="Times New Roman" w:eastAsia="宋体" w:cs="宋体"/>
                      <w:b w:val="0"/>
                      <w:bCs/>
                      <w:color w:val="0000FF"/>
                      <w:sz w:val="21"/>
                      <w:szCs w:val="21"/>
                      <w:vertAlign w:val="baseline"/>
                      <w:lang w:val="en-US" w:eastAsia="zh-CN"/>
                    </w:rPr>
                    <w:t>柴油</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96</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5898</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1.5</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1.5</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9</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1</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0.31</w:t>
                  </w:r>
                </w:p>
              </w:tc>
              <w:tc>
                <w:tcPr>
                  <w:tcW w:w="454"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1</w:t>
                  </w:r>
                </w:p>
              </w:tc>
              <w:tc>
                <w:tcPr>
                  <w:tcW w:w="455"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1</w:t>
                  </w:r>
                </w:p>
              </w:tc>
              <w:tc>
                <w:tcPr>
                  <w:tcW w:w="455" w:type="pct"/>
                  <w:vAlign w:val="center"/>
                </w:tcPr>
                <w:p>
                  <w:pPr>
                    <w:pStyle w:val="19"/>
                    <w:spacing w:line="240" w:lineRule="auto"/>
                    <w:ind w:left="0" w:leftChars="0" w:firstLine="0" w:firstLineChars="0"/>
                    <w:jc w:val="center"/>
                    <w:rPr>
                      <w:rFonts w:hint="eastAsia" w:ascii="Times New Roman" w:hAnsi="Times New Roman" w:eastAsia="宋体" w:cs="宋体"/>
                      <w:b w:val="0"/>
                      <w:bCs/>
                      <w:color w:val="0000FF"/>
                      <w:sz w:val="21"/>
                      <w:szCs w:val="21"/>
                      <w:vertAlign w:val="baseline"/>
                      <w:lang w:val="en-US" w:eastAsia="zh-CN"/>
                    </w:rPr>
                  </w:pPr>
                  <w:r>
                    <w:rPr>
                      <w:rFonts w:hint="default" w:ascii="Times New Roman" w:hAnsi="Times New Roman" w:eastAsia="宋体" w:cs="宋体"/>
                      <w:b w:val="0"/>
                      <w:bCs/>
                      <w:color w:val="0000FF"/>
                      <w:sz w:val="21"/>
                      <w:szCs w:val="21"/>
                      <w:vertAlign w:val="baseline"/>
                      <w:lang w:val="en-US" w:eastAsia="zh-CN"/>
                    </w:rPr>
                    <w:t>1</w:t>
                  </w:r>
                </w:p>
              </w:tc>
            </w:tr>
          </w:tbl>
          <w:p>
            <w:pPr>
              <w:keepNext w:val="0"/>
              <w:keepLines w:val="0"/>
              <w:widowControl/>
              <w:suppressLineNumbers w:val="0"/>
              <w:spacing w:line="360" w:lineRule="auto"/>
              <w:ind w:firstLine="480" w:firstLineChars="200"/>
              <w:jc w:val="left"/>
              <w:rPr>
                <w:rFonts w:hint="default" w:ascii="Times New Roman" w:hAnsi="Times New Roman" w:eastAsia="宋体" w:cs="Times New Roman"/>
                <w:snapToGrid w:val="0"/>
                <w:color w:val="0000FF"/>
                <w:kern w:val="0"/>
                <w:sz w:val="24"/>
                <w:szCs w:val="24"/>
                <w:lang w:val="en-US" w:eastAsia="zh-CN" w:bidi="ar"/>
              </w:rPr>
            </w:pPr>
            <w:r>
              <w:rPr>
                <w:rFonts w:hint="default" w:ascii="Times New Roman" w:hAnsi="Times New Roman" w:eastAsia="宋体" w:cs="Times New Roman"/>
                <w:snapToGrid w:val="0"/>
                <w:color w:val="0000FF"/>
                <w:kern w:val="0"/>
                <w:sz w:val="24"/>
                <w:szCs w:val="24"/>
                <w:lang w:val="en-US" w:eastAsia="zh-CN" w:bidi="ar"/>
              </w:rPr>
              <w:t xml:space="preserve"> 储罐的</w:t>
            </w:r>
            <w:r>
              <w:rPr>
                <w:rFonts w:hint="eastAsia" w:ascii="Times New Roman" w:hAnsi="Times New Roman" w:eastAsia="宋体" w:cs="Times New Roman"/>
                <w:snapToGrid w:val="0"/>
                <w:color w:val="0000FF"/>
                <w:kern w:val="0"/>
                <w:sz w:val="24"/>
                <w:szCs w:val="24"/>
                <w:lang w:val="en-US" w:eastAsia="zh-CN" w:bidi="ar"/>
              </w:rPr>
              <w:t>大</w:t>
            </w:r>
            <w:r>
              <w:rPr>
                <w:rFonts w:hint="default" w:ascii="Times New Roman" w:hAnsi="Times New Roman" w:eastAsia="宋体" w:cs="Times New Roman"/>
                <w:snapToGrid w:val="0"/>
                <w:color w:val="0000FF"/>
                <w:kern w:val="0"/>
                <w:sz w:val="24"/>
                <w:szCs w:val="24"/>
                <w:lang w:val="en-US" w:eastAsia="zh-CN" w:bidi="ar"/>
              </w:rPr>
              <w:t xml:space="preserve">呼吸排放量约为27.2kg/a，按非甲烷总烃计。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napToGrid w:val="0"/>
                <w:color w:val="0000FF"/>
                <w:kern w:val="0"/>
                <w:sz w:val="24"/>
                <w:szCs w:val="24"/>
                <w:lang w:val="en-US" w:eastAsia="zh-CN" w:bidi="ar"/>
              </w:rPr>
            </w:pPr>
            <w:r>
              <w:rPr>
                <w:rFonts w:hint="default" w:ascii="Times New Roman" w:hAnsi="Times New Roman" w:eastAsia="宋体" w:cs="Times New Roman"/>
                <w:snapToGrid w:val="0"/>
                <w:color w:val="0000FF"/>
                <w:kern w:val="0"/>
                <w:sz w:val="24"/>
                <w:szCs w:val="24"/>
                <w:lang w:val="en-US" w:eastAsia="zh-CN" w:bidi="ar"/>
              </w:rPr>
              <w:t>储罐工作排放量</w:t>
            </w:r>
            <w:r>
              <w:rPr>
                <w:rFonts w:hint="eastAsia" w:ascii="Times New Roman" w:hAnsi="Times New Roman" w:eastAsia="宋体" w:cs="Times New Roman"/>
                <w:snapToGrid w:val="0"/>
                <w:color w:val="0000FF"/>
                <w:kern w:val="0"/>
                <w:sz w:val="24"/>
                <w:szCs w:val="24"/>
                <w:lang w:val="en-US" w:eastAsia="zh-CN" w:bidi="ar"/>
              </w:rPr>
              <w:t>：</w:t>
            </w:r>
            <w:r>
              <w:rPr>
                <w:rFonts w:hint="default" w:ascii="Times New Roman" w:hAnsi="Times New Roman" w:eastAsia="宋体" w:cs="Times New Roman"/>
                <w:snapToGrid w:val="0"/>
                <w:color w:val="0000FF"/>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napToGrid w:val="0"/>
                <w:color w:val="0000FF"/>
                <w:kern w:val="0"/>
                <w:sz w:val="24"/>
                <w:szCs w:val="24"/>
                <w:lang w:val="en-US" w:eastAsia="zh-CN" w:bidi="ar"/>
              </w:rPr>
            </w:pPr>
            <w:r>
              <w:rPr>
                <w:rFonts w:hint="default" w:ascii="Times New Roman" w:hAnsi="Times New Roman" w:eastAsia="宋体" w:cs="Times New Roman"/>
                <w:snapToGrid w:val="0"/>
                <w:color w:val="0000FF"/>
                <w:kern w:val="0"/>
                <w:sz w:val="24"/>
                <w:szCs w:val="24"/>
                <w:lang w:val="en-US" w:eastAsia="zh-CN" w:bidi="ar"/>
              </w:rPr>
              <w:t>L</w:t>
            </w:r>
            <w:r>
              <w:rPr>
                <w:rFonts w:hint="default" w:ascii="Times New Roman" w:hAnsi="Times New Roman" w:eastAsia="宋体" w:cs="Times New Roman"/>
                <w:snapToGrid w:val="0"/>
                <w:color w:val="0000FF"/>
                <w:kern w:val="0"/>
                <w:sz w:val="24"/>
                <w:szCs w:val="24"/>
                <w:vertAlign w:val="subscript"/>
                <w:lang w:val="en-US" w:eastAsia="zh-CN" w:bidi="ar"/>
              </w:rPr>
              <w:t>W</w:t>
            </w:r>
            <w:r>
              <w:rPr>
                <w:rFonts w:hint="default" w:ascii="Times New Roman" w:hAnsi="Times New Roman" w:eastAsia="宋体" w:cs="Times New Roman"/>
                <w:snapToGrid w:val="0"/>
                <w:color w:val="0000FF"/>
                <w:kern w:val="0"/>
                <w:sz w:val="24"/>
                <w:szCs w:val="24"/>
                <w:lang w:val="en-US" w:eastAsia="zh-CN" w:bidi="ar"/>
              </w:rPr>
              <w:t>=4.188·10</w:t>
            </w:r>
            <w:r>
              <w:rPr>
                <w:rFonts w:hint="default" w:ascii="Times New Roman" w:hAnsi="Times New Roman" w:eastAsia="宋体" w:cs="Times New Roman"/>
                <w:snapToGrid w:val="0"/>
                <w:color w:val="0000FF"/>
                <w:kern w:val="0"/>
                <w:sz w:val="24"/>
                <w:szCs w:val="24"/>
                <w:vertAlign w:val="superscript"/>
                <w:lang w:val="en-US" w:eastAsia="zh-CN" w:bidi="ar"/>
              </w:rPr>
              <w:t>-7</w:t>
            </w:r>
            <w:r>
              <w:rPr>
                <w:rFonts w:hint="default" w:ascii="Times New Roman" w:hAnsi="Times New Roman" w:eastAsia="宋体" w:cs="Times New Roman"/>
                <w:snapToGrid w:val="0"/>
                <w:color w:val="0000FF"/>
                <w:kern w:val="0"/>
                <w:sz w:val="24"/>
                <w:szCs w:val="24"/>
                <w:lang w:val="en-US" w:eastAsia="zh-CN" w:bidi="ar"/>
              </w:rPr>
              <w:t>·M·P·K</w:t>
            </w:r>
            <w:r>
              <w:rPr>
                <w:rFonts w:hint="default" w:ascii="Times New Roman" w:hAnsi="Times New Roman" w:eastAsia="宋体" w:cs="Times New Roman"/>
                <w:snapToGrid w:val="0"/>
                <w:color w:val="0000FF"/>
                <w:kern w:val="0"/>
                <w:sz w:val="24"/>
                <w:szCs w:val="24"/>
                <w:vertAlign w:val="subscript"/>
                <w:lang w:val="en-US" w:eastAsia="zh-CN" w:bidi="ar"/>
              </w:rPr>
              <w:t>N</w:t>
            </w:r>
            <w:r>
              <w:rPr>
                <w:rFonts w:hint="default" w:ascii="Times New Roman" w:hAnsi="Times New Roman" w:eastAsia="宋体" w:cs="Times New Roman"/>
                <w:snapToGrid w:val="0"/>
                <w:color w:val="0000FF"/>
                <w:kern w:val="0"/>
                <w:sz w:val="24"/>
                <w:szCs w:val="24"/>
                <w:lang w:val="en-US" w:eastAsia="zh-CN" w:bidi="ar"/>
              </w:rPr>
              <w:t>·K</w:t>
            </w:r>
            <w:r>
              <w:rPr>
                <w:rFonts w:hint="default" w:ascii="Times New Roman" w:hAnsi="Times New Roman" w:eastAsia="宋体" w:cs="Times New Roman"/>
                <w:snapToGrid w:val="0"/>
                <w:color w:val="0000FF"/>
                <w:kern w:val="0"/>
                <w:sz w:val="24"/>
                <w:szCs w:val="24"/>
                <w:vertAlign w:val="subscript"/>
                <w:lang w:val="en-US" w:eastAsia="zh-CN" w:bidi="ar"/>
              </w:rPr>
              <w:t>C</w:t>
            </w:r>
            <w:r>
              <w:rPr>
                <w:rFonts w:hint="default" w:ascii="Times New Roman" w:hAnsi="Times New Roman" w:eastAsia="宋体" w:cs="Times New Roman"/>
                <w:snapToGrid w:val="0"/>
                <w:color w:val="0000FF"/>
                <w:kern w:val="0"/>
                <w:sz w:val="24"/>
                <w:szCs w:val="24"/>
                <w:lang w:val="en-US" w:eastAsia="zh-CN" w:bidi="ar"/>
              </w:rPr>
              <w:t xml:space="preserve">··η1·η2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napToGrid w:val="0"/>
                <w:color w:val="0000FF"/>
                <w:kern w:val="0"/>
                <w:sz w:val="24"/>
                <w:szCs w:val="24"/>
                <w:lang w:val="en-US" w:eastAsia="zh-CN" w:bidi="ar"/>
              </w:rPr>
            </w:pPr>
            <w:r>
              <w:rPr>
                <w:rFonts w:hint="default" w:ascii="Times New Roman" w:hAnsi="Times New Roman" w:eastAsia="宋体" w:cs="Times New Roman"/>
                <w:snapToGrid w:val="0"/>
                <w:color w:val="0000FF"/>
                <w:kern w:val="0"/>
                <w:sz w:val="24"/>
                <w:szCs w:val="24"/>
                <w:lang w:val="en-US" w:eastAsia="zh-CN" w:bidi="ar"/>
              </w:rPr>
              <w:t>式中：Lw——储罐的工作损失（kg/m</w:t>
            </w:r>
            <w:r>
              <w:rPr>
                <w:rFonts w:hint="default" w:ascii="Times New Roman" w:hAnsi="Times New Roman" w:eastAsia="宋体" w:cs="Times New Roman"/>
                <w:snapToGrid w:val="0"/>
                <w:color w:val="0000FF"/>
                <w:kern w:val="0"/>
                <w:sz w:val="24"/>
                <w:szCs w:val="24"/>
                <w:vertAlign w:val="superscript"/>
                <w:lang w:val="en-US" w:eastAsia="zh-CN" w:bidi="ar"/>
              </w:rPr>
              <w:t>3</w:t>
            </w:r>
            <w:r>
              <w:rPr>
                <w:rFonts w:hint="default" w:ascii="Times New Roman" w:hAnsi="Times New Roman" w:eastAsia="宋体" w:cs="Times New Roman"/>
                <w:snapToGrid w:val="0"/>
                <w:color w:val="0000FF"/>
                <w:kern w:val="0"/>
                <w:sz w:val="24"/>
                <w:szCs w:val="24"/>
                <w:lang w:val="en-US" w:eastAsia="zh-CN" w:bidi="ar"/>
              </w:rPr>
              <w:t xml:space="preserve"> 投入量）； </w:t>
            </w:r>
          </w:p>
          <w:p>
            <w:pPr>
              <w:keepNext w:val="0"/>
              <w:keepLines w:val="0"/>
              <w:widowControl/>
              <w:suppressLineNumbers w:val="0"/>
              <w:spacing w:line="360" w:lineRule="auto"/>
              <w:ind w:firstLine="1200" w:firstLineChars="500"/>
              <w:jc w:val="left"/>
              <w:rPr>
                <w:rFonts w:hint="default" w:ascii="Times New Roman" w:hAnsi="Times New Roman" w:eastAsia="宋体" w:cs="Times New Roman"/>
                <w:snapToGrid w:val="0"/>
                <w:color w:val="0000FF"/>
                <w:kern w:val="0"/>
                <w:sz w:val="24"/>
                <w:szCs w:val="24"/>
                <w:lang w:val="en-US" w:eastAsia="zh-CN" w:bidi="ar"/>
              </w:rPr>
            </w:pPr>
            <w:r>
              <w:rPr>
                <w:rFonts w:hint="default" w:ascii="Times New Roman" w:hAnsi="Times New Roman" w:eastAsia="宋体" w:cs="Times New Roman"/>
                <w:snapToGrid w:val="0"/>
                <w:color w:val="0000FF"/>
                <w:kern w:val="0"/>
                <w:sz w:val="24"/>
                <w:szCs w:val="24"/>
                <w:lang w:val="en-US" w:eastAsia="zh-CN" w:bidi="ar"/>
              </w:rPr>
              <w:t>K</w:t>
            </w:r>
            <w:r>
              <w:rPr>
                <w:rFonts w:hint="default" w:ascii="Times New Roman" w:hAnsi="Times New Roman" w:eastAsia="宋体" w:cs="Times New Roman"/>
                <w:snapToGrid w:val="0"/>
                <w:color w:val="0000FF"/>
                <w:kern w:val="0"/>
                <w:sz w:val="24"/>
                <w:szCs w:val="24"/>
                <w:vertAlign w:val="subscript"/>
                <w:lang w:val="en-US" w:eastAsia="zh-CN" w:bidi="ar"/>
              </w:rPr>
              <w:t>N</w:t>
            </w:r>
            <w:r>
              <w:rPr>
                <w:rFonts w:hint="default" w:ascii="Times New Roman" w:hAnsi="Times New Roman" w:eastAsia="宋体" w:cs="Times New Roman"/>
                <w:snapToGrid w:val="0"/>
                <w:color w:val="0000FF"/>
                <w:kern w:val="0"/>
                <w:sz w:val="24"/>
                <w:szCs w:val="24"/>
                <w:lang w:val="en-US" w:eastAsia="zh-CN" w:bidi="ar"/>
              </w:rPr>
              <w:t xml:space="preserve">——周转因子（无量纲），取值按年周转次数（K=年投入量/罐容量）确定；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napToGrid w:val="0"/>
                <w:color w:val="0000FF"/>
                <w:kern w:val="0"/>
                <w:sz w:val="24"/>
                <w:szCs w:val="24"/>
                <w:lang w:val="en-US" w:eastAsia="zh-CN" w:bidi="ar"/>
              </w:rPr>
            </w:pPr>
            <w:r>
              <w:rPr>
                <w:rFonts w:hint="default" w:ascii="Times New Roman" w:hAnsi="Times New Roman" w:eastAsia="宋体" w:cs="Times New Roman"/>
                <w:snapToGrid w:val="0"/>
                <w:color w:val="0000FF"/>
                <w:kern w:val="0"/>
                <w:sz w:val="24"/>
                <w:szCs w:val="24"/>
                <w:lang w:val="en-US" w:eastAsia="zh-CN" w:bidi="ar"/>
              </w:rPr>
              <w:t>根据上式计算得出储罐工作排放量约为 0.24kg/m</w:t>
            </w:r>
            <w:r>
              <w:rPr>
                <w:rFonts w:hint="default" w:ascii="Times New Roman" w:hAnsi="Times New Roman" w:eastAsia="宋体" w:cs="Times New Roman"/>
                <w:snapToGrid w:val="0"/>
                <w:color w:val="0000FF"/>
                <w:kern w:val="0"/>
                <w:sz w:val="24"/>
                <w:szCs w:val="24"/>
                <w:vertAlign w:val="superscript"/>
                <w:lang w:val="en-US" w:eastAsia="zh-CN" w:bidi="ar"/>
              </w:rPr>
              <w:t>3</w:t>
            </w:r>
            <w:r>
              <w:rPr>
                <w:rFonts w:hint="default" w:ascii="Times New Roman" w:hAnsi="Times New Roman" w:eastAsia="宋体" w:cs="Times New Roman"/>
                <w:snapToGrid w:val="0"/>
                <w:color w:val="0000FF"/>
                <w:kern w:val="0"/>
                <w:sz w:val="24"/>
                <w:szCs w:val="24"/>
                <w:lang w:val="en-US" w:eastAsia="zh-CN" w:bidi="ar"/>
              </w:rPr>
              <w:t>，柴油</w:t>
            </w:r>
            <w:r>
              <w:rPr>
                <w:rFonts w:hint="eastAsia" w:ascii="Times New Roman" w:hAnsi="Times New Roman" w:eastAsia="宋体" w:cs="Times New Roman"/>
                <w:snapToGrid w:val="0"/>
                <w:color w:val="0000FF"/>
                <w:kern w:val="0"/>
                <w:sz w:val="24"/>
                <w:szCs w:val="24"/>
                <w:lang w:val="en-US" w:eastAsia="zh-CN" w:bidi="ar"/>
              </w:rPr>
              <w:t>最大储存量</w:t>
            </w:r>
            <w:r>
              <w:rPr>
                <w:rFonts w:hint="default" w:ascii="Times New Roman" w:hAnsi="Times New Roman" w:eastAsia="宋体" w:cs="Times New Roman"/>
                <w:snapToGrid w:val="0"/>
                <w:color w:val="0000FF"/>
                <w:kern w:val="0"/>
                <w:sz w:val="24"/>
                <w:szCs w:val="24"/>
                <w:lang w:val="en-US" w:eastAsia="zh-CN" w:bidi="ar"/>
              </w:rPr>
              <w:t xml:space="preserve">为 </w:t>
            </w:r>
            <w:r>
              <w:rPr>
                <w:rFonts w:hint="eastAsia" w:ascii="Times New Roman" w:hAnsi="Times New Roman" w:eastAsia="宋体" w:cs="Times New Roman"/>
                <w:snapToGrid w:val="0"/>
                <w:color w:val="0000FF"/>
                <w:kern w:val="0"/>
                <w:sz w:val="24"/>
                <w:szCs w:val="24"/>
                <w:lang w:val="en-US" w:eastAsia="zh-CN" w:bidi="ar"/>
              </w:rPr>
              <w:t>60</w:t>
            </w:r>
            <w:r>
              <w:rPr>
                <w:rFonts w:hint="default" w:ascii="Times New Roman" w:hAnsi="Times New Roman" w:eastAsia="宋体" w:cs="Times New Roman"/>
                <w:snapToGrid w:val="0"/>
                <w:color w:val="0000FF"/>
                <w:kern w:val="0"/>
                <w:sz w:val="24"/>
                <w:szCs w:val="24"/>
                <w:lang w:val="en-US" w:eastAsia="zh-CN" w:bidi="ar"/>
              </w:rPr>
              <w:t>t（</w:t>
            </w:r>
            <w:r>
              <w:rPr>
                <w:rFonts w:hint="eastAsia" w:ascii="Times New Roman" w:hAnsi="Times New Roman" w:eastAsia="宋体" w:cs="Times New Roman"/>
                <w:snapToGrid w:val="0"/>
                <w:color w:val="0000FF"/>
                <w:kern w:val="0"/>
                <w:sz w:val="24"/>
                <w:szCs w:val="24"/>
                <w:lang w:val="en-US" w:eastAsia="zh-CN" w:bidi="ar"/>
              </w:rPr>
              <w:t>约51</w:t>
            </w:r>
            <w:r>
              <w:rPr>
                <w:rFonts w:hint="default" w:ascii="Times New Roman" w:hAnsi="Times New Roman" w:eastAsia="宋体" w:cs="Times New Roman"/>
                <w:snapToGrid w:val="0"/>
                <w:color w:val="0000FF"/>
                <w:kern w:val="0"/>
                <w:sz w:val="24"/>
                <w:szCs w:val="24"/>
                <w:lang w:val="en-US" w:eastAsia="zh-CN" w:bidi="ar"/>
              </w:rPr>
              <w:t>m</w:t>
            </w:r>
            <w:r>
              <w:rPr>
                <w:rFonts w:hint="default" w:ascii="Times New Roman" w:hAnsi="Times New Roman" w:eastAsia="宋体" w:cs="Times New Roman"/>
                <w:snapToGrid w:val="0"/>
                <w:color w:val="0000FF"/>
                <w:kern w:val="0"/>
                <w:sz w:val="24"/>
                <w:szCs w:val="24"/>
                <w:vertAlign w:val="superscript"/>
                <w:lang w:val="en-US" w:eastAsia="zh-CN" w:bidi="ar"/>
              </w:rPr>
              <w:t>3</w:t>
            </w:r>
            <w:r>
              <w:rPr>
                <w:rFonts w:hint="default" w:ascii="Times New Roman" w:hAnsi="Times New Roman" w:eastAsia="宋体" w:cs="Times New Roman"/>
                <w:snapToGrid w:val="0"/>
                <w:color w:val="0000FF"/>
                <w:kern w:val="0"/>
                <w:sz w:val="24"/>
                <w:szCs w:val="24"/>
                <w:lang w:val="en-US" w:eastAsia="zh-CN" w:bidi="ar"/>
              </w:rPr>
              <w:t>），得出储罐工作排放量约为</w:t>
            </w:r>
            <w:r>
              <w:rPr>
                <w:rFonts w:hint="eastAsia" w:ascii="Times New Roman" w:hAnsi="Times New Roman" w:eastAsia="宋体" w:cs="Times New Roman"/>
                <w:snapToGrid w:val="0"/>
                <w:color w:val="0000FF"/>
                <w:kern w:val="0"/>
                <w:sz w:val="24"/>
                <w:szCs w:val="24"/>
                <w:lang w:val="en-US" w:eastAsia="zh-CN" w:bidi="ar"/>
              </w:rPr>
              <w:t>12.24</w:t>
            </w:r>
            <w:r>
              <w:rPr>
                <w:rFonts w:hint="default" w:ascii="Times New Roman" w:hAnsi="Times New Roman" w:eastAsia="宋体" w:cs="Times New Roman"/>
                <w:snapToGrid w:val="0"/>
                <w:color w:val="0000FF"/>
                <w:kern w:val="0"/>
                <w:sz w:val="24"/>
                <w:szCs w:val="24"/>
                <w:lang w:val="en-US" w:eastAsia="zh-CN" w:bidi="ar"/>
              </w:rPr>
              <w:t>kg/a，按非甲烷总烃计。</w:t>
            </w:r>
          </w:p>
          <w:p>
            <w:pPr>
              <w:pStyle w:val="2"/>
              <w:spacing w:line="360" w:lineRule="auto"/>
              <w:ind w:firstLine="480" w:firstLineChars="200"/>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项目柴油储罐大小呼吸排放的非甲烷总烃很少，且储油区位于停车场旁，环境空旷，不采取措施对大气环境的影响也可忽略不计。</w:t>
            </w:r>
          </w:p>
          <w:p>
            <w:pPr>
              <w:keepNext/>
              <w:keepLines/>
              <w:spacing w:line="460" w:lineRule="exact"/>
              <w:ind w:firstLine="420" w:firstLineChars="200"/>
              <w:jc w:val="both"/>
              <w:rPr>
                <w:rFonts w:hint="default" w:ascii="Times New Roman" w:hAnsi="Times New Roman" w:eastAsia="宋体" w:cs="Times New Roman"/>
                <w:sz w:val="21"/>
                <w:szCs w:val="21"/>
              </w:rPr>
            </w:pPr>
          </w:p>
        </w:tc>
      </w:tr>
    </w:tbl>
    <w:p>
      <w:pPr>
        <w:pStyle w:val="3"/>
        <w:keepLines/>
        <w:overflowPunct/>
        <w:snapToGrid/>
        <w:spacing w:before="0" w:after="0" w:line="360" w:lineRule="auto"/>
        <w:ind w:left="0" w:firstLine="0"/>
        <w:jc w:val="both"/>
        <w:outlineLvl w:val="9"/>
        <w:rPr>
          <w:rFonts w:hint="default" w:ascii="Times New Roman" w:hAnsi="Times New Roman" w:eastAsia="宋体" w:cs="Times New Roman"/>
          <w:b w:val="0"/>
          <w:color w:val="auto"/>
          <w:lang w:val="en-US" w:eastAsia="zh-CN"/>
        </w:rPr>
        <w:sectPr>
          <w:footerReference r:id="rId8" w:type="default"/>
          <w:pgSz w:w="11906" w:h="16839"/>
          <w:pgMar w:top="400" w:right="1017" w:bottom="1014" w:left="1299" w:header="0" w:footer="854" w:gutter="0"/>
          <w:pgBorders>
            <w:top w:val="none" w:sz="0" w:space="0"/>
            <w:left w:val="none" w:sz="0" w:space="0"/>
            <w:bottom w:val="none" w:sz="0" w:space="0"/>
            <w:right w:val="none" w:sz="0" w:space="0"/>
          </w:pgBorders>
          <w:pgNumType w:fmt="decimal"/>
          <w:cols w:space="720" w:num="1"/>
        </w:sectPr>
      </w:pPr>
      <w:bookmarkStart w:id="66" w:name="_Toc10457"/>
      <w:bookmarkStart w:id="67" w:name="_Toc66354773"/>
      <w:bookmarkStart w:id="68" w:name="_Toc31520"/>
      <w:bookmarkStart w:id="69" w:name="_Toc7516"/>
      <w:bookmarkStart w:id="70" w:name="_Toc12233"/>
      <w:bookmarkStart w:id="71" w:name="_Toc10358"/>
      <w:bookmarkStart w:id="72" w:name="_Toc7679"/>
      <w:bookmarkStart w:id="73" w:name="_Toc31338"/>
      <w:bookmarkStart w:id="74" w:name="_Toc14741"/>
      <w:r>
        <w:rPr>
          <w:rFonts w:hint="default" w:ascii="Times New Roman" w:hAnsi="Times New Roman" w:eastAsia="宋体" w:cs="Times New Roman"/>
          <w:b w:val="0"/>
          <w:color w:val="auto"/>
          <w:lang w:val="en-US" w:eastAsia="zh-CN"/>
        </w:rPr>
        <w:t xml:space="preserve">              </w:t>
      </w:r>
    </w:p>
    <w:p>
      <w:pPr>
        <w:adjustRightInd w:val="0"/>
        <w:snapToGrid w:val="0"/>
        <w:spacing w:line="460" w:lineRule="exact"/>
        <w:ind w:firstLine="420" w:firstLineChars="200"/>
        <w:jc w:val="left"/>
        <w:rPr>
          <w:rFonts w:hint="default" w:ascii="Times New Roman" w:hAnsi="Times New Roman" w:eastAsia="宋体" w:cs="Times New Roman"/>
          <w:b/>
          <w:bCs/>
          <w:color w:val="0000FF"/>
          <w:szCs w:val="21"/>
        </w:rPr>
      </w:pPr>
      <w:r>
        <w:rPr>
          <w:rFonts w:hint="default" w:ascii="Times New Roman" w:hAnsi="Times New Roman" w:eastAsia="宋体" w:cs="Times New Roman"/>
          <w:b w:val="0"/>
          <w:color w:val="0000FF"/>
          <w:lang w:val="en-US" w:eastAsia="zh-CN"/>
        </w:rPr>
        <w:t xml:space="preserve">  </w:t>
      </w:r>
      <w:r>
        <w:rPr>
          <w:rFonts w:hint="default" w:ascii="Times New Roman" w:hAnsi="Times New Roman" w:eastAsia="宋体" w:cs="Times New Roman"/>
          <w:color w:val="0000FF"/>
          <w:sz w:val="24"/>
        </w:rPr>
        <w:t>项目废气产排情况见表4-</w:t>
      </w:r>
      <w:r>
        <w:rPr>
          <w:rFonts w:hint="default" w:ascii="Times New Roman" w:hAnsi="Times New Roman" w:eastAsia="宋体" w:cs="Times New Roman"/>
          <w:color w:val="0000FF"/>
          <w:sz w:val="24"/>
          <w:lang w:val="en-US" w:eastAsia="zh-CN"/>
        </w:rPr>
        <w:t>3</w:t>
      </w:r>
      <w:r>
        <w:rPr>
          <w:rFonts w:hint="default" w:ascii="Times New Roman" w:hAnsi="Times New Roman" w:eastAsia="宋体" w:cs="Times New Roman"/>
          <w:color w:val="0000FF"/>
          <w:sz w:val="24"/>
        </w:rPr>
        <w:t>。</w:t>
      </w:r>
    </w:p>
    <w:p>
      <w:pPr>
        <w:adjustRightInd w:val="0"/>
        <w:snapToGrid w:val="0"/>
        <w:spacing w:line="460" w:lineRule="exact"/>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表4-</w:t>
      </w:r>
      <w:r>
        <w:rPr>
          <w:rFonts w:hint="default" w:ascii="Times New Roman" w:hAnsi="Times New Roman" w:eastAsia="宋体" w:cs="Times New Roman"/>
          <w:b/>
          <w:bCs/>
          <w:color w:val="0000FF"/>
          <w:szCs w:val="21"/>
          <w:lang w:val="en-US" w:eastAsia="zh-CN"/>
        </w:rPr>
        <w:t xml:space="preserve">3 </w:t>
      </w:r>
      <w:r>
        <w:rPr>
          <w:rFonts w:hint="default" w:ascii="Times New Roman" w:hAnsi="Times New Roman" w:eastAsia="宋体" w:cs="Times New Roman"/>
          <w:b/>
          <w:bCs/>
          <w:color w:val="0000FF"/>
          <w:szCs w:val="21"/>
        </w:rPr>
        <w:t>项目废气产排情况汇总表</w:t>
      </w:r>
    </w:p>
    <w:tbl>
      <w:tblPr>
        <w:tblStyle w:val="15"/>
        <w:tblW w:w="499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73"/>
        <w:gridCol w:w="1195"/>
        <w:gridCol w:w="995"/>
        <w:gridCol w:w="1560"/>
        <w:gridCol w:w="765"/>
        <w:gridCol w:w="975"/>
        <w:gridCol w:w="915"/>
        <w:gridCol w:w="870"/>
        <w:gridCol w:w="2835"/>
        <w:gridCol w:w="1395"/>
        <w:gridCol w:w="750"/>
        <w:gridCol w:w="780"/>
        <w:gridCol w:w="825"/>
        <w:gridCol w:w="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vMerge w:val="restart"/>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废气编号/排气筒</w:t>
            </w:r>
          </w:p>
        </w:tc>
        <w:tc>
          <w:tcPr>
            <w:tcW w:w="382" w:type="pct"/>
            <w:vMerge w:val="restart"/>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产污环节</w:t>
            </w:r>
          </w:p>
        </w:tc>
        <w:tc>
          <w:tcPr>
            <w:tcW w:w="318" w:type="pct"/>
            <w:vMerge w:val="restart"/>
            <w:tcBorders>
              <w:right w:val="single" w:color="auto" w:sz="4" w:space="0"/>
            </w:tcBorders>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污染物</w:t>
            </w:r>
          </w:p>
        </w:tc>
        <w:tc>
          <w:tcPr>
            <w:tcW w:w="499" w:type="pct"/>
            <w:vMerge w:val="restart"/>
            <w:tcBorders>
              <w:left w:val="single" w:color="auto" w:sz="4" w:space="0"/>
            </w:tcBorders>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产污</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系数</w:t>
            </w:r>
          </w:p>
        </w:tc>
        <w:tc>
          <w:tcPr>
            <w:tcW w:w="244" w:type="pct"/>
            <w:vMerge w:val="restart"/>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工作</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小时数</w:t>
            </w:r>
          </w:p>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sz w:val="21"/>
                <w:szCs w:val="21"/>
                <w:highlight w:val="none"/>
              </w:rPr>
              <w:t>h/a</w:t>
            </w:r>
          </w:p>
        </w:tc>
        <w:tc>
          <w:tcPr>
            <w:tcW w:w="883" w:type="pct"/>
            <w:gridSpan w:val="3"/>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污染物产生</w:t>
            </w:r>
          </w:p>
        </w:tc>
        <w:tc>
          <w:tcPr>
            <w:tcW w:w="1593" w:type="pct"/>
            <w:gridSpan w:val="3"/>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治理措施</w:t>
            </w:r>
          </w:p>
        </w:tc>
        <w:tc>
          <w:tcPr>
            <w:tcW w:w="798" w:type="pct"/>
            <w:gridSpan w:val="3"/>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污染物排放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vMerge w:val="continue"/>
            <w:noWrap w:val="0"/>
            <w:vAlign w:val="center"/>
          </w:tcPr>
          <w:p>
            <w:pPr>
              <w:spacing w:line="240" w:lineRule="auto"/>
              <w:jc w:val="center"/>
              <w:rPr>
                <w:rFonts w:hint="default" w:ascii="Times New Roman" w:hAnsi="Times New Roman" w:eastAsia="宋体" w:cs="Times New Roman"/>
                <w:b/>
                <w:bCs/>
                <w:color w:val="0000FF"/>
                <w:sz w:val="21"/>
                <w:szCs w:val="21"/>
                <w:highlight w:val="none"/>
              </w:rPr>
            </w:pPr>
          </w:p>
        </w:tc>
        <w:tc>
          <w:tcPr>
            <w:tcW w:w="382" w:type="pct"/>
            <w:vMerge w:val="continue"/>
            <w:noWrap w:val="0"/>
            <w:vAlign w:val="center"/>
          </w:tcPr>
          <w:p>
            <w:pPr>
              <w:spacing w:line="240" w:lineRule="auto"/>
              <w:jc w:val="center"/>
              <w:rPr>
                <w:rFonts w:hint="default" w:ascii="Times New Roman" w:hAnsi="Times New Roman" w:eastAsia="宋体" w:cs="Times New Roman"/>
                <w:b/>
                <w:bCs/>
                <w:color w:val="0000FF"/>
                <w:sz w:val="21"/>
                <w:szCs w:val="21"/>
                <w:highlight w:val="none"/>
              </w:rPr>
            </w:pPr>
          </w:p>
        </w:tc>
        <w:tc>
          <w:tcPr>
            <w:tcW w:w="318"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0000FF"/>
                <w:sz w:val="21"/>
                <w:szCs w:val="21"/>
                <w:highlight w:val="none"/>
              </w:rPr>
            </w:pPr>
          </w:p>
        </w:tc>
        <w:tc>
          <w:tcPr>
            <w:tcW w:w="499" w:type="pct"/>
            <w:vMerge w:val="continue"/>
            <w:tcBorders>
              <w:left w:val="single" w:color="auto" w:sz="4" w:space="0"/>
            </w:tcBorders>
            <w:noWrap w:val="0"/>
            <w:vAlign w:val="center"/>
          </w:tcPr>
          <w:p>
            <w:pPr>
              <w:spacing w:line="240" w:lineRule="auto"/>
              <w:jc w:val="center"/>
              <w:rPr>
                <w:rFonts w:hint="default" w:ascii="Times New Roman" w:hAnsi="Times New Roman" w:eastAsia="宋体" w:cs="Times New Roman"/>
                <w:b/>
                <w:bCs/>
                <w:color w:val="0000FF"/>
                <w:sz w:val="21"/>
                <w:szCs w:val="21"/>
                <w:highlight w:val="none"/>
              </w:rPr>
            </w:pPr>
          </w:p>
        </w:tc>
        <w:tc>
          <w:tcPr>
            <w:tcW w:w="244" w:type="pct"/>
            <w:vMerge w:val="continue"/>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p>
        </w:tc>
        <w:tc>
          <w:tcPr>
            <w:tcW w:w="312" w:type="pct"/>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总量</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t/a</w:t>
            </w:r>
          </w:p>
        </w:tc>
        <w:tc>
          <w:tcPr>
            <w:tcW w:w="292" w:type="pct"/>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速率</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kg/h</w:t>
            </w:r>
          </w:p>
        </w:tc>
        <w:tc>
          <w:tcPr>
            <w:tcW w:w="278" w:type="pct"/>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浓度</w:t>
            </w:r>
          </w:p>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mg/m</w:t>
            </w:r>
            <w:r>
              <w:rPr>
                <w:rFonts w:hint="default" w:ascii="Times New Roman" w:hAnsi="Times New Roman" w:eastAsia="宋体" w:cs="Times New Roman"/>
                <w:b/>
                <w:bCs/>
                <w:color w:val="0000FF"/>
                <w:kern w:val="0"/>
                <w:sz w:val="21"/>
                <w:szCs w:val="21"/>
                <w:highlight w:val="none"/>
                <w:vertAlign w:val="superscript"/>
                <w:lang w:bidi="ar"/>
              </w:rPr>
              <w:t>3</w:t>
            </w:r>
          </w:p>
        </w:tc>
        <w:tc>
          <w:tcPr>
            <w:tcW w:w="907" w:type="pct"/>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处理措施</w:t>
            </w:r>
          </w:p>
        </w:tc>
        <w:tc>
          <w:tcPr>
            <w:tcW w:w="446" w:type="pct"/>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处理效率</w:t>
            </w:r>
            <w:r>
              <w:rPr>
                <w:rFonts w:hint="default" w:ascii="Times New Roman" w:hAnsi="Times New Roman" w:eastAsia="宋体" w:cs="Times New Roman"/>
                <w:b/>
                <w:bCs/>
                <w:color w:val="0000FF"/>
                <w:kern w:val="0"/>
                <w:sz w:val="21"/>
                <w:szCs w:val="21"/>
                <w:highlight w:val="none"/>
                <w:lang w:bidi="ar"/>
              </w:rPr>
              <w:t>%</w:t>
            </w:r>
          </w:p>
        </w:tc>
        <w:tc>
          <w:tcPr>
            <w:tcW w:w="240" w:type="pct"/>
            <w:noWrap w:val="0"/>
            <w:vAlign w:val="center"/>
          </w:tcPr>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风机</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风量</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m</w:t>
            </w:r>
            <w:r>
              <w:rPr>
                <w:rFonts w:hint="default" w:ascii="Times New Roman" w:hAnsi="Times New Roman" w:eastAsia="宋体" w:cs="Times New Roman"/>
                <w:b/>
                <w:bCs/>
                <w:color w:val="0000FF"/>
                <w:sz w:val="21"/>
                <w:szCs w:val="21"/>
                <w:highlight w:val="none"/>
                <w:vertAlign w:val="superscript"/>
              </w:rPr>
              <w:t>3</w:t>
            </w:r>
            <w:r>
              <w:rPr>
                <w:rFonts w:hint="default" w:ascii="Times New Roman" w:hAnsi="Times New Roman" w:eastAsia="宋体" w:cs="Times New Roman"/>
                <w:b/>
                <w:bCs/>
                <w:color w:val="0000FF"/>
                <w:sz w:val="21"/>
                <w:szCs w:val="21"/>
                <w:highlight w:val="none"/>
              </w:rPr>
              <w:t>/h</w:t>
            </w:r>
          </w:p>
        </w:tc>
        <w:tc>
          <w:tcPr>
            <w:tcW w:w="249" w:type="pct"/>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总量</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t/a</w:t>
            </w:r>
          </w:p>
        </w:tc>
        <w:tc>
          <w:tcPr>
            <w:tcW w:w="264" w:type="pct"/>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速率</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kg/h</w:t>
            </w:r>
          </w:p>
        </w:tc>
        <w:tc>
          <w:tcPr>
            <w:tcW w:w="285" w:type="pct"/>
            <w:noWrap w:val="0"/>
            <w:vAlign w:val="center"/>
          </w:tcPr>
          <w:p>
            <w:pPr>
              <w:widowControl/>
              <w:spacing w:line="240" w:lineRule="auto"/>
              <w:jc w:val="center"/>
              <w:textAlignment w:val="center"/>
              <w:rPr>
                <w:rFonts w:hint="default" w:ascii="Times New Roman" w:hAnsi="Times New Roman" w:eastAsia="宋体" w:cs="Times New Roman"/>
                <w:b/>
                <w:bCs/>
                <w:color w:val="0000FF"/>
                <w:kern w:val="0"/>
                <w:sz w:val="21"/>
                <w:szCs w:val="21"/>
                <w:highlight w:val="none"/>
                <w:lang w:bidi="ar"/>
              </w:rPr>
            </w:pPr>
            <w:r>
              <w:rPr>
                <w:rFonts w:hint="default" w:ascii="Times New Roman" w:hAnsi="Times New Roman" w:eastAsia="宋体" w:cs="Times New Roman"/>
                <w:b/>
                <w:bCs/>
                <w:color w:val="0000FF"/>
                <w:kern w:val="0"/>
                <w:sz w:val="21"/>
                <w:szCs w:val="21"/>
                <w:highlight w:val="none"/>
                <w:lang w:bidi="ar"/>
              </w:rPr>
              <w:t>浓度</w:t>
            </w:r>
          </w:p>
          <w:p>
            <w:pPr>
              <w:widowControl/>
              <w:spacing w:line="240" w:lineRule="auto"/>
              <w:jc w:val="center"/>
              <w:textAlignment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kern w:val="0"/>
                <w:sz w:val="21"/>
                <w:szCs w:val="21"/>
                <w:highlight w:val="none"/>
                <w:lang w:bidi="ar"/>
              </w:rPr>
              <w:t>mg/m</w:t>
            </w:r>
            <w:r>
              <w:rPr>
                <w:rFonts w:hint="default" w:ascii="Times New Roman" w:hAnsi="Times New Roman" w:eastAsia="宋体" w:cs="Times New Roman"/>
                <w:b/>
                <w:bCs/>
                <w:color w:val="0000FF"/>
                <w:kern w:val="0"/>
                <w:sz w:val="21"/>
                <w:szCs w:val="21"/>
                <w:highlight w:val="none"/>
                <w:vertAlign w:val="superscript"/>
                <w:lang w:bidi="ar"/>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vMerge w:val="restart"/>
            <w:noWrap w:val="0"/>
            <w:vAlign w:val="center"/>
          </w:tcPr>
          <w:p>
            <w:pPr>
              <w:spacing w:line="24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无组织</w:t>
            </w:r>
          </w:p>
        </w:tc>
        <w:tc>
          <w:tcPr>
            <w:tcW w:w="382" w:type="pct"/>
            <w:vMerge w:val="restart"/>
            <w:noWrap w:val="0"/>
            <w:vAlign w:val="center"/>
          </w:tcPr>
          <w:p>
            <w:pPr>
              <w:spacing w:line="24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val="en-US" w:eastAsia="zh-CN"/>
              </w:rPr>
              <w:t>砂石堆棚扬尘</w:t>
            </w:r>
          </w:p>
        </w:tc>
        <w:tc>
          <w:tcPr>
            <w:tcW w:w="318"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颗粒物</w:t>
            </w:r>
          </w:p>
        </w:tc>
        <w:tc>
          <w:tcPr>
            <w:tcW w:w="499" w:type="pct"/>
            <w:tcBorders>
              <w:lef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0.006kg/t</w:t>
            </w:r>
          </w:p>
          <w:p>
            <w:pPr>
              <w:spacing w:line="240" w:lineRule="auto"/>
              <w:jc w:val="center"/>
              <w:rPr>
                <w:rFonts w:hint="default" w:ascii="Times New Roman" w:hAnsi="Times New Roman" w:eastAsia="宋体" w:cs="Times New Roman"/>
                <w:color w:val="0000FF"/>
                <w:sz w:val="21"/>
                <w:szCs w:val="21"/>
                <w:highlight w:val="none"/>
                <w:lang w:eastAsia="zh-CN"/>
              </w:rPr>
            </w:pPr>
            <w:r>
              <w:rPr>
                <w:rFonts w:hint="default" w:ascii="Times New Roman" w:hAnsi="Times New Roman" w:eastAsia="宋体" w:cs="Times New Roman"/>
                <w:color w:val="0000FF"/>
                <w:sz w:val="21"/>
                <w:szCs w:val="21"/>
                <w:highlight w:val="none"/>
                <w:lang w:eastAsia="zh-CN"/>
              </w:rPr>
              <w:t>（</w:t>
            </w:r>
            <w:r>
              <w:rPr>
                <w:rFonts w:hint="default" w:ascii="Times New Roman" w:hAnsi="Times New Roman" w:eastAsia="宋体" w:cs="Times New Roman"/>
                <w:color w:val="0000FF"/>
                <w:sz w:val="21"/>
                <w:szCs w:val="21"/>
                <w:highlight w:val="none"/>
                <w:lang w:val="en-US" w:eastAsia="zh-CN"/>
              </w:rPr>
              <w:t>砂石</w:t>
            </w:r>
            <w:r>
              <w:rPr>
                <w:rFonts w:hint="default" w:ascii="Times New Roman" w:hAnsi="Times New Roman" w:eastAsia="宋体" w:cs="Times New Roman"/>
                <w:color w:val="0000FF"/>
                <w:sz w:val="21"/>
                <w:szCs w:val="21"/>
                <w:highlight w:val="none"/>
              </w:rPr>
              <w:t>单次</w:t>
            </w:r>
            <w:r>
              <w:rPr>
                <w:rFonts w:hint="default" w:ascii="Times New Roman" w:hAnsi="Times New Roman" w:eastAsia="宋体" w:cs="Times New Roman"/>
                <w:color w:val="0000FF"/>
                <w:sz w:val="21"/>
                <w:szCs w:val="21"/>
                <w:highlight w:val="none"/>
                <w:lang w:eastAsia="zh-CN"/>
              </w:rPr>
              <w:t>）</w:t>
            </w:r>
          </w:p>
        </w:tc>
        <w:tc>
          <w:tcPr>
            <w:tcW w:w="244"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sz w:val="21"/>
                <w:szCs w:val="21"/>
                <w:highlight w:val="none"/>
              </w:rPr>
              <w:t>2640</w:t>
            </w:r>
          </w:p>
        </w:tc>
        <w:tc>
          <w:tcPr>
            <w:tcW w:w="312"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 xml:space="preserve">3.114 </w:t>
            </w:r>
          </w:p>
        </w:tc>
        <w:tc>
          <w:tcPr>
            <w:tcW w:w="292"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 xml:space="preserve">2.756 </w:t>
            </w:r>
          </w:p>
        </w:tc>
        <w:tc>
          <w:tcPr>
            <w:tcW w:w="278"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w:t>
            </w:r>
          </w:p>
        </w:tc>
        <w:tc>
          <w:tcPr>
            <w:tcW w:w="907" w:type="pct"/>
            <w:vMerge w:val="restart"/>
            <w:noWrap w:val="0"/>
            <w:vAlign w:val="center"/>
          </w:tcPr>
          <w:p>
            <w:pPr>
              <w:widowControl/>
              <w:spacing w:line="240" w:lineRule="auto"/>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bidi="ar"/>
              </w:rPr>
              <w:t>车间封闭，喷雾洒水</w:t>
            </w:r>
            <w:r>
              <w:rPr>
                <w:rFonts w:hint="default" w:ascii="Times New Roman" w:hAnsi="Times New Roman" w:eastAsia="宋体" w:cs="Times New Roman"/>
                <w:color w:val="0000FF"/>
                <w:kern w:val="0"/>
                <w:sz w:val="21"/>
                <w:szCs w:val="21"/>
                <w:highlight w:val="none"/>
                <w:lang w:eastAsia="zh-CN" w:bidi="ar"/>
              </w:rPr>
              <w:t>，</w:t>
            </w:r>
            <w:r>
              <w:rPr>
                <w:rFonts w:hint="default" w:ascii="Times New Roman" w:hAnsi="Times New Roman" w:eastAsia="宋体" w:cs="Times New Roman"/>
                <w:color w:val="0000FF"/>
                <w:kern w:val="0"/>
                <w:sz w:val="21"/>
                <w:szCs w:val="21"/>
                <w:highlight w:val="none"/>
                <w:lang w:val="en-US" w:eastAsia="zh-CN" w:bidi="ar"/>
              </w:rPr>
              <w:t>除尘效率80%</w:t>
            </w:r>
          </w:p>
        </w:tc>
        <w:tc>
          <w:tcPr>
            <w:tcW w:w="446"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80</w:t>
            </w:r>
          </w:p>
        </w:tc>
        <w:tc>
          <w:tcPr>
            <w:tcW w:w="240"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w:t>
            </w:r>
          </w:p>
        </w:tc>
        <w:tc>
          <w:tcPr>
            <w:tcW w:w="249"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eastAsia" w:ascii="Times New Roman" w:hAnsi="Times New Roman" w:eastAsia="宋体" w:cs="Times New Roman"/>
                <w:color w:val="0000FF"/>
                <w:kern w:val="0"/>
                <w:sz w:val="21"/>
                <w:szCs w:val="21"/>
                <w:highlight w:val="none"/>
                <w:lang w:val="en-US" w:eastAsia="zh-CN" w:bidi="ar"/>
              </w:rPr>
              <w:t>1.455</w:t>
            </w:r>
          </w:p>
        </w:tc>
        <w:tc>
          <w:tcPr>
            <w:tcW w:w="264"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eastAsia" w:ascii="Times New Roman" w:hAnsi="Times New Roman" w:eastAsia="宋体" w:cs="Times New Roman"/>
                <w:color w:val="0000FF"/>
                <w:kern w:val="0"/>
                <w:sz w:val="21"/>
                <w:szCs w:val="21"/>
                <w:highlight w:val="none"/>
                <w:lang w:val="en-US" w:eastAsia="zh-CN" w:bidi="ar"/>
              </w:rPr>
              <w:t>0.551</w:t>
            </w:r>
          </w:p>
        </w:tc>
        <w:tc>
          <w:tcPr>
            <w:tcW w:w="285" w:type="pct"/>
            <w:vMerge w:val="restar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vMerge w:val="continue"/>
            <w:noWrap w:val="0"/>
            <w:vAlign w:val="center"/>
          </w:tcPr>
          <w:p>
            <w:pPr>
              <w:spacing w:line="240" w:lineRule="auto"/>
              <w:jc w:val="center"/>
              <w:rPr>
                <w:rFonts w:hint="default" w:ascii="Times New Roman" w:hAnsi="Times New Roman" w:eastAsia="宋体" w:cs="Times New Roman"/>
                <w:color w:val="0000FF"/>
                <w:sz w:val="21"/>
                <w:szCs w:val="21"/>
                <w:highlight w:val="none"/>
              </w:rPr>
            </w:pPr>
          </w:p>
        </w:tc>
        <w:tc>
          <w:tcPr>
            <w:tcW w:w="382" w:type="pct"/>
            <w:vMerge w:val="continue"/>
            <w:noWrap w:val="0"/>
            <w:vAlign w:val="center"/>
          </w:tcPr>
          <w:p>
            <w:pPr>
              <w:spacing w:line="240" w:lineRule="auto"/>
              <w:jc w:val="center"/>
              <w:rPr>
                <w:rFonts w:hint="default" w:ascii="Times New Roman" w:hAnsi="Times New Roman" w:eastAsia="宋体" w:cs="Times New Roman"/>
                <w:color w:val="0000FF"/>
                <w:sz w:val="21"/>
                <w:szCs w:val="21"/>
                <w:highlight w:val="none"/>
              </w:rPr>
            </w:pPr>
          </w:p>
        </w:tc>
        <w:tc>
          <w:tcPr>
            <w:tcW w:w="318"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rPr>
            </w:pPr>
          </w:p>
        </w:tc>
        <w:tc>
          <w:tcPr>
            <w:tcW w:w="499" w:type="pct"/>
            <w:tcBorders>
              <w:lef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0.007kg/t</w:t>
            </w:r>
          </w:p>
          <w:p>
            <w:pPr>
              <w:spacing w:line="24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eastAsia="zh-CN"/>
              </w:rPr>
              <w:t>（</w:t>
            </w:r>
            <w:r>
              <w:rPr>
                <w:rFonts w:hint="default" w:ascii="Times New Roman" w:hAnsi="Times New Roman" w:eastAsia="宋体" w:cs="Times New Roman"/>
                <w:color w:val="0000FF"/>
                <w:sz w:val="21"/>
                <w:szCs w:val="21"/>
                <w:highlight w:val="none"/>
                <w:lang w:val="en-US" w:eastAsia="zh-CN"/>
              </w:rPr>
              <w:t>碎石</w:t>
            </w:r>
            <w:r>
              <w:rPr>
                <w:rFonts w:hint="default" w:ascii="Times New Roman" w:hAnsi="Times New Roman" w:eastAsia="宋体" w:cs="Times New Roman"/>
                <w:color w:val="0000FF"/>
                <w:sz w:val="21"/>
                <w:szCs w:val="21"/>
                <w:highlight w:val="none"/>
              </w:rPr>
              <w:t>单次</w:t>
            </w:r>
            <w:r>
              <w:rPr>
                <w:rFonts w:hint="default" w:ascii="Times New Roman" w:hAnsi="Times New Roman" w:eastAsia="宋体" w:cs="Times New Roman"/>
                <w:color w:val="0000FF"/>
                <w:sz w:val="21"/>
                <w:szCs w:val="21"/>
                <w:highlight w:val="none"/>
                <w:lang w:eastAsia="zh-CN"/>
              </w:rPr>
              <w:t>）</w:t>
            </w:r>
          </w:p>
        </w:tc>
        <w:tc>
          <w:tcPr>
            <w:tcW w:w="244"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p>
        </w:tc>
        <w:tc>
          <w:tcPr>
            <w:tcW w:w="312"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bidi="ar"/>
              </w:rPr>
            </w:pPr>
            <w:r>
              <w:rPr>
                <w:rFonts w:hint="default" w:ascii="Times New Roman" w:hAnsi="Times New Roman" w:eastAsia="宋体" w:cs="Times New Roman"/>
                <w:color w:val="0000FF"/>
                <w:sz w:val="21"/>
                <w:szCs w:val="21"/>
                <w:highlight w:val="none"/>
                <w:lang w:val="en-US" w:eastAsia="zh-CN"/>
              </w:rPr>
              <w:t>4.1615</w:t>
            </w:r>
          </w:p>
        </w:tc>
        <w:tc>
          <w:tcPr>
            <w:tcW w:w="292"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p>
        </w:tc>
        <w:tc>
          <w:tcPr>
            <w:tcW w:w="278"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p>
        </w:tc>
        <w:tc>
          <w:tcPr>
            <w:tcW w:w="907" w:type="pct"/>
            <w:vMerge w:val="continue"/>
            <w:noWrap w:val="0"/>
            <w:vAlign w:val="center"/>
          </w:tcPr>
          <w:p>
            <w:pPr>
              <w:widowControl/>
              <w:spacing w:line="240" w:lineRule="auto"/>
              <w:textAlignment w:val="center"/>
              <w:rPr>
                <w:rFonts w:hint="default" w:ascii="Times New Roman" w:hAnsi="Times New Roman" w:eastAsia="宋体" w:cs="Times New Roman"/>
                <w:color w:val="0000FF"/>
                <w:kern w:val="0"/>
                <w:sz w:val="21"/>
                <w:szCs w:val="21"/>
                <w:highlight w:val="none"/>
                <w:lang w:bidi="ar"/>
              </w:rPr>
            </w:pPr>
          </w:p>
        </w:tc>
        <w:tc>
          <w:tcPr>
            <w:tcW w:w="446"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p>
        </w:tc>
        <w:tc>
          <w:tcPr>
            <w:tcW w:w="240"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p>
        </w:tc>
        <w:tc>
          <w:tcPr>
            <w:tcW w:w="249"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p>
        </w:tc>
        <w:tc>
          <w:tcPr>
            <w:tcW w:w="264"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p>
        </w:tc>
        <w:tc>
          <w:tcPr>
            <w:tcW w:w="285" w:type="pct"/>
            <w:vMerge w:val="continue"/>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vMerge w:val="continue"/>
            <w:noWrap w:val="0"/>
            <w:vAlign w:val="center"/>
          </w:tcPr>
          <w:p>
            <w:pPr>
              <w:spacing w:line="240" w:lineRule="auto"/>
              <w:jc w:val="center"/>
              <w:rPr>
                <w:rFonts w:hint="default" w:ascii="Times New Roman" w:hAnsi="Times New Roman" w:eastAsia="宋体" w:cs="Times New Roman"/>
                <w:color w:val="0000FF"/>
                <w:sz w:val="21"/>
                <w:szCs w:val="21"/>
                <w:highlight w:val="none"/>
              </w:rPr>
            </w:pPr>
          </w:p>
        </w:tc>
        <w:tc>
          <w:tcPr>
            <w:tcW w:w="382"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highlight w:val="none"/>
              </w:rPr>
            </w:pPr>
            <w:r>
              <w:rPr>
                <w:rFonts w:hint="default" w:ascii="Times New Roman" w:hAnsi="Times New Roman" w:eastAsia="宋体" w:cs="Times New Roman"/>
                <w:color w:val="0000FF"/>
                <w:sz w:val="21"/>
                <w:szCs w:val="21"/>
                <w:highlight w:val="none"/>
                <w:lang w:val="en-US" w:eastAsia="zh-CN"/>
              </w:rPr>
              <w:t>筒仓粉尘</w:t>
            </w:r>
          </w:p>
        </w:tc>
        <w:tc>
          <w:tcPr>
            <w:tcW w:w="318" w:type="pct"/>
            <w:tcBorders>
              <w:right w:val="single" w:color="auto" w:sz="4" w:space="0"/>
            </w:tcBorders>
            <w:noWrap w:val="0"/>
            <w:vAlign w:val="center"/>
          </w:tcPr>
          <w:p>
            <w:pPr>
              <w:spacing w:line="240" w:lineRule="auto"/>
              <w:jc w:val="center"/>
              <w:rPr>
                <w:rFonts w:hint="default" w:ascii="Times New Roman" w:hAnsi="Times New Roman" w:eastAsia="宋体" w:cs="Times New Roman"/>
                <w:snapToGrid w:val="0"/>
                <w:color w:val="0000FF"/>
                <w:kern w:val="0"/>
                <w:sz w:val="21"/>
                <w:szCs w:val="21"/>
                <w:highlight w:val="none"/>
              </w:rPr>
            </w:pPr>
            <w:r>
              <w:rPr>
                <w:rFonts w:hint="default" w:ascii="Times New Roman" w:hAnsi="Times New Roman" w:eastAsia="宋体" w:cs="Times New Roman"/>
                <w:color w:val="0000FF"/>
                <w:sz w:val="21"/>
                <w:szCs w:val="21"/>
                <w:highlight w:val="none"/>
              </w:rPr>
              <w:t>颗粒物</w:t>
            </w:r>
          </w:p>
        </w:tc>
        <w:tc>
          <w:tcPr>
            <w:tcW w:w="499" w:type="pct"/>
            <w:tcBorders>
              <w:left w:val="single" w:color="auto" w:sz="4" w:space="0"/>
            </w:tcBorders>
            <w:noWrap w:val="0"/>
            <w:vAlign w:val="center"/>
          </w:tcPr>
          <w:p>
            <w:pPr>
              <w:spacing w:line="240" w:lineRule="auto"/>
              <w:jc w:val="center"/>
              <w:rPr>
                <w:rFonts w:hint="default" w:ascii="Times New Roman" w:hAnsi="Times New Roman" w:eastAsia="宋体" w:cs="Times New Roman"/>
                <w:snapToGrid w:val="0"/>
                <w:color w:val="0000FF"/>
                <w:kern w:val="0"/>
                <w:sz w:val="21"/>
                <w:szCs w:val="21"/>
                <w:highlight w:val="none"/>
              </w:rPr>
            </w:pPr>
            <w:r>
              <w:rPr>
                <w:rFonts w:hint="default" w:ascii="Times New Roman" w:hAnsi="Times New Roman" w:eastAsia="宋体" w:cs="Times New Roman"/>
                <w:color w:val="0000FF"/>
                <w:sz w:val="21"/>
                <w:szCs w:val="21"/>
                <w:highlight w:val="none"/>
                <w:lang w:val="en-US" w:eastAsia="zh-CN"/>
              </w:rPr>
              <w:t>0.13 千克</w:t>
            </w:r>
            <w:r>
              <w:rPr>
                <w:rFonts w:hint="default" w:ascii="Times New Roman" w:hAnsi="Times New Roman" w:eastAsia="宋体" w:cs="Times New Roman"/>
                <w:color w:val="0000FF"/>
                <w:sz w:val="21"/>
                <w:szCs w:val="21"/>
                <w:highlight w:val="none"/>
              </w:rPr>
              <w:t>/吨</w:t>
            </w:r>
            <w:r>
              <w:rPr>
                <w:rFonts w:hint="default" w:ascii="Times New Roman" w:hAnsi="Times New Roman" w:eastAsia="宋体" w:cs="Times New Roman"/>
                <w:color w:val="0000FF"/>
                <w:sz w:val="21"/>
                <w:szCs w:val="21"/>
                <w:highlight w:val="none"/>
                <w:lang w:val="en-US" w:eastAsia="zh-CN"/>
              </w:rPr>
              <w:t>产品</w:t>
            </w:r>
          </w:p>
        </w:tc>
        <w:tc>
          <w:tcPr>
            <w:tcW w:w="244"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bidi="ar"/>
              </w:rPr>
            </w:pPr>
            <w:r>
              <w:rPr>
                <w:rFonts w:hint="default" w:ascii="Times New Roman" w:hAnsi="Times New Roman" w:eastAsia="宋体" w:cs="Times New Roman"/>
                <w:color w:val="0000FF"/>
                <w:sz w:val="21"/>
                <w:szCs w:val="21"/>
                <w:highlight w:val="none"/>
              </w:rPr>
              <w:t>2640</w:t>
            </w:r>
          </w:p>
        </w:tc>
        <w:tc>
          <w:tcPr>
            <w:tcW w:w="312"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val="en-US"/>
              </w:rPr>
            </w:pPr>
            <w:r>
              <w:rPr>
                <w:rFonts w:hint="default" w:ascii="Times New Roman" w:hAnsi="Times New Roman" w:eastAsia="宋体" w:cs="Times New Roman"/>
                <w:color w:val="0000FF"/>
                <w:sz w:val="21"/>
                <w:szCs w:val="21"/>
                <w:highlight w:val="none"/>
                <w:lang w:val="en-US" w:eastAsia="zh-CN"/>
              </w:rPr>
              <w:t>187.2</w:t>
            </w:r>
            <w:r>
              <w:rPr>
                <w:rFonts w:hint="eastAsia" w:ascii="Times New Roman" w:hAnsi="Times New Roman" w:eastAsia="宋体" w:cs="Times New Roman"/>
                <w:color w:val="0000FF"/>
                <w:sz w:val="21"/>
                <w:szCs w:val="21"/>
                <w:highlight w:val="none"/>
                <w:lang w:val="en-US" w:eastAsia="zh-CN"/>
              </w:rPr>
              <w:t>00</w:t>
            </w:r>
          </w:p>
        </w:tc>
        <w:tc>
          <w:tcPr>
            <w:tcW w:w="292"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val="en-US" w:eastAsia="zh-CN" w:bidi="ar"/>
              </w:rPr>
            </w:pPr>
            <w:r>
              <w:rPr>
                <w:rFonts w:hint="eastAsia" w:ascii="Times New Roman" w:hAnsi="Times New Roman" w:eastAsia="宋体" w:cs="Times New Roman"/>
                <w:snapToGrid w:val="0"/>
                <w:color w:val="0000FF"/>
                <w:kern w:val="0"/>
                <w:sz w:val="21"/>
                <w:szCs w:val="21"/>
                <w:highlight w:val="none"/>
                <w:lang w:val="en-US" w:eastAsia="zh-CN" w:bidi="ar"/>
              </w:rPr>
              <w:t>70.909</w:t>
            </w:r>
          </w:p>
        </w:tc>
        <w:tc>
          <w:tcPr>
            <w:tcW w:w="278"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w:t>
            </w:r>
          </w:p>
        </w:tc>
        <w:tc>
          <w:tcPr>
            <w:tcW w:w="907" w:type="pct"/>
            <w:noWrap w:val="0"/>
            <w:vAlign w:val="center"/>
          </w:tcPr>
          <w:p>
            <w:pPr>
              <w:widowControl/>
              <w:spacing w:line="240" w:lineRule="auto"/>
              <w:textAlignment w:val="center"/>
              <w:rPr>
                <w:rFonts w:hint="default" w:ascii="Times New Roman" w:hAnsi="Times New Roman" w:eastAsia="宋体" w:cs="Times New Roman"/>
                <w:color w:val="0000FF"/>
                <w:kern w:val="0"/>
                <w:sz w:val="21"/>
                <w:szCs w:val="21"/>
                <w:highlight w:val="none"/>
                <w:lang w:bidi="ar"/>
              </w:rPr>
            </w:pPr>
            <w:r>
              <w:rPr>
                <w:rFonts w:hint="eastAsia" w:ascii="Times New Roman" w:hAnsi="Times New Roman" w:eastAsia="宋体" w:cs="Times New Roman"/>
                <w:color w:val="0000FF"/>
                <w:kern w:val="0"/>
                <w:sz w:val="21"/>
                <w:szCs w:val="21"/>
                <w:highlight w:val="none"/>
                <w:lang w:val="en-US" w:eastAsia="zh-CN" w:bidi="ar"/>
              </w:rPr>
              <w:t>筒仓粉尘筒仓顶部的</w:t>
            </w:r>
            <w:r>
              <w:rPr>
                <w:rFonts w:hint="default" w:ascii="Times New Roman" w:hAnsi="Times New Roman" w:eastAsia="宋体" w:cs="Times New Roman"/>
                <w:color w:val="0000FF"/>
                <w:kern w:val="0"/>
                <w:sz w:val="21"/>
                <w:szCs w:val="21"/>
                <w:highlight w:val="none"/>
                <w:lang w:val="en-US" w:eastAsia="zh-CN" w:bidi="ar"/>
              </w:rPr>
              <w:t>脉冲反吹式收尘器处理后</w:t>
            </w:r>
            <w:r>
              <w:rPr>
                <w:rFonts w:hint="eastAsia" w:ascii="Times New Roman" w:hAnsi="Times New Roman" w:eastAsia="宋体" w:cs="Times New Roman"/>
                <w:color w:val="0000FF"/>
                <w:kern w:val="0"/>
                <w:sz w:val="21"/>
                <w:szCs w:val="21"/>
                <w:highlight w:val="none"/>
                <w:lang w:val="en-US" w:eastAsia="zh-CN" w:bidi="ar"/>
              </w:rPr>
              <w:t>由筒仓顶部的呼吸口</w:t>
            </w:r>
            <w:r>
              <w:rPr>
                <w:rFonts w:hint="default" w:ascii="Times New Roman" w:hAnsi="Times New Roman" w:eastAsia="宋体" w:cs="Times New Roman"/>
                <w:color w:val="0000FF"/>
                <w:kern w:val="0"/>
                <w:sz w:val="21"/>
                <w:szCs w:val="21"/>
                <w:highlight w:val="none"/>
                <w:lang w:val="en-US" w:eastAsia="zh-CN" w:bidi="ar"/>
              </w:rPr>
              <w:t>排放</w:t>
            </w:r>
            <w:r>
              <w:rPr>
                <w:rFonts w:hint="eastAsia" w:ascii="Times New Roman" w:hAnsi="Times New Roman" w:eastAsia="宋体" w:cs="Times New Roman"/>
                <w:color w:val="0000FF"/>
                <w:kern w:val="0"/>
                <w:sz w:val="21"/>
                <w:szCs w:val="21"/>
                <w:highlight w:val="none"/>
                <w:lang w:val="en-US" w:eastAsia="zh-CN" w:bidi="ar"/>
              </w:rPr>
              <w:t>至搅拌区车间内，经车间上方喷淋装置进一步处理后无组织排放。</w:t>
            </w:r>
          </w:p>
        </w:tc>
        <w:tc>
          <w:tcPr>
            <w:tcW w:w="446"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sz w:val="21"/>
                <w:szCs w:val="21"/>
                <w:highlight w:val="none"/>
              </w:rPr>
              <w:t>99.</w:t>
            </w:r>
            <w:r>
              <w:rPr>
                <w:rFonts w:hint="default" w:ascii="Times New Roman" w:hAnsi="Times New Roman" w:eastAsia="宋体" w:cs="Times New Roman"/>
                <w:color w:val="0000FF"/>
                <w:sz w:val="21"/>
                <w:szCs w:val="21"/>
                <w:highlight w:val="none"/>
                <w:lang w:val="en-US" w:eastAsia="zh-CN"/>
              </w:rPr>
              <w:t>9（除尘器99.7%+喷淋80%）</w:t>
            </w:r>
          </w:p>
        </w:tc>
        <w:tc>
          <w:tcPr>
            <w:tcW w:w="240"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bidi="ar"/>
              </w:rPr>
              <w:t>/</w:t>
            </w:r>
          </w:p>
        </w:tc>
        <w:tc>
          <w:tcPr>
            <w:tcW w:w="249"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1.978</w:t>
            </w:r>
          </w:p>
        </w:tc>
        <w:tc>
          <w:tcPr>
            <w:tcW w:w="264"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0.749</w:t>
            </w:r>
          </w:p>
        </w:tc>
        <w:tc>
          <w:tcPr>
            <w:tcW w:w="285"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kern w:val="0"/>
                <w:sz w:val="21"/>
                <w:szCs w:val="21"/>
                <w:highlight w:val="none"/>
                <w:lang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jc w:val="center"/>
        </w:trPr>
        <w:tc>
          <w:tcPr>
            <w:tcW w:w="279" w:type="pct"/>
            <w:vMerge w:val="continue"/>
            <w:noWrap w:val="0"/>
            <w:vAlign w:val="center"/>
          </w:tcPr>
          <w:p>
            <w:pPr>
              <w:spacing w:line="240" w:lineRule="auto"/>
              <w:jc w:val="center"/>
              <w:rPr>
                <w:rFonts w:hint="default" w:ascii="Times New Roman" w:hAnsi="Times New Roman" w:eastAsia="宋体" w:cs="Times New Roman"/>
                <w:color w:val="0000FF"/>
                <w:sz w:val="21"/>
                <w:szCs w:val="21"/>
                <w:highlight w:val="none"/>
              </w:rPr>
            </w:pPr>
          </w:p>
        </w:tc>
        <w:tc>
          <w:tcPr>
            <w:tcW w:w="382" w:type="pct"/>
            <w:noWrap w:val="0"/>
            <w:vAlign w:val="center"/>
          </w:tcPr>
          <w:p>
            <w:pPr>
              <w:spacing w:line="240" w:lineRule="auto"/>
              <w:rPr>
                <w:rFonts w:hint="default" w:ascii="Times New Roman" w:hAnsi="Times New Roman" w:eastAsia="宋体" w:cs="Times New Roman"/>
                <w:snapToGrid w:val="0"/>
                <w:color w:val="0000FF"/>
                <w:kern w:val="0"/>
                <w:sz w:val="21"/>
                <w:szCs w:val="21"/>
                <w:highlight w:val="none"/>
              </w:rPr>
            </w:pPr>
            <w:r>
              <w:rPr>
                <w:rFonts w:hint="default" w:ascii="Times New Roman" w:hAnsi="Times New Roman" w:eastAsia="宋体" w:cs="Times New Roman"/>
                <w:color w:val="0000FF"/>
                <w:sz w:val="21"/>
                <w:szCs w:val="21"/>
                <w:highlight w:val="none"/>
              </w:rPr>
              <w:t>搅拌粉尘</w:t>
            </w:r>
          </w:p>
        </w:tc>
        <w:tc>
          <w:tcPr>
            <w:tcW w:w="318" w:type="pct"/>
            <w:tcBorders>
              <w:right w:val="single" w:color="auto" w:sz="4" w:space="0"/>
            </w:tcBorders>
            <w:noWrap w:val="0"/>
            <w:vAlign w:val="center"/>
          </w:tcPr>
          <w:p>
            <w:pPr>
              <w:spacing w:line="240" w:lineRule="auto"/>
              <w:jc w:val="center"/>
              <w:rPr>
                <w:rFonts w:hint="default" w:ascii="Times New Roman" w:hAnsi="Times New Roman" w:eastAsia="宋体" w:cs="Times New Roman"/>
                <w:snapToGrid w:val="0"/>
                <w:color w:val="0000FF"/>
                <w:kern w:val="0"/>
                <w:sz w:val="21"/>
                <w:szCs w:val="21"/>
                <w:highlight w:val="none"/>
              </w:rPr>
            </w:pPr>
            <w:r>
              <w:rPr>
                <w:rFonts w:hint="default" w:ascii="Times New Roman" w:hAnsi="Times New Roman" w:eastAsia="宋体" w:cs="Times New Roman"/>
                <w:color w:val="0000FF"/>
                <w:sz w:val="21"/>
                <w:szCs w:val="21"/>
                <w:highlight w:val="none"/>
              </w:rPr>
              <w:t>颗粒物</w:t>
            </w:r>
          </w:p>
        </w:tc>
        <w:tc>
          <w:tcPr>
            <w:tcW w:w="499" w:type="pct"/>
            <w:tcBorders>
              <w:left w:val="single" w:color="auto" w:sz="4" w:space="0"/>
            </w:tcBorders>
            <w:noWrap w:val="0"/>
            <w:vAlign w:val="center"/>
          </w:tcPr>
          <w:p>
            <w:pPr>
              <w:spacing w:line="240" w:lineRule="auto"/>
              <w:jc w:val="center"/>
              <w:rPr>
                <w:rFonts w:hint="default" w:ascii="Times New Roman" w:hAnsi="Times New Roman" w:eastAsia="宋体" w:cs="Times New Roman"/>
                <w:snapToGrid w:val="0"/>
                <w:color w:val="0000FF"/>
                <w:kern w:val="0"/>
                <w:sz w:val="21"/>
                <w:szCs w:val="21"/>
                <w:highlight w:val="none"/>
              </w:rPr>
            </w:pPr>
            <w:r>
              <w:rPr>
                <w:rFonts w:hint="default" w:ascii="Times New Roman" w:hAnsi="Times New Roman" w:eastAsia="宋体" w:cs="Times New Roman"/>
                <w:color w:val="0000FF"/>
                <w:sz w:val="21"/>
                <w:szCs w:val="21"/>
                <w:highlight w:val="none"/>
                <w:lang w:val="en-US" w:eastAsia="zh-CN"/>
              </w:rPr>
              <w:t>0.166 千克</w:t>
            </w:r>
            <w:r>
              <w:rPr>
                <w:rFonts w:hint="default" w:ascii="Times New Roman" w:hAnsi="Times New Roman" w:eastAsia="宋体" w:cs="Times New Roman"/>
                <w:color w:val="0000FF"/>
                <w:sz w:val="21"/>
                <w:szCs w:val="21"/>
                <w:highlight w:val="none"/>
              </w:rPr>
              <w:t>/吨</w:t>
            </w:r>
            <w:r>
              <w:rPr>
                <w:rFonts w:hint="default" w:ascii="Times New Roman" w:hAnsi="Times New Roman" w:eastAsia="宋体" w:cs="Times New Roman"/>
                <w:color w:val="0000FF"/>
                <w:sz w:val="21"/>
                <w:szCs w:val="21"/>
                <w:highlight w:val="none"/>
                <w:lang w:val="en-US" w:eastAsia="zh-CN"/>
              </w:rPr>
              <w:t>产品</w:t>
            </w:r>
          </w:p>
        </w:tc>
        <w:tc>
          <w:tcPr>
            <w:tcW w:w="244"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bidi="ar"/>
              </w:rPr>
            </w:pPr>
            <w:r>
              <w:rPr>
                <w:rFonts w:hint="default" w:ascii="Times New Roman" w:hAnsi="Times New Roman" w:eastAsia="宋体" w:cs="Times New Roman"/>
                <w:color w:val="0000FF"/>
                <w:sz w:val="21"/>
                <w:szCs w:val="21"/>
                <w:highlight w:val="none"/>
              </w:rPr>
              <w:t>2640</w:t>
            </w:r>
          </w:p>
        </w:tc>
        <w:tc>
          <w:tcPr>
            <w:tcW w:w="312"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val="en-US"/>
              </w:rPr>
            </w:pPr>
            <w:r>
              <w:rPr>
                <w:rFonts w:hint="default" w:ascii="Times New Roman" w:hAnsi="Times New Roman" w:eastAsia="宋体" w:cs="Times New Roman"/>
                <w:color w:val="0000FF"/>
                <w:sz w:val="21"/>
                <w:szCs w:val="21"/>
                <w:highlight w:val="none"/>
                <w:lang w:val="en-US" w:eastAsia="zh-CN"/>
              </w:rPr>
              <w:t>239.04</w:t>
            </w:r>
            <w:r>
              <w:rPr>
                <w:rFonts w:hint="eastAsia" w:ascii="Times New Roman" w:hAnsi="Times New Roman" w:eastAsia="宋体" w:cs="Times New Roman"/>
                <w:color w:val="0000FF"/>
                <w:sz w:val="21"/>
                <w:szCs w:val="21"/>
                <w:highlight w:val="none"/>
                <w:lang w:val="en-US" w:eastAsia="zh-CN"/>
              </w:rPr>
              <w:t>0</w:t>
            </w:r>
          </w:p>
        </w:tc>
        <w:tc>
          <w:tcPr>
            <w:tcW w:w="292"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90.545</w:t>
            </w:r>
          </w:p>
        </w:tc>
        <w:tc>
          <w:tcPr>
            <w:tcW w:w="278"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kern w:val="0"/>
                <w:sz w:val="21"/>
                <w:szCs w:val="21"/>
                <w:highlight w:val="none"/>
                <w:lang w:bidi="ar"/>
              </w:rPr>
              <w:t>/</w:t>
            </w:r>
          </w:p>
        </w:tc>
        <w:tc>
          <w:tcPr>
            <w:tcW w:w="907" w:type="pct"/>
            <w:noWrap w:val="0"/>
            <w:vAlign w:val="center"/>
          </w:tcPr>
          <w:p>
            <w:pPr>
              <w:widowControl/>
              <w:spacing w:line="240" w:lineRule="auto"/>
              <w:textAlignment w:val="center"/>
              <w:rPr>
                <w:rFonts w:hint="default" w:ascii="Times New Roman" w:hAnsi="Times New Roman" w:eastAsia="宋体" w:cs="Times New Roman"/>
                <w:color w:val="0000FF"/>
                <w:kern w:val="0"/>
                <w:sz w:val="21"/>
                <w:szCs w:val="21"/>
                <w:highlight w:val="none"/>
                <w:lang w:bidi="ar"/>
              </w:rPr>
            </w:pPr>
            <w:r>
              <w:rPr>
                <w:rFonts w:hint="eastAsia" w:ascii="Times New Roman" w:hAnsi="Times New Roman" w:eastAsia="宋体" w:cs="Times New Roman"/>
                <w:color w:val="0000FF"/>
                <w:kern w:val="0"/>
                <w:sz w:val="21"/>
                <w:szCs w:val="21"/>
                <w:highlight w:val="none"/>
                <w:lang w:val="en-US" w:eastAsia="zh-CN" w:bidi="ar"/>
              </w:rPr>
              <w:t>搅拌粉尘经搅拌机配套的除尘器除尘后排放至搅拌区车间内，再经车间上方的喷淋装置进一步处理后无组织排放。</w:t>
            </w:r>
          </w:p>
        </w:tc>
        <w:tc>
          <w:tcPr>
            <w:tcW w:w="446"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sz w:val="21"/>
                <w:szCs w:val="21"/>
                <w:highlight w:val="none"/>
              </w:rPr>
              <w:t>99.</w:t>
            </w:r>
            <w:r>
              <w:rPr>
                <w:rFonts w:hint="default" w:ascii="Times New Roman" w:hAnsi="Times New Roman" w:eastAsia="宋体" w:cs="Times New Roman"/>
                <w:color w:val="0000FF"/>
                <w:sz w:val="21"/>
                <w:szCs w:val="21"/>
                <w:highlight w:val="none"/>
                <w:lang w:val="en-US" w:eastAsia="zh-CN"/>
              </w:rPr>
              <w:t>9（除尘器99.7%+喷淋80%）</w:t>
            </w:r>
          </w:p>
        </w:tc>
        <w:tc>
          <w:tcPr>
            <w:tcW w:w="240"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bidi="ar"/>
              </w:rPr>
              <w:t>/</w:t>
            </w:r>
          </w:p>
        </w:tc>
        <w:tc>
          <w:tcPr>
            <w:tcW w:w="249"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1.336</w:t>
            </w:r>
          </w:p>
        </w:tc>
        <w:tc>
          <w:tcPr>
            <w:tcW w:w="264"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0.506</w:t>
            </w:r>
          </w:p>
        </w:tc>
        <w:tc>
          <w:tcPr>
            <w:tcW w:w="285"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kern w:val="0"/>
                <w:sz w:val="21"/>
                <w:szCs w:val="21"/>
                <w:highlight w:val="none"/>
                <w:lang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vMerge w:val="continue"/>
            <w:noWrap w:val="0"/>
            <w:vAlign w:val="center"/>
          </w:tcPr>
          <w:p>
            <w:pPr>
              <w:spacing w:line="240" w:lineRule="auto"/>
              <w:jc w:val="center"/>
              <w:rPr>
                <w:rFonts w:hint="default" w:ascii="Times New Roman" w:hAnsi="Times New Roman" w:eastAsia="宋体" w:cs="Times New Roman"/>
                <w:color w:val="0000FF"/>
                <w:sz w:val="21"/>
                <w:szCs w:val="21"/>
                <w:highlight w:val="none"/>
              </w:rPr>
            </w:pPr>
          </w:p>
        </w:tc>
        <w:tc>
          <w:tcPr>
            <w:tcW w:w="382" w:type="pct"/>
            <w:noWrap w:val="0"/>
            <w:vAlign w:val="center"/>
          </w:tcPr>
          <w:p>
            <w:pPr>
              <w:spacing w:line="24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kern w:val="0"/>
                <w:sz w:val="21"/>
                <w:szCs w:val="21"/>
                <w:highlight w:val="none"/>
              </w:rPr>
              <w:t>运输扬尘</w:t>
            </w:r>
          </w:p>
        </w:tc>
        <w:tc>
          <w:tcPr>
            <w:tcW w:w="318"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颗粒物</w:t>
            </w:r>
          </w:p>
        </w:tc>
        <w:tc>
          <w:tcPr>
            <w:tcW w:w="499" w:type="pct"/>
            <w:tcBorders>
              <w:lef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val="en-US" w:eastAsia="zh-CN"/>
              </w:rPr>
              <w:t>0.135kg/km·辆</w:t>
            </w:r>
          </w:p>
        </w:tc>
        <w:tc>
          <w:tcPr>
            <w:tcW w:w="244"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2640</w:t>
            </w:r>
          </w:p>
        </w:tc>
        <w:tc>
          <w:tcPr>
            <w:tcW w:w="312"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rPr>
            </w:pPr>
            <w:r>
              <w:rPr>
                <w:rFonts w:hint="default" w:ascii="Times New Roman" w:hAnsi="Times New Roman" w:eastAsia="宋体" w:cs="Times New Roman"/>
                <w:color w:val="0000FF"/>
                <w:sz w:val="21"/>
                <w:szCs w:val="21"/>
                <w:highlight w:val="none"/>
                <w:lang w:val="en-US" w:eastAsia="zh-CN"/>
              </w:rPr>
              <w:t>22.23</w:t>
            </w:r>
          </w:p>
        </w:tc>
        <w:tc>
          <w:tcPr>
            <w:tcW w:w="292"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 xml:space="preserve">8.420 </w:t>
            </w:r>
          </w:p>
        </w:tc>
        <w:tc>
          <w:tcPr>
            <w:tcW w:w="278"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val="en-US" w:eastAsia="zh-CN"/>
              </w:rPr>
              <w:t>/</w:t>
            </w:r>
          </w:p>
        </w:tc>
        <w:tc>
          <w:tcPr>
            <w:tcW w:w="907"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val="en-US" w:eastAsia="zh-CN"/>
              </w:rPr>
              <w:t>对厂区地面进行洒水降尘、严密遮盖砂石运输车辆</w:t>
            </w:r>
          </w:p>
        </w:tc>
        <w:tc>
          <w:tcPr>
            <w:tcW w:w="446"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p>
        </w:tc>
        <w:tc>
          <w:tcPr>
            <w:tcW w:w="240"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lang w:val="en-US" w:eastAsia="zh-CN"/>
              </w:rPr>
              <w:t>/</w:t>
            </w:r>
          </w:p>
        </w:tc>
        <w:tc>
          <w:tcPr>
            <w:tcW w:w="249"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 xml:space="preserve">6.669 </w:t>
            </w:r>
          </w:p>
        </w:tc>
        <w:tc>
          <w:tcPr>
            <w:tcW w:w="264"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 xml:space="preserve">2.526 </w:t>
            </w:r>
          </w:p>
        </w:tc>
        <w:tc>
          <w:tcPr>
            <w:tcW w:w="285"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vMerge w:val="continue"/>
            <w:noWrap w:val="0"/>
            <w:vAlign w:val="center"/>
          </w:tcPr>
          <w:p>
            <w:pPr>
              <w:spacing w:line="240" w:lineRule="auto"/>
              <w:jc w:val="center"/>
              <w:rPr>
                <w:rFonts w:hint="default" w:ascii="Times New Roman" w:hAnsi="Times New Roman" w:eastAsia="宋体" w:cs="Times New Roman"/>
                <w:color w:val="0000FF"/>
                <w:sz w:val="21"/>
                <w:szCs w:val="21"/>
                <w:highlight w:val="none"/>
              </w:rPr>
            </w:pPr>
          </w:p>
        </w:tc>
        <w:tc>
          <w:tcPr>
            <w:tcW w:w="382" w:type="pct"/>
            <w:noWrap w:val="0"/>
            <w:vAlign w:val="center"/>
          </w:tcPr>
          <w:p>
            <w:pPr>
              <w:spacing w:line="240" w:lineRule="auto"/>
              <w:jc w:val="center"/>
              <w:rPr>
                <w:rFonts w:hint="default" w:ascii="Times New Roman" w:hAnsi="Times New Roman" w:eastAsia="宋体" w:cs="Times New Roman"/>
                <w:color w:val="0000FF"/>
                <w:kern w:val="0"/>
                <w:sz w:val="21"/>
                <w:szCs w:val="21"/>
                <w:highlight w:val="none"/>
              </w:rPr>
            </w:pPr>
            <w:r>
              <w:rPr>
                <w:rFonts w:hint="default" w:ascii="Times New Roman" w:hAnsi="Times New Roman" w:eastAsia="宋体" w:cs="Times New Roman"/>
                <w:color w:val="0000FF"/>
                <w:sz w:val="21"/>
                <w:szCs w:val="21"/>
                <w:highlight w:val="none"/>
                <w:u w:val="none"/>
                <w:lang w:val="en-US" w:eastAsia="zh-CN"/>
              </w:rPr>
              <w:t>柴油罐呼吸废气</w:t>
            </w:r>
          </w:p>
        </w:tc>
        <w:tc>
          <w:tcPr>
            <w:tcW w:w="318"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非甲烷总烃</w:t>
            </w:r>
          </w:p>
        </w:tc>
        <w:tc>
          <w:tcPr>
            <w:tcW w:w="499" w:type="pct"/>
            <w:tcBorders>
              <w:lef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w:t>
            </w:r>
          </w:p>
        </w:tc>
        <w:tc>
          <w:tcPr>
            <w:tcW w:w="244"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8760</w:t>
            </w:r>
          </w:p>
        </w:tc>
        <w:tc>
          <w:tcPr>
            <w:tcW w:w="312"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0.039</w:t>
            </w:r>
          </w:p>
        </w:tc>
        <w:tc>
          <w:tcPr>
            <w:tcW w:w="292"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0.005</w:t>
            </w:r>
          </w:p>
        </w:tc>
        <w:tc>
          <w:tcPr>
            <w:tcW w:w="278"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w:t>
            </w:r>
          </w:p>
        </w:tc>
        <w:tc>
          <w:tcPr>
            <w:tcW w:w="907" w:type="pct"/>
            <w:noWrap w:val="0"/>
            <w:vAlign w:val="center"/>
          </w:tcPr>
          <w:p>
            <w:pPr>
              <w:widowControl/>
              <w:spacing w:line="240" w:lineRule="auto"/>
              <w:textAlignment w:val="center"/>
              <w:rPr>
                <w:rFonts w:hint="default" w:ascii="Times New Roman" w:hAnsi="Times New Roman" w:eastAsia="宋体" w:cs="Times New Roman"/>
                <w:color w:val="0000FF"/>
                <w:kern w:val="0"/>
                <w:sz w:val="21"/>
                <w:szCs w:val="21"/>
                <w:highlight w:val="none"/>
                <w:lang w:val="en-US" w:eastAsia="zh-CN" w:bidi="ar"/>
              </w:rPr>
            </w:pPr>
            <w:r>
              <w:rPr>
                <w:rFonts w:hint="eastAsia" w:ascii="Times New Roman" w:hAnsi="Times New Roman" w:eastAsia="宋体" w:cs="Times New Roman"/>
                <w:color w:val="0000FF"/>
                <w:kern w:val="0"/>
                <w:sz w:val="21"/>
                <w:szCs w:val="21"/>
                <w:highlight w:val="none"/>
                <w:lang w:val="en-US" w:eastAsia="zh-CN" w:bidi="ar"/>
              </w:rPr>
              <w:t>/</w:t>
            </w:r>
          </w:p>
        </w:tc>
        <w:tc>
          <w:tcPr>
            <w:tcW w:w="446"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sz w:val="21"/>
                <w:szCs w:val="21"/>
                <w:highlight w:val="none"/>
                <w:lang w:val="en-US" w:eastAsia="zh-CN"/>
              </w:rPr>
              <w:t>/</w:t>
            </w:r>
          </w:p>
        </w:tc>
        <w:tc>
          <w:tcPr>
            <w:tcW w:w="240"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sz w:val="21"/>
                <w:szCs w:val="21"/>
                <w:highlight w:val="none"/>
                <w:lang w:val="en-US" w:eastAsia="zh-CN"/>
              </w:rPr>
              <w:t>/</w:t>
            </w:r>
          </w:p>
        </w:tc>
        <w:tc>
          <w:tcPr>
            <w:tcW w:w="249"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0.039</w:t>
            </w:r>
          </w:p>
        </w:tc>
        <w:tc>
          <w:tcPr>
            <w:tcW w:w="264"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val="en-US" w:eastAsia="zh-CN" w:bidi="ar"/>
              </w:rPr>
              <w:t>0.005</w:t>
            </w:r>
          </w:p>
        </w:tc>
        <w:tc>
          <w:tcPr>
            <w:tcW w:w="285"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bidi="ar"/>
              </w:rPr>
            </w:pPr>
            <w:r>
              <w:rPr>
                <w:rFonts w:hint="default" w:ascii="Times New Roman" w:hAnsi="Times New Roman" w:eastAsia="宋体" w:cs="Times New Roman"/>
                <w:color w:val="0000FF"/>
                <w:kern w:val="0"/>
                <w:sz w:val="21"/>
                <w:szCs w:val="21"/>
                <w:highlight w:val="none"/>
                <w:lang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79" w:type="pct"/>
            <w:noWrap w:val="0"/>
            <w:vAlign w:val="center"/>
          </w:tcPr>
          <w:p>
            <w:pPr>
              <w:spacing w:line="240" w:lineRule="auto"/>
              <w:jc w:val="both"/>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无组织</w:t>
            </w:r>
          </w:p>
        </w:tc>
        <w:tc>
          <w:tcPr>
            <w:tcW w:w="382" w:type="pct"/>
            <w:noWrap w:val="0"/>
            <w:vAlign w:val="center"/>
          </w:tcPr>
          <w:p>
            <w:pPr>
              <w:spacing w:line="240" w:lineRule="auto"/>
              <w:jc w:val="center"/>
              <w:rPr>
                <w:rFonts w:hint="default" w:ascii="Times New Roman" w:hAnsi="Times New Roman" w:eastAsia="宋体" w:cs="Times New Roman"/>
                <w:color w:val="0000FF"/>
                <w:kern w:val="0"/>
                <w:sz w:val="21"/>
                <w:szCs w:val="21"/>
                <w:highlight w:val="none"/>
              </w:rPr>
            </w:pPr>
            <w:r>
              <w:rPr>
                <w:rFonts w:hint="default" w:ascii="Times New Roman" w:hAnsi="Times New Roman" w:eastAsia="宋体" w:cs="Times New Roman"/>
                <w:color w:val="0000FF"/>
                <w:sz w:val="21"/>
                <w:szCs w:val="21"/>
                <w:highlight w:val="none"/>
                <w:u w:val="none"/>
                <w:lang w:val="en-US" w:eastAsia="zh-CN"/>
              </w:rPr>
              <w:t>食堂油烟</w:t>
            </w:r>
          </w:p>
        </w:tc>
        <w:tc>
          <w:tcPr>
            <w:tcW w:w="318"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油烟</w:t>
            </w:r>
          </w:p>
        </w:tc>
        <w:tc>
          <w:tcPr>
            <w:tcW w:w="499" w:type="pct"/>
            <w:tcBorders>
              <w:left w:val="single" w:color="auto" w:sz="4" w:space="0"/>
            </w:tcBorders>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w:t>
            </w:r>
          </w:p>
        </w:tc>
        <w:tc>
          <w:tcPr>
            <w:tcW w:w="244"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990</w:t>
            </w:r>
          </w:p>
        </w:tc>
        <w:tc>
          <w:tcPr>
            <w:tcW w:w="312" w:type="pct"/>
            <w:noWrap w:val="0"/>
            <w:vAlign w:val="center"/>
          </w:tcPr>
          <w:p>
            <w:pPr>
              <w:widowControl/>
              <w:spacing w:line="240" w:lineRule="auto"/>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0.045</w:t>
            </w:r>
          </w:p>
        </w:tc>
        <w:tc>
          <w:tcPr>
            <w:tcW w:w="292"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0.045</w:t>
            </w:r>
          </w:p>
        </w:tc>
        <w:tc>
          <w:tcPr>
            <w:tcW w:w="278"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11.25</w:t>
            </w:r>
          </w:p>
        </w:tc>
        <w:tc>
          <w:tcPr>
            <w:tcW w:w="907" w:type="pct"/>
            <w:noWrap w:val="0"/>
            <w:vAlign w:val="center"/>
          </w:tcPr>
          <w:p>
            <w:pPr>
              <w:widowControl/>
              <w:spacing w:line="240" w:lineRule="auto"/>
              <w:textAlignment w:val="center"/>
              <w:rPr>
                <w:rFonts w:hint="default" w:ascii="Times New Roman" w:hAnsi="Times New Roman" w:eastAsia="宋体" w:cs="Times New Roman"/>
                <w:color w:val="0000FF"/>
                <w:kern w:val="0"/>
                <w:sz w:val="21"/>
                <w:szCs w:val="21"/>
                <w:highlight w:val="none"/>
                <w:lang w:bidi="ar"/>
              </w:rPr>
            </w:pPr>
            <w:r>
              <w:rPr>
                <w:rFonts w:hint="eastAsia" w:ascii="Times New Roman" w:hAnsi="Times New Roman" w:eastAsia="宋体" w:cs="Times New Roman"/>
                <w:bCs/>
                <w:color w:val="0000FF"/>
                <w:highlight w:val="none"/>
                <w:u w:val="none"/>
                <w:lang w:val="en-US" w:eastAsia="zh-CN"/>
              </w:rPr>
              <w:t>安装</w:t>
            </w:r>
            <w:r>
              <w:rPr>
                <w:rFonts w:hint="default" w:ascii="Times New Roman" w:hAnsi="Times New Roman" w:eastAsia="宋体" w:cs="Times New Roman"/>
                <w:bCs/>
                <w:color w:val="0000FF"/>
                <w:highlight w:val="none"/>
                <w:u w:val="none"/>
              </w:rPr>
              <w:t>油烟净化装置</w:t>
            </w:r>
          </w:p>
        </w:tc>
        <w:tc>
          <w:tcPr>
            <w:tcW w:w="446"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90</w:t>
            </w:r>
          </w:p>
        </w:tc>
        <w:tc>
          <w:tcPr>
            <w:tcW w:w="240" w:type="pct"/>
            <w:noWrap w:val="0"/>
            <w:vAlign w:val="center"/>
          </w:tcPr>
          <w:p>
            <w:pPr>
              <w:widowControl/>
              <w:spacing w:line="240" w:lineRule="auto"/>
              <w:jc w:val="center"/>
              <w:textAlignment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2000</w:t>
            </w:r>
          </w:p>
        </w:tc>
        <w:tc>
          <w:tcPr>
            <w:tcW w:w="249"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0.004</w:t>
            </w:r>
          </w:p>
        </w:tc>
        <w:tc>
          <w:tcPr>
            <w:tcW w:w="264"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0.005</w:t>
            </w:r>
          </w:p>
        </w:tc>
        <w:tc>
          <w:tcPr>
            <w:tcW w:w="285" w:type="pct"/>
            <w:noWrap w:val="0"/>
            <w:vAlign w:val="center"/>
          </w:tcPr>
          <w:p>
            <w:pPr>
              <w:widowControl/>
              <w:spacing w:line="240" w:lineRule="auto"/>
              <w:jc w:val="center"/>
              <w:textAlignment w:val="center"/>
              <w:rPr>
                <w:rFonts w:hint="default" w:ascii="Times New Roman" w:hAnsi="Times New Roman" w:eastAsia="宋体" w:cs="Times New Roman"/>
                <w:snapToGrid w:val="0"/>
                <w:color w:val="0000FF"/>
                <w:kern w:val="0"/>
                <w:sz w:val="21"/>
                <w:szCs w:val="21"/>
                <w:highlight w:val="none"/>
                <w:lang w:val="en-US" w:eastAsia="zh-CN" w:bidi="ar"/>
              </w:rPr>
            </w:pPr>
            <w:r>
              <w:rPr>
                <w:rFonts w:hint="default" w:ascii="Times New Roman" w:hAnsi="Times New Roman" w:eastAsia="宋体" w:cs="Times New Roman"/>
                <w:color w:val="0000FF"/>
                <w:kern w:val="0"/>
                <w:sz w:val="21"/>
                <w:szCs w:val="21"/>
                <w:highlight w:val="none"/>
                <w:lang w:val="en-US" w:eastAsia="zh-CN" w:bidi="ar"/>
              </w:rPr>
              <w:t>1.13</w:t>
            </w:r>
          </w:p>
        </w:tc>
      </w:tr>
    </w:tbl>
    <w:p>
      <w:pPr>
        <w:tabs>
          <w:tab w:val="left" w:pos="1461"/>
        </w:tabs>
        <w:ind w:firstLine="420" w:firstLineChars="200"/>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注：</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1</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袋式除尘器及加水喷淋对粉尘的去除效率根据《排放源统计调查产排污核算方法和系数手册》</w:t>
      </w:r>
      <w:r>
        <w:rPr>
          <w:rFonts w:hint="eastAsia" w:ascii="Times New Roman" w:hAnsi="Times New Roman" w:eastAsia="宋体" w:cs="Times New Roman"/>
          <w:color w:val="0000FF"/>
          <w:szCs w:val="21"/>
          <w:lang w:val="en-US" w:eastAsia="zh-CN"/>
        </w:rPr>
        <w:t>与《第二次全国污染源普查产排污核算系数手册--工业源（试用版）》（2019 年）</w:t>
      </w:r>
      <w:r>
        <w:rPr>
          <w:rFonts w:hint="default" w:ascii="Times New Roman" w:hAnsi="Times New Roman" w:eastAsia="宋体" w:cs="Times New Roman"/>
          <w:color w:val="0000FF"/>
          <w:szCs w:val="21"/>
        </w:rPr>
        <w:t>中数据确定。</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2</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粉尘</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颗粒物</w:t>
      </w:r>
      <w:r>
        <w:rPr>
          <w:rFonts w:hint="default" w:ascii="Times New Roman" w:hAnsi="Times New Roman" w:eastAsia="宋体" w:cs="Times New Roman"/>
          <w:color w:val="0000FF"/>
          <w:szCs w:val="21"/>
          <w:lang w:eastAsia="zh-CN"/>
        </w:rPr>
        <w:t>）</w:t>
      </w:r>
      <w:r>
        <w:rPr>
          <w:rFonts w:hint="default" w:ascii="Times New Roman" w:hAnsi="Times New Roman" w:eastAsia="宋体" w:cs="Times New Roman"/>
          <w:color w:val="0000FF"/>
          <w:szCs w:val="21"/>
        </w:rPr>
        <w:t>治理可行技术采用《排污许可证申请与核发技术规范》所列明的可行技术。</w:t>
      </w:r>
    </w:p>
    <w:p>
      <w:pPr>
        <w:pStyle w:val="3"/>
        <w:keepLines/>
        <w:overflowPunct/>
        <w:snapToGrid/>
        <w:spacing w:before="0" w:after="0" w:line="360" w:lineRule="auto"/>
        <w:ind w:left="0" w:firstLine="0"/>
        <w:jc w:val="both"/>
        <w:outlineLvl w:val="9"/>
        <w:rPr>
          <w:rFonts w:hint="default" w:ascii="Times New Roman" w:hAnsi="Times New Roman" w:eastAsia="宋体" w:cs="Times New Roman"/>
          <w:b w:val="0"/>
          <w:color w:val="0000FF"/>
          <w:lang w:val="en-US" w:eastAsia="zh-CN"/>
        </w:rPr>
        <w:sectPr>
          <w:pgSz w:w="16839" w:h="11906" w:orient="landscape"/>
          <w:pgMar w:top="1299" w:right="400" w:bottom="1017" w:left="1014" w:header="0" w:footer="854"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宋体" w:cs="Times New Roman"/>
          <w:b w:val="0"/>
          <w:color w:val="0000FF"/>
          <w:lang w:val="en-US" w:eastAsia="zh-CN"/>
        </w:rPr>
        <w:t xml:space="preserve">  </w:t>
      </w:r>
    </w:p>
    <w:p>
      <w:pPr>
        <w:rPr>
          <w:rFonts w:hint="default"/>
          <w:lang w:val="en-US" w:eastAsia="zh-CN"/>
        </w:rPr>
      </w:pPr>
    </w:p>
    <w:tbl>
      <w:tblPr>
        <w:tblStyle w:val="15"/>
        <w:tblW w:w="89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1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4" w:type="dxa"/>
            <w:noWrap w:val="0"/>
            <w:tcMar>
              <w:left w:w="28" w:type="dxa"/>
              <w:right w:w="28" w:type="dxa"/>
            </w:tcMar>
            <w:vAlign w:val="center"/>
          </w:tcPr>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运营</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期环</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境影</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响和</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保护</w:t>
            </w:r>
          </w:p>
          <w:p>
            <w:pPr>
              <w:pStyle w:val="24"/>
              <w:ind w:left="0" w:leftChars="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4"/>
                <w:lang w:val="en-US" w:eastAsia="zh-CN"/>
              </w:rPr>
              <w:t>措施</w:t>
            </w:r>
          </w:p>
        </w:tc>
        <w:tc>
          <w:tcPr>
            <w:tcW w:w="8157" w:type="dxa"/>
            <w:noWrap w:val="0"/>
            <w:vAlign w:val="top"/>
          </w:tcPr>
          <w:p>
            <w:pPr>
              <w:adjustRightInd w:val="0"/>
              <w:snapToGrid w:val="0"/>
              <w:spacing w:line="360" w:lineRule="auto"/>
              <w:ind w:firstLine="482" w:firstLineChars="200"/>
              <w:rPr>
                <w:rFonts w:hint="default" w:ascii="Times New Roman" w:hAnsi="Times New Roman" w:eastAsia="宋体" w:cs="Times New Roman"/>
                <w:b/>
                <w:bCs/>
                <w:color w:val="0000FF"/>
                <w:sz w:val="24"/>
              </w:rPr>
            </w:pPr>
            <w:r>
              <w:rPr>
                <w:rFonts w:hint="default" w:ascii="Times New Roman" w:hAnsi="Times New Roman" w:eastAsia="宋体" w:cs="Times New Roman"/>
                <w:b/>
                <w:bCs/>
                <w:color w:val="0000FF"/>
                <w:sz w:val="24"/>
                <w:lang w:val="en-US" w:eastAsia="zh-CN"/>
              </w:rPr>
              <w:t>2.</w:t>
            </w:r>
            <w:r>
              <w:rPr>
                <w:rFonts w:hint="default" w:ascii="Times New Roman" w:hAnsi="Times New Roman" w:eastAsia="宋体" w:cs="Times New Roman"/>
                <w:b/>
                <w:bCs/>
                <w:color w:val="0000FF"/>
                <w:sz w:val="24"/>
              </w:rPr>
              <w:t>废气排放环境影响</w:t>
            </w:r>
          </w:p>
          <w:p>
            <w:pPr>
              <w:adjustRightInd w:val="0"/>
              <w:snapToGrid w:val="0"/>
              <w:spacing w:line="360" w:lineRule="auto"/>
              <w:ind w:firstLine="480" w:firstLineChars="200"/>
              <w:rPr>
                <w:rFonts w:hint="default" w:ascii="Times New Roman" w:hAnsi="Times New Roman" w:eastAsia="宋体" w:cs="Times New Roman"/>
                <w:color w:val="0000FF"/>
                <w:sz w:val="24"/>
              </w:rPr>
            </w:pPr>
            <w:r>
              <w:rPr>
                <w:rFonts w:hint="default" w:ascii="Times New Roman" w:hAnsi="Times New Roman" w:eastAsia="宋体" w:cs="Times New Roman"/>
                <w:color w:val="0000FF"/>
                <w:sz w:val="24"/>
              </w:rPr>
              <w:t>根据报告前文所述环境空气质量现状情况，</w:t>
            </w:r>
            <w:r>
              <w:rPr>
                <w:rFonts w:hint="default" w:ascii="Times New Roman" w:hAnsi="Times New Roman" w:eastAsia="宋体" w:cs="Times New Roman"/>
                <w:color w:val="0000FF"/>
                <w:sz w:val="24"/>
                <w:szCs w:val="24"/>
                <w:lang w:val="en-US" w:eastAsia="zh-CN"/>
              </w:rPr>
              <w:t>辰溪</w:t>
            </w:r>
            <w:r>
              <w:rPr>
                <w:rFonts w:hint="default" w:ascii="Times New Roman" w:hAnsi="Times New Roman" w:eastAsia="宋体" w:cs="Times New Roman"/>
                <w:color w:val="0000FF"/>
                <w:sz w:val="24"/>
                <w:szCs w:val="24"/>
              </w:rPr>
              <w:t>县环境空气</w:t>
            </w:r>
            <w:r>
              <w:rPr>
                <w:rFonts w:hint="eastAsia" w:ascii="Times New Roman" w:hAnsi="Times New Roman" w:eastAsia="宋体" w:cs="Times New Roman"/>
                <w:color w:val="0000FF"/>
                <w:sz w:val="24"/>
                <w:szCs w:val="24"/>
                <w:lang w:val="en-US" w:eastAsia="zh-CN"/>
              </w:rPr>
              <w:t>中</w:t>
            </w:r>
            <w:r>
              <w:rPr>
                <w:rFonts w:hint="default" w:ascii="Times New Roman" w:hAnsi="Times New Roman" w:eastAsia="宋体" w:cs="Times New Roman"/>
                <w:color w:val="0000FF"/>
                <w:sz w:val="24"/>
              </w:rPr>
              <w:t>SO</w:t>
            </w:r>
            <w:r>
              <w:rPr>
                <w:rFonts w:hint="default" w:ascii="Times New Roman" w:hAnsi="Times New Roman" w:eastAsia="宋体" w:cs="Times New Roman"/>
                <w:color w:val="0000FF"/>
                <w:sz w:val="24"/>
                <w:vertAlign w:val="subscript"/>
              </w:rPr>
              <w:t>2</w:t>
            </w:r>
            <w:r>
              <w:rPr>
                <w:rFonts w:hint="default" w:ascii="Times New Roman" w:hAnsi="Times New Roman" w:eastAsia="宋体" w:cs="Times New Roman"/>
                <w:color w:val="0000FF"/>
                <w:sz w:val="24"/>
              </w:rPr>
              <w:t>、NO</w:t>
            </w:r>
            <w:r>
              <w:rPr>
                <w:rFonts w:hint="default" w:ascii="Times New Roman" w:hAnsi="Times New Roman" w:eastAsia="宋体" w:cs="Times New Roman"/>
                <w:color w:val="0000FF"/>
                <w:sz w:val="24"/>
                <w:vertAlign w:val="subscript"/>
              </w:rPr>
              <w:t>2</w:t>
            </w:r>
            <w:r>
              <w:rPr>
                <w:rFonts w:hint="default" w:ascii="Times New Roman" w:hAnsi="Times New Roman" w:eastAsia="宋体" w:cs="Times New Roman"/>
                <w:color w:val="0000FF"/>
                <w:sz w:val="24"/>
              </w:rPr>
              <w:t>、CO、O</w:t>
            </w:r>
            <w:r>
              <w:rPr>
                <w:rFonts w:hint="default" w:ascii="Times New Roman" w:hAnsi="Times New Roman" w:eastAsia="宋体" w:cs="Times New Roman"/>
                <w:color w:val="0000FF"/>
                <w:sz w:val="24"/>
                <w:vertAlign w:val="subscript"/>
              </w:rPr>
              <w:t>3</w:t>
            </w:r>
            <w:r>
              <w:rPr>
                <w:rFonts w:hint="default" w:ascii="Times New Roman" w:hAnsi="Times New Roman" w:eastAsia="宋体" w:cs="Times New Roman"/>
                <w:color w:val="0000FF"/>
                <w:sz w:val="24"/>
              </w:rPr>
              <w:t>、PM</w:t>
            </w:r>
            <w:r>
              <w:rPr>
                <w:rFonts w:hint="default" w:ascii="Times New Roman" w:hAnsi="Times New Roman" w:eastAsia="宋体" w:cs="Times New Roman"/>
                <w:color w:val="0000FF"/>
                <w:sz w:val="24"/>
                <w:vertAlign w:val="subscript"/>
              </w:rPr>
              <w:t>10</w:t>
            </w:r>
            <w:r>
              <w:rPr>
                <w:rFonts w:hint="default" w:ascii="Times New Roman" w:hAnsi="Times New Roman" w:eastAsia="宋体" w:cs="Times New Roman"/>
                <w:color w:val="0000FF"/>
                <w:sz w:val="24"/>
              </w:rPr>
              <w:t>、PM</w:t>
            </w:r>
            <w:r>
              <w:rPr>
                <w:rFonts w:hint="default" w:ascii="Times New Roman" w:hAnsi="Times New Roman" w:eastAsia="宋体" w:cs="Times New Roman"/>
                <w:color w:val="0000FF"/>
                <w:sz w:val="24"/>
                <w:vertAlign w:val="subscript"/>
              </w:rPr>
              <w:t>2.5</w:t>
            </w:r>
            <w:r>
              <w:rPr>
                <w:rFonts w:hint="default" w:ascii="Times New Roman" w:hAnsi="Times New Roman" w:eastAsia="宋体" w:cs="Times New Roman"/>
                <w:color w:val="0000FF"/>
                <w:sz w:val="24"/>
              </w:rPr>
              <w:t>等均满足《环境空气质量标准》</w:t>
            </w:r>
            <w:r>
              <w:rPr>
                <w:rFonts w:hint="default" w:ascii="Times New Roman" w:hAnsi="Times New Roman" w:eastAsia="宋体" w:cs="Times New Roman"/>
                <w:color w:val="0000FF"/>
                <w:sz w:val="24"/>
                <w:lang w:eastAsia="zh-CN"/>
              </w:rPr>
              <w:t>(</w:t>
            </w:r>
            <w:r>
              <w:rPr>
                <w:rFonts w:hint="default" w:ascii="Times New Roman" w:hAnsi="Times New Roman" w:eastAsia="宋体" w:cs="Times New Roman"/>
                <w:color w:val="0000FF"/>
                <w:sz w:val="24"/>
              </w:rPr>
              <w:t>GB3095-2012</w:t>
            </w:r>
            <w:r>
              <w:rPr>
                <w:rFonts w:hint="default" w:ascii="Times New Roman" w:hAnsi="Times New Roman" w:eastAsia="宋体" w:cs="Times New Roman"/>
                <w:color w:val="0000FF"/>
                <w:sz w:val="24"/>
                <w:lang w:eastAsia="zh-CN"/>
              </w:rPr>
              <w:t>)</w:t>
            </w:r>
            <w:r>
              <w:rPr>
                <w:rFonts w:hint="default" w:ascii="Times New Roman" w:hAnsi="Times New Roman" w:eastAsia="宋体" w:cs="Times New Roman"/>
                <w:color w:val="0000FF"/>
                <w:sz w:val="24"/>
              </w:rPr>
              <w:t>二级标准。</w:t>
            </w:r>
            <w:r>
              <w:rPr>
                <w:rFonts w:hint="eastAsia" w:ascii="Times New Roman" w:hAnsi="Times New Roman" w:eastAsia="宋体" w:cs="Times New Roman"/>
                <w:color w:val="0000FF"/>
                <w:sz w:val="24"/>
                <w:lang w:val="en-US" w:eastAsia="zh-CN"/>
              </w:rPr>
              <w:t>辰溪县</w:t>
            </w:r>
            <w:r>
              <w:rPr>
                <w:rFonts w:hint="default" w:ascii="Times New Roman" w:hAnsi="Times New Roman" w:eastAsia="宋体" w:cs="Times New Roman"/>
                <w:color w:val="0000FF"/>
                <w:sz w:val="24"/>
              </w:rPr>
              <w:t>常年主导风向为北风，下风向的大气环境保护目标主要为</w:t>
            </w:r>
            <w:r>
              <w:rPr>
                <w:rFonts w:hint="eastAsia" w:ascii="Times New Roman" w:hAnsi="Times New Roman" w:eastAsia="宋体" w:cs="Times New Roman"/>
                <w:color w:val="0000FF"/>
                <w:sz w:val="24"/>
                <w:lang w:val="en-US" w:eastAsia="zh-CN"/>
              </w:rPr>
              <w:t>煤炭湾</w:t>
            </w:r>
            <w:r>
              <w:rPr>
                <w:rFonts w:hint="default" w:ascii="Times New Roman" w:hAnsi="Times New Roman" w:eastAsia="宋体" w:cs="Times New Roman"/>
                <w:color w:val="0000FF"/>
                <w:sz w:val="24"/>
              </w:rPr>
              <w:t>居民</w:t>
            </w:r>
            <w:r>
              <w:rPr>
                <w:rFonts w:hint="eastAsia" w:ascii="Times New Roman" w:hAnsi="Times New Roman" w:eastAsia="宋体" w:cs="Times New Roman"/>
                <w:color w:val="0000FF"/>
                <w:sz w:val="24"/>
                <w:lang w:val="en-US" w:eastAsia="zh-CN"/>
              </w:rPr>
              <w:t>聚集</w:t>
            </w:r>
            <w:r>
              <w:rPr>
                <w:rFonts w:hint="default" w:ascii="Times New Roman" w:hAnsi="Times New Roman" w:eastAsia="宋体" w:cs="Times New Roman"/>
                <w:color w:val="0000FF"/>
                <w:sz w:val="24"/>
              </w:rPr>
              <w:t>区。</w:t>
            </w:r>
          </w:p>
          <w:p>
            <w:pPr>
              <w:adjustRightInd w:val="0"/>
              <w:snapToGrid w:val="0"/>
              <w:spacing w:line="360" w:lineRule="auto"/>
              <w:ind w:firstLine="480" w:firstLineChars="200"/>
              <w:rPr>
                <w:rFonts w:hint="default" w:ascii="Times New Roman" w:hAnsi="Times New Roman" w:eastAsia="宋体" w:cs="Times New Roman"/>
                <w:color w:val="0000FF"/>
                <w:sz w:val="24"/>
              </w:rPr>
            </w:pPr>
            <w:r>
              <w:rPr>
                <w:rFonts w:hint="default" w:ascii="Times New Roman" w:hAnsi="Times New Roman" w:eastAsia="宋体" w:cs="Times New Roman"/>
                <w:color w:val="0000FF"/>
                <w:sz w:val="24"/>
              </w:rPr>
              <w:t>项目</w:t>
            </w:r>
            <w:r>
              <w:rPr>
                <w:rFonts w:hint="eastAsia" w:ascii="Times New Roman" w:hAnsi="Times New Roman" w:eastAsia="宋体" w:cs="Times New Roman"/>
                <w:color w:val="0000FF"/>
                <w:sz w:val="24"/>
                <w:lang w:val="en-US" w:eastAsia="zh-CN"/>
              </w:rPr>
              <w:t>生产线尽可能全封闭，</w:t>
            </w:r>
            <w:r>
              <w:rPr>
                <w:rFonts w:hint="default" w:ascii="Times New Roman" w:hAnsi="Times New Roman" w:eastAsia="宋体" w:cs="Times New Roman"/>
                <w:color w:val="0000FF"/>
                <w:sz w:val="24"/>
              </w:rPr>
              <w:t>生产过程产生的颗粒物</w:t>
            </w:r>
            <w:r>
              <w:rPr>
                <w:rFonts w:hint="eastAsia" w:ascii="Times New Roman" w:hAnsi="Times New Roman" w:eastAsia="宋体" w:cs="Times New Roman"/>
                <w:color w:val="0000FF"/>
                <w:sz w:val="24"/>
                <w:lang w:val="en-US" w:eastAsia="zh-CN"/>
              </w:rPr>
              <w:t>在采取了</w:t>
            </w:r>
            <w:r>
              <w:rPr>
                <w:rFonts w:hint="default" w:ascii="Times New Roman" w:hAnsi="Times New Roman" w:eastAsia="宋体" w:cs="Times New Roman"/>
                <w:color w:val="0000FF"/>
                <w:sz w:val="24"/>
              </w:rPr>
              <w:t>除尘器</w:t>
            </w:r>
            <w:r>
              <w:rPr>
                <w:rFonts w:hint="eastAsia" w:ascii="Times New Roman" w:hAnsi="Times New Roman" w:eastAsia="宋体" w:cs="Times New Roman"/>
                <w:color w:val="0000FF"/>
                <w:sz w:val="24"/>
                <w:lang w:val="en-US" w:eastAsia="zh-CN"/>
              </w:rPr>
              <w:t>及</w:t>
            </w:r>
            <w:r>
              <w:rPr>
                <w:rFonts w:hint="default" w:ascii="Times New Roman" w:hAnsi="Times New Roman" w:eastAsia="宋体" w:cs="Times New Roman"/>
                <w:color w:val="0000FF"/>
                <w:sz w:val="24"/>
              </w:rPr>
              <w:t>喷淋等措施</w:t>
            </w:r>
            <w:r>
              <w:rPr>
                <w:rFonts w:hint="eastAsia" w:ascii="Times New Roman" w:hAnsi="Times New Roman" w:eastAsia="宋体" w:cs="Times New Roman"/>
                <w:color w:val="0000FF"/>
                <w:sz w:val="24"/>
                <w:lang w:val="en-US" w:eastAsia="zh-CN"/>
              </w:rPr>
              <w:t>进行处理后</w:t>
            </w:r>
            <w:r>
              <w:rPr>
                <w:rFonts w:hint="default" w:ascii="Times New Roman" w:hAnsi="Times New Roman" w:eastAsia="宋体" w:cs="Times New Roman"/>
                <w:color w:val="0000FF"/>
                <w:sz w:val="24"/>
              </w:rPr>
              <w:t>，最大限度减少了粉尘外排。</w:t>
            </w:r>
          </w:p>
          <w:p>
            <w:pPr>
              <w:adjustRightInd w:val="0"/>
              <w:snapToGrid w:val="0"/>
              <w:spacing w:line="360" w:lineRule="auto"/>
              <w:ind w:firstLine="480" w:firstLineChars="200"/>
              <w:rPr>
                <w:rFonts w:hint="default" w:ascii="Times New Roman" w:hAnsi="Times New Roman" w:eastAsia="宋体" w:cs="Times New Roman"/>
                <w:color w:val="0000FF"/>
                <w:sz w:val="24"/>
              </w:rPr>
            </w:pPr>
            <w:r>
              <w:rPr>
                <w:rFonts w:hint="default" w:ascii="Times New Roman" w:hAnsi="Times New Roman" w:eastAsia="宋体" w:cs="Times New Roman"/>
                <w:color w:val="0000FF"/>
                <w:sz w:val="24"/>
              </w:rPr>
              <w:t>总体来说，项目</w:t>
            </w:r>
            <w:r>
              <w:rPr>
                <w:rFonts w:hint="eastAsia" w:ascii="Times New Roman" w:hAnsi="Times New Roman" w:eastAsia="宋体" w:cs="Times New Roman"/>
                <w:color w:val="0000FF"/>
                <w:sz w:val="24"/>
                <w:lang w:val="en-US" w:eastAsia="zh-CN"/>
              </w:rPr>
              <w:t>排放的</w:t>
            </w:r>
            <w:r>
              <w:rPr>
                <w:rFonts w:hint="default" w:ascii="Times New Roman" w:hAnsi="Times New Roman" w:eastAsia="宋体" w:cs="Times New Roman"/>
                <w:color w:val="0000FF"/>
                <w:sz w:val="24"/>
              </w:rPr>
              <w:t>废气对周围环境影响较小，建设单位在生产建设过程中，应加强废气排放管理及治理，进一步减少废气排放。</w:t>
            </w:r>
          </w:p>
          <w:p>
            <w:pPr>
              <w:adjustRightInd w:val="0"/>
              <w:snapToGrid w:val="0"/>
              <w:spacing w:line="360" w:lineRule="auto"/>
              <w:ind w:firstLine="482" w:firstLineChars="200"/>
              <w:rPr>
                <w:rFonts w:hint="default" w:ascii="Times New Roman" w:hAnsi="Times New Roman" w:eastAsia="宋体" w:cs="Times New Roman"/>
                <w:b/>
                <w:bCs/>
                <w:color w:val="0000FF"/>
                <w:sz w:val="24"/>
              </w:rPr>
            </w:pPr>
            <w:r>
              <w:rPr>
                <w:rFonts w:hint="default" w:ascii="Times New Roman" w:hAnsi="Times New Roman" w:eastAsia="宋体" w:cs="Times New Roman"/>
                <w:b/>
                <w:bCs/>
                <w:color w:val="0000FF"/>
                <w:sz w:val="24"/>
                <w:lang w:val="en-US" w:eastAsia="zh-CN"/>
              </w:rPr>
              <w:t>3.</w:t>
            </w:r>
            <w:r>
              <w:rPr>
                <w:rFonts w:hint="default" w:ascii="Times New Roman" w:hAnsi="Times New Roman" w:eastAsia="宋体" w:cs="Times New Roman"/>
                <w:b/>
                <w:bCs/>
                <w:color w:val="0000FF"/>
                <w:sz w:val="24"/>
              </w:rPr>
              <w:t>运营期监测</w:t>
            </w:r>
          </w:p>
          <w:p>
            <w:pPr>
              <w:pStyle w:val="43"/>
              <w:widowControl w:val="0"/>
              <w:adjustRightInd/>
              <w:spacing w:line="360" w:lineRule="auto"/>
              <w:ind w:firstLine="480" w:firstLineChars="200"/>
              <w:jc w:val="both"/>
              <w:rPr>
                <w:rFonts w:hint="default" w:ascii="Times New Roman" w:hAnsi="Times New Roman" w:eastAsia="宋体" w:cs="Times New Roman"/>
                <w:color w:val="0000FF"/>
                <w:sz w:val="24"/>
                <w:szCs w:val="24"/>
                <w:lang w:eastAsia="zh-CN"/>
              </w:rPr>
            </w:pPr>
            <w:r>
              <w:rPr>
                <w:rFonts w:hint="default" w:ascii="Times New Roman" w:hAnsi="Times New Roman" w:eastAsia="宋体" w:cs="Times New Roman"/>
                <w:color w:val="0000FF"/>
                <w:sz w:val="24"/>
                <w:szCs w:val="24"/>
                <w:lang w:eastAsia="zh-CN"/>
              </w:rPr>
              <w:t>根据《固定污染源排污许可分类管理名录(2019年版)》，项目排污许可管理类别为“简化管理”，根据</w:t>
            </w:r>
            <w:r>
              <w:rPr>
                <w:rFonts w:hint="eastAsia" w:ascii="Times New Roman" w:hAnsi="Times New Roman" w:eastAsia="宋体" w:cs="Times New Roman"/>
                <w:color w:val="0000FF"/>
                <w:kern w:val="0"/>
                <w:sz w:val="24"/>
                <w:szCs w:val="24"/>
                <w:lang w:val="en-US" w:eastAsia="zh-CN"/>
              </w:rPr>
              <w:t>《排污许可证申请与核发技术规范 总则》（HJ 942)</w:t>
            </w:r>
            <w:r>
              <w:rPr>
                <w:rFonts w:hint="default" w:ascii="Times New Roman" w:hAnsi="Times New Roman" w:eastAsia="宋体" w:cs="Times New Roman"/>
                <w:color w:val="0000FF"/>
                <w:sz w:val="24"/>
                <w:szCs w:val="24"/>
                <w:lang w:eastAsia="zh-CN"/>
              </w:rPr>
              <w:t>的监测频次要求，并结合现有工程大气污染因子产生情况，监测计划如下：</w:t>
            </w:r>
          </w:p>
          <w:p>
            <w:pPr>
              <w:keepNext/>
              <w:keepLines/>
              <w:spacing w:line="460" w:lineRule="exact"/>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表4-</w:t>
            </w:r>
            <w:r>
              <w:rPr>
                <w:rFonts w:hint="eastAsia" w:ascii="Times New Roman" w:hAnsi="Times New Roman" w:eastAsia="宋体" w:cs="Times New Roman"/>
                <w:b/>
                <w:bCs/>
                <w:color w:val="0000FF"/>
                <w:szCs w:val="21"/>
                <w:lang w:val="en-US" w:eastAsia="zh-CN"/>
              </w:rPr>
              <w:t>4</w:t>
            </w:r>
            <w:r>
              <w:rPr>
                <w:rFonts w:hint="default" w:ascii="Times New Roman" w:hAnsi="Times New Roman" w:eastAsia="宋体" w:cs="Times New Roman"/>
                <w:b/>
                <w:bCs/>
                <w:color w:val="0000FF"/>
                <w:szCs w:val="21"/>
              </w:rPr>
              <w:t xml:space="preserve"> 运营期废气监测计划表</w:t>
            </w:r>
          </w:p>
          <w:tbl>
            <w:tblPr>
              <w:tblStyle w:val="15"/>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2"/>
              <w:gridCol w:w="1960"/>
              <w:gridCol w:w="1170"/>
              <w:gridCol w:w="104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类别</w:t>
                  </w:r>
                </w:p>
              </w:tc>
              <w:tc>
                <w:tcPr>
                  <w:tcW w:w="12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监测点位</w:t>
                  </w:r>
                </w:p>
              </w:tc>
              <w:tc>
                <w:tcPr>
                  <w:tcW w:w="74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监测项目</w:t>
                  </w:r>
                </w:p>
              </w:tc>
              <w:tc>
                <w:tcPr>
                  <w:tcW w:w="66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监测频率</w:t>
                  </w:r>
                </w:p>
              </w:tc>
              <w:tc>
                <w:tcPr>
                  <w:tcW w:w="15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8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无组织废气</w:t>
                  </w:r>
                </w:p>
              </w:tc>
              <w:tc>
                <w:tcPr>
                  <w:tcW w:w="12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场界外20m处上风向设参照点，下风向兼顾周围居民区设监控点</w:t>
                  </w:r>
                </w:p>
              </w:tc>
              <w:tc>
                <w:tcPr>
                  <w:tcW w:w="740" w:type="pct"/>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color w:val="0000FF"/>
                      <w:szCs w:val="21"/>
                    </w:rPr>
                    <w:t>颗粒物</w:t>
                  </w:r>
                </w:p>
              </w:tc>
              <w:tc>
                <w:tcPr>
                  <w:tcW w:w="661"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1次/年</w:t>
                  </w:r>
                </w:p>
              </w:tc>
              <w:tc>
                <w:tcPr>
                  <w:tcW w:w="15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lang w:val="en-US" w:eastAsia="zh-CN"/>
                    </w:rPr>
                    <w:t>水泥工业大气污染物排放标准（GB4915-2013）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80"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p>
              </w:tc>
              <w:tc>
                <w:tcPr>
                  <w:tcW w:w="12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周界外浓度最高点</w:t>
                  </w:r>
                </w:p>
              </w:tc>
              <w:tc>
                <w:tcPr>
                  <w:tcW w:w="740" w:type="pct"/>
                  <w:tcBorders>
                    <w:top w:val="single" w:color="auto" w:sz="2"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非甲烷总烃</w:t>
                  </w:r>
                </w:p>
              </w:tc>
              <w:tc>
                <w:tcPr>
                  <w:tcW w:w="661"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1次/年</w:t>
                  </w:r>
                </w:p>
              </w:tc>
              <w:tc>
                <w:tcPr>
                  <w:tcW w:w="15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color w:val="0000FF"/>
                      <w:szCs w:val="21"/>
                    </w:rPr>
                    <w:t>《大气污染物综合排放标准》（GB16297-1996）表2中排放标准限值</w:t>
                  </w:r>
                </w:p>
              </w:tc>
            </w:tr>
          </w:tbl>
          <w:p>
            <w:pPr>
              <w:rPr>
                <w:szCs w:val="21"/>
              </w:rPr>
            </w:pPr>
            <w:r>
              <w:rPr>
                <w:rFonts w:hint="default" w:ascii="Times New Roman" w:hAnsi="Times New Roman" w:eastAsia="宋体" w:cs="Times New Roman"/>
                <w:szCs w:val="21"/>
              </w:rPr>
              <w:t>注：*对于采用相同种类治理设施的，采取随机抽测原则，每次抽测比例不少于50%。考虑到重庆地区静风频率高，无组织废气监测考虑居民区</w:t>
            </w:r>
            <w:r>
              <w:rPr>
                <w:szCs w:val="21"/>
              </w:rPr>
              <w:t>。</w:t>
            </w:r>
          </w:p>
          <w:p>
            <w:pPr>
              <w:pStyle w:val="5"/>
              <w:spacing w:line="360" w:lineRule="auto"/>
              <w:outlineLvl w:val="2"/>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4.2.2废水</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1、废水源强及核算</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本项目废水主要包括初期雨水、生活污水，生产废水。</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（1）初期雨水</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初期雨水：即降雨形成地面径流后10~15min的污染较大的雨水量。初期雨水与气象条件密切相关，具有间歇性、时间间隔变化大等特点，初期雨水中主要污染因子为COD、石油类以及SS。</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项目初期雨水采用如下公式计算：Q=qFψ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式中：</w:t>
            </w:r>
          </w:p>
          <w:p>
            <w:pPr>
              <w:pStyle w:val="24"/>
              <w:spacing w:line="360" w:lineRule="auto"/>
              <w:ind w:firstLine="48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Q</w:t>
            </w:r>
            <w:r>
              <w:rPr>
                <w:rFonts w:hint="default" w:ascii="Times New Roman" w:hAnsi="Times New Roman" w:eastAsia="宋体" w:cs="Times New Roman"/>
                <w:snapToGrid w:val="0"/>
                <w:sz w:val="24"/>
                <w:szCs w:val="24"/>
                <w:highlight w:val="none"/>
                <w:lang w:eastAsia="zh-CN"/>
              </w:rPr>
              <w:t>—</w:t>
            </w:r>
            <w:r>
              <w:rPr>
                <w:rFonts w:hint="default" w:ascii="Times New Roman" w:hAnsi="Times New Roman" w:eastAsia="宋体" w:cs="Times New Roman"/>
                <w:snapToGrid w:val="0"/>
                <w:sz w:val="24"/>
                <w:szCs w:val="24"/>
                <w:highlight w:val="none"/>
              </w:rPr>
              <w:t>雨水量（m</w:t>
            </w:r>
            <w:r>
              <w:rPr>
                <w:rFonts w:hint="default" w:ascii="Times New Roman" w:hAnsi="Times New Roman" w:eastAsia="宋体" w:cs="Times New Roman"/>
                <w:snapToGrid w:val="0"/>
                <w:sz w:val="24"/>
                <w:szCs w:val="24"/>
                <w:highlight w:val="none"/>
                <w:vertAlign w:val="superscript"/>
              </w:rPr>
              <w:t>3</w:t>
            </w:r>
            <w:r>
              <w:rPr>
                <w:rFonts w:hint="default" w:ascii="Times New Roman" w:hAnsi="Times New Roman" w:eastAsia="宋体" w:cs="Times New Roman"/>
                <w:snapToGrid w:val="0"/>
                <w:sz w:val="24"/>
                <w:szCs w:val="24"/>
                <w:highlight w:val="none"/>
              </w:rPr>
              <w:t>）；</w:t>
            </w:r>
          </w:p>
          <w:p>
            <w:pPr>
              <w:pStyle w:val="24"/>
              <w:spacing w:line="360" w:lineRule="auto"/>
              <w:ind w:firstLine="48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lang w:val="en-US" w:eastAsia="zh-CN"/>
              </w:rPr>
              <w:t>q</w:t>
            </w:r>
            <w:r>
              <w:rPr>
                <w:rFonts w:hint="default" w:ascii="Times New Roman" w:hAnsi="Times New Roman" w:eastAsia="宋体" w:cs="Times New Roman"/>
                <w:snapToGrid w:val="0"/>
                <w:sz w:val="24"/>
                <w:szCs w:val="24"/>
                <w:highlight w:val="none"/>
                <w:lang w:eastAsia="zh-CN"/>
              </w:rPr>
              <w:t>—</w:t>
            </w:r>
            <w:r>
              <w:rPr>
                <w:rFonts w:hint="default" w:ascii="Times New Roman" w:hAnsi="Times New Roman" w:eastAsia="宋体" w:cs="Times New Roman"/>
                <w:snapToGrid w:val="0"/>
                <w:sz w:val="24"/>
                <w:szCs w:val="24"/>
                <w:highlight w:val="none"/>
              </w:rPr>
              <w:t>暴雨量，L/s·hm</w:t>
            </w:r>
            <w:r>
              <w:rPr>
                <w:rFonts w:hint="default" w:ascii="Times New Roman" w:hAnsi="Times New Roman" w:eastAsia="宋体" w:cs="Times New Roman"/>
                <w:snapToGrid w:val="0"/>
                <w:sz w:val="24"/>
                <w:szCs w:val="24"/>
                <w:highlight w:val="none"/>
                <w:vertAlign w:val="superscript"/>
              </w:rPr>
              <w:t>2</w:t>
            </w:r>
            <w:r>
              <w:rPr>
                <w:rFonts w:hint="default" w:ascii="Times New Roman" w:hAnsi="Times New Roman" w:eastAsia="宋体" w:cs="Times New Roman"/>
                <w:snapToGrid w:val="0"/>
                <w:sz w:val="24"/>
                <w:szCs w:val="24"/>
                <w:highlight w:val="none"/>
              </w:rPr>
              <w:t>；</w:t>
            </w:r>
          </w:p>
          <w:p>
            <w:pPr>
              <w:pStyle w:val="24"/>
              <w:spacing w:line="360" w:lineRule="auto"/>
              <w:ind w:firstLine="480"/>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sz w:val="24"/>
                <w:szCs w:val="24"/>
                <w:highlight w:val="none"/>
              </w:rPr>
              <w:t>暴雨量q采用暴雨强度公式计算：</w:t>
            </w:r>
          </w:p>
          <w:p>
            <w:pPr>
              <w:pStyle w:val="24"/>
              <w:spacing w:line="360" w:lineRule="auto"/>
              <w:ind w:firstLine="480"/>
              <w:jc w:val="center"/>
              <w:rPr>
                <w:rFonts w:hint="default" w:ascii="Times New Roman" w:hAnsi="Times New Roman" w:eastAsia="宋体" w:cs="Times New Roman"/>
                <w:snapToGrid w:val="0"/>
                <w:sz w:val="24"/>
                <w:szCs w:val="24"/>
                <w:highlight w:val="none"/>
              </w:rPr>
            </w:pPr>
            <w:r>
              <w:rPr>
                <w:rFonts w:hint="default" w:ascii="Times New Roman" w:hAnsi="Times New Roman" w:eastAsia="宋体" w:cs="Times New Roman"/>
                <w:snapToGrid w:val="0"/>
                <w:position w:val="-28"/>
                <w:sz w:val="24"/>
                <w:szCs w:val="24"/>
                <w:highlight w:val="none"/>
              </w:rPr>
              <w:object>
                <v:shape id="_x0000_i1026" o:spt="75" type="#_x0000_t75" style="height:33pt;width:111.75pt;" o:ole="t" filled="f" o:preferrelative="t" stroked="f" coordsize="21600,21600">
                  <v:path/>
                  <v:fill on="f" focussize="0,0"/>
                  <v:stroke on="f"/>
                  <v:imagedata r:id="rId20" o:title=""/>
                  <o:lock v:ext="edit" aspectratio="t"/>
                  <w10:wrap type="none"/>
                  <w10:anchorlock/>
                </v:shape>
                <o:OLEObject Type="Embed" ProgID="Equation.3" ShapeID="_x0000_i1026" DrawAspect="Content" ObjectID="_1468075726" r:id="rId19">
                  <o:LockedField>false</o:LockedField>
                </o:OLEObject>
              </w:objec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式中：</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P</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重现期P=1年；</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t</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降雨历时，取15min；</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计算得暴雨量为199L/s·hm</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Ψ</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径流系数，取ψ=0.7；</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sz w:val="24"/>
                <w:szCs w:val="24"/>
                <w:highlight w:val="none"/>
              </w:rPr>
              <w:t>F</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汇水面积（m</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color w:val="0000FF"/>
                <w:sz w:val="24"/>
                <w:szCs w:val="24"/>
                <w:highlight w:val="none"/>
                <w:lang w:val="en-US" w:eastAsia="zh-CN"/>
              </w:rPr>
              <w:t>项目建有内部道路，故而内部道路两侧的初期雨水分别收集，根据建设单位提供的平面布置图，1#隔油沉淀池拟收集</w:t>
            </w:r>
            <w:r>
              <w:rPr>
                <w:rFonts w:hint="default" w:ascii="Times New Roman" w:hAnsi="Times New Roman" w:eastAsia="宋体" w:cs="Times New Roman"/>
                <w:color w:val="0000FF"/>
                <w:sz w:val="24"/>
                <w:szCs w:val="24"/>
                <w:highlight w:val="none"/>
              </w:rPr>
              <w:t>砂石堆棚及搅拌区</w:t>
            </w:r>
            <w:r>
              <w:rPr>
                <w:rFonts w:hint="eastAsia" w:ascii="Times New Roman" w:hAnsi="Times New Roman" w:eastAsia="宋体" w:cs="Times New Roman"/>
                <w:color w:val="0000FF"/>
                <w:sz w:val="24"/>
                <w:szCs w:val="24"/>
                <w:highlight w:val="none"/>
                <w:lang w:val="en-US" w:eastAsia="zh-CN"/>
              </w:rPr>
              <w:t>的初期雨水，其汇水面积约</w:t>
            </w:r>
            <w:r>
              <w:rPr>
                <w:rFonts w:hint="default" w:ascii="Times New Roman" w:hAnsi="Times New Roman" w:eastAsia="宋体" w:cs="Times New Roman"/>
                <w:color w:val="0000FF"/>
                <w:sz w:val="24"/>
                <w:szCs w:val="24"/>
                <w:highlight w:val="none"/>
              </w:rPr>
              <w:t>5000m</w:t>
            </w:r>
            <w:r>
              <w:rPr>
                <w:rFonts w:hint="default" w:ascii="Times New Roman" w:hAnsi="Times New Roman" w:eastAsia="宋体" w:cs="Times New Roman"/>
                <w:color w:val="0000FF"/>
                <w:sz w:val="24"/>
                <w:szCs w:val="24"/>
                <w:highlight w:val="none"/>
                <w:vertAlign w:val="superscript"/>
              </w:rPr>
              <w:t>2</w:t>
            </w:r>
            <w:r>
              <w:rPr>
                <w:rFonts w:hint="default" w:ascii="Times New Roman" w:hAnsi="Times New Roman" w:eastAsia="宋体" w:cs="Times New Roman"/>
                <w:color w:val="0000FF"/>
                <w:sz w:val="24"/>
                <w:szCs w:val="24"/>
                <w:highlight w:val="none"/>
              </w:rPr>
              <w:t>；</w:t>
            </w:r>
            <w:r>
              <w:rPr>
                <w:rFonts w:hint="eastAsia" w:ascii="Times New Roman" w:hAnsi="Times New Roman" w:eastAsia="宋体" w:cs="Times New Roman"/>
                <w:color w:val="0000FF"/>
                <w:sz w:val="24"/>
                <w:szCs w:val="24"/>
                <w:highlight w:val="none"/>
                <w:lang w:val="en-US" w:eastAsia="zh-CN"/>
              </w:rPr>
              <w:t>2#隔油沉淀池拟收集运输车辆停车场区域的初期雨水，其汇水面积约2400</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2</w:t>
            </w:r>
            <w:r>
              <w:rPr>
                <w:rFonts w:hint="eastAsia" w:ascii="Times New Roman" w:hAnsi="Times New Roman" w:eastAsia="宋体" w:cs="Times New Roman"/>
                <w:color w:val="0000FF"/>
                <w:sz w:val="24"/>
                <w:szCs w:val="24"/>
                <w:highlight w:val="none"/>
                <w:lang w:val="en-US" w:eastAsia="zh-CN"/>
              </w:rPr>
              <w:t>。</w:t>
            </w:r>
          </w:p>
          <w:p>
            <w:pPr>
              <w:spacing w:line="360" w:lineRule="auto"/>
              <w:ind w:firstLine="480" w:firstLineChars="200"/>
              <w:rPr>
                <w:rFonts w:hint="eastAsia"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由上述公式计算得知项目厂区</w:t>
            </w:r>
            <w:r>
              <w:rPr>
                <w:rFonts w:hint="default" w:ascii="Times New Roman" w:hAnsi="Times New Roman" w:eastAsia="宋体" w:cs="Times New Roman"/>
                <w:color w:val="0000FF"/>
                <w:sz w:val="24"/>
                <w:szCs w:val="24"/>
                <w:highlight w:val="none"/>
              </w:rPr>
              <w:t>初期雨水量</w:t>
            </w:r>
            <w:r>
              <w:rPr>
                <w:rFonts w:hint="eastAsia" w:ascii="Times New Roman" w:hAnsi="Times New Roman" w:eastAsia="宋体" w:cs="Times New Roman"/>
                <w:color w:val="0000FF"/>
                <w:sz w:val="24"/>
                <w:szCs w:val="24"/>
                <w:highlight w:val="none"/>
                <w:lang w:val="en-US" w:eastAsia="zh-CN"/>
              </w:rPr>
              <w:t>约103.08</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/次</w:t>
            </w:r>
            <w:r>
              <w:rPr>
                <w:rFonts w:hint="eastAsia" w:ascii="Times New Roman" w:hAnsi="Times New Roman" w:eastAsia="宋体" w:cs="Times New Roman"/>
                <w:color w:val="0000FF"/>
                <w:sz w:val="24"/>
                <w:szCs w:val="24"/>
                <w:highlight w:val="none"/>
                <w:lang w:eastAsia="zh-CN"/>
              </w:rPr>
              <w:t>（</w:t>
            </w:r>
            <w:r>
              <w:rPr>
                <w:rFonts w:hint="eastAsia" w:ascii="Times New Roman" w:hAnsi="Times New Roman" w:eastAsia="宋体" w:cs="Times New Roman"/>
                <w:color w:val="0000FF"/>
                <w:sz w:val="24"/>
                <w:szCs w:val="24"/>
                <w:highlight w:val="none"/>
                <w:lang w:val="en-US" w:eastAsia="zh-CN"/>
              </w:rPr>
              <w:t>其中</w:t>
            </w:r>
            <w:r>
              <w:rPr>
                <w:rFonts w:hint="default" w:ascii="Times New Roman" w:hAnsi="Times New Roman" w:eastAsia="宋体" w:cs="Times New Roman"/>
                <w:color w:val="0000FF"/>
                <w:sz w:val="24"/>
                <w:szCs w:val="24"/>
                <w:highlight w:val="none"/>
              </w:rPr>
              <w:t>砂石堆棚及搅拌区69.65m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/次</w:t>
            </w:r>
            <w:r>
              <w:rPr>
                <w:rFonts w:hint="eastAsia" w:ascii="Times New Roman" w:hAnsi="Times New Roman" w:eastAsia="宋体" w:cs="Times New Roman"/>
                <w:color w:val="0000FF"/>
                <w:sz w:val="24"/>
                <w:szCs w:val="24"/>
                <w:highlight w:val="none"/>
                <w:lang w:val="en-US" w:eastAsia="zh-CN"/>
              </w:rPr>
              <w:t>，运输车辆停车场33.43</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/次</w:t>
            </w:r>
            <w:r>
              <w:rPr>
                <w:rFonts w:hint="default" w:ascii="Times New Roman" w:hAnsi="Times New Roman" w:eastAsia="宋体" w:cs="Times New Roman"/>
                <w:color w:val="0000FF"/>
                <w:sz w:val="24"/>
                <w:szCs w:val="24"/>
                <w:highlight w:val="none"/>
              </w:rPr>
              <w:t>。</w:t>
            </w:r>
            <w:r>
              <w:rPr>
                <w:rFonts w:hint="eastAsia" w:ascii="Times New Roman" w:hAnsi="Times New Roman" w:eastAsia="宋体" w:cs="Times New Roman"/>
                <w:color w:val="0000FF"/>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FF"/>
                <w:sz w:val="24"/>
                <w:szCs w:val="24"/>
                <w:highlight w:val="none"/>
              </w:rPr>
              <w:t>项目初期雨水</w:t>
            </w:r>
            <w:r>
              <w:rPr>
                <w:rFonts w:hint="eastAsia" w:ascii="Times New Roman" w:hAnsi="Times New Roman" w:eastAsia="宋体" w:cs="Times New Roman"/>
                <w:color w:val="0000FF"/>
                <w:sz w:val="24"/>
                <w:szCs w:val="24"/>
                <w:highlight w:val="none"/>
                <w:lang w:val="en-US" w:eastAsia="zh-CN"/>
              </w:rPr>
              <w:t>经1#、2#隔油</w:t>
            </w:r>
            <w:r>
              <w:rPr>
                <w:rFonts w:hint="default" w:ascii="Times New Roman" w:hAnsi="Times New Roman" w:eastAsia="宋体" w:cs="Times New Roman"/>
                <w:color w:val="0000FF"/>
                <w:sz w:val="24"/>
                <w:szCs w:val="24"/>
                <w:highlight w:val="none"/>
              </w:rPr>
              <w:t>沉淀池</w:t>
            </w:r>
            <w:r>
              <w:rPr>
                <w:rFonts w:hint="eastAsia" w:ascii="Times New Roman" w:hAnsi="Times New Roman" w:eastAsia="宋体" w:cs="Times New Roman"/>
                <w:color w:val="0000FF"/>
                <w:sz w:val="24"/>
                <w:szCs w:val="24"/>
                <w:highlight w:val="none"/>
                <w:lang w:val="en-US" w:eastAsia="zh-CN"/>
              </w:rPr>
              <w:t>沉淀后用于厂区内部洒水抑尘</w:t>
            </w:r>
            <w:r>
              <w:rPr>
                <w:rFonts w:hint="default" w:ascii="Times New Roman" w:hAnsi="Times New Roman" w:eastAsia="宋体" w:cs="Times New Roman"/>
                <w:color w:val="0000FF"/>
                <w:sz w:val="24"/>
                <w:szCs w:val="24"/>
                <w:highlight w:val="none"/>
              </w:rPr>
              <w:t>，不外排。</w:t>
            </w:r>
            <w:r>
              <w:rPr>
                <w:rFonts w:hint="default" w:ascii="Times New Roman" w:hAnsi="Times New Roman" w:eastAsia="宋体" w:cs="Times New Roman"/>
                <w:sz w:val="24"/>
                <w:szCs w:val="24"/>
                <w:highlight w:val="none"/>
              </w:rPr>
              <w:t>由于项目初期雨水不确定性，本环评只对单次初期雨水量进行分析，不纳入项目废水总量的核算中。</w:t>
            </w:r>
          </w:p>
          <w:p>
            <w:pPr>
              <w:wordWrap/>
              <w:spacing w:line="360" w:lineRule="auto"/>
              <w:ind w:firstLine="480" w:firstLineChars="200"/>
              <w:jc w:val="both"/>
              <w:rPr>
                <w:rFonts w:hint="default" w:ascii="Times New Roman" w:hAnsi="Times New Roman" w:eastAsia="宋体" w:cs="Times New Roman"/>
                <w:sz w:val="24"/>
                <w:szCs w:val="24"/>
                <w:highlight w:val="none"/>
                <w:u w:val="none"/>
                <w:lang w:val="en-US" w:eastAsia="zh-CN"/>
              </w:rPr>
            </w:pPr>
            <w:r>
              <w:rPr>
                <w:rFonts w:hint="default" w:ascii="Times New Roman" w:hAnsi="Times New Roman" w:eastAsia="宋体" w:cs="Times New Roman"/>
                <w:sz w:val="24"/>
                <w:szCs w:val="24"/>
                <w:highlight w:val="none"/>
                <w:u w:val="none"/>
                <w:lang w:val="en-US" w:eastAsia="zh-CN"/>
              </w:rPr>
              <w:t>（2）生活污水</w:t>
            </w:r>
          </w:p>
          <w:p>
            <w:pPr>
              <w:pStyle w:val="24"/>
              <w:spacing w:line="360" w:lineRule="auto"/>
              <w:ind w:firstLine="420"/>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spacing w:val="-2"/>
                <w:sz w:val="24"/>
                <w:szCs w:val="24"/>
                <w:highlight w:val="none"/>
                <w:u w:val="none"/>
              </w:rPr>
              <w:t>项</w:t>
            </w:r>
            <w:r>
              <w:rPr>
                <w:rFonts w:hint="default" w:ascii="Times New Roman" w:hAnsi="Times New Roman" w:eastAsia="宋体" w:cs="Times New Roman"/>
                <w:sz w:val="24"/>
                <w:szCs w:val="24"/>
                <w:highlight w:val="none"/>
                <w:u w:val="none"/>
              </w:rPr>
              <w:t>目职工为</w:t>
            </w:r>
            <w:r>
              <w:rPr>
                <w:rFonts w:hint="default" w:ascii="Times New Roman" w:hAnsi="Times New Roman" w:eastAsia="宋体" w:cs="Times New Roman"/>
                <w:sz w:val="24"/>
                <w:szCs w:val="24"/>
                <w:highlight w:val="none"/>
                <w:u w:val="none"/>
                <w:lang w:val="en-US" w:eastAsia="zh-CN"/>
              </w:rPr>
              <w:t>70</w:t>
            </w:r>
            <w:r>
              <w:rPr>
                <w:rFonts w:hint="default" w:ascii="Times New Roman" w:hAnsi="Times New Roman" w:eastAsia="宋体" w:cs="Times New Roman"/>
                <w:sz w:val="24"/>
                <w:szCs w:val="24"/>
                <w:highlight w:val="none"/>
                <w:u w:val="none"/>
              </w:rPr>
              <w:t>人，</w:t>
            </w:r>
            <w:r>
              <w:rPr>
                <w:rFonts w:hint="default" w:ascii="Times New Roman" w:hAnsi="Times New Roman" w:eastAsia="宋体" w:cs="Times New Roman"/>
                <w:sz w:val="24"/>
                <w:szCs w:val="24"/>
                <w:highlight w:val="none"/>
                <w:u w:val="none"/>
                <w:lang w:val="en-US" w:eastAsia="zh-CN"/>
              </w:rPr>
              <w:t>其中10人住宿，厂区为住宿员工提供3餐，为其余员工提供1餐。</w:t>
            </w:r>
            <w:r>
              <w:rPr>
                <w:rFonts w:hint="default" w:ascii="Times New Roman" w:hAnsi="Times New Roman" w:eastAsia="宋体" w:cs="Times New Roman"/>
                <w:sz w:val="24"/>
                <w:szCs w:val="24"/>
                <w:highlight w:val="none"/>
                <w:u w:val="none"/>
              </w:rPr>
              <w:t>用水参考《湖南省用水定额》（DB43T388-2014），用水量按不住宿人员用水量约</w:t>
            </w:r>
            <w:r>
              <w:rPr>
                <w:rFonts w:hint="default" w:ascii="Times New Roman" w:hAnsi="Times New Roman" w:eastAsia="宋体" w:cs="Times New Roman"/>
                <w:sz w:val="24"/>
                <w:szCs w:val="24"/>
                <w:highlight w:val="none"/>
                <w:u w:val="none"/>
                <w:lang w:val="en-US" w:eastAsia="zh-CN"/>
              </w:rPr>
              <w:t>50</w:t>
            </w:r>
            <w:r>
              <w:rPr>
                <w:rFonts w:hint="default" w:ascii="Times New Roman" w:hAnsi="Times New Roman" w:eastAsia="宋体" w:cs="Times New Roman"/>
                <w:sz w:val="24"/>
                <w:szCs w:val="24"/>
                <w:highlight w:val="none"/>
                <w:u w:val="none"/>
              </w:rPr>
              <w:t>L/人•d，职工住宿人员生活用水量按120L/人•d计算，食堂用水量约</w:t>
            </w:r>
            <w:r>
              <w:rPr>
                <w:rFonts w:hint="default" w:ascii="Times New Roman" w:hAnsi="Times New Roman" w:eastAsia="宋体" w:cs="Times New Roman"/>
                <w:sz w:val="24"/>
                <w:szCs w:val="24"/>
                <w:highlight w:val="none"/>
                <w:u w:val="none"/>
                <w:lang w:val="en-US" w:eastAsia="zh-CN"/>
              </w:rPr>
              <w:t>10</w:t>
            </w:r>
            <w:r>
              <w:rPr>
                <w:rFonts w:hint="default" w:ascii="Times New Roman" w:hAnsi="Times New Roman" w:eastAsia="宋体" w:cs="Times New Roman"/>
                <w:sz w:val="24"/>
                <w:szCs w:val="24"/>
                <w:highlight w:val="none"/>
                <w:u w:val="none"/>
              </w:rPr>
              <w:t>L/人</w:t>
            </w:r>
            <w:r>
              <w:rPr>
                <w:rFonts w:hint="default" w:ascii="Times New Roman" w:hAnsi="Times New Roman" w:eastAsia="宋体" w:cs="Times New Roman"/>
                <w:sz w:val="24"/>
                <w:szCs w:val="24"/>
                <w:highlight w:val="none"/>
                <w:u w:val="none"/>
                <w:lang w:val="en-US" w:eastAsia="zh-CN"/>
              </w:rPr>
              <w:t>次</w:t>
            </w:r>
            <w:r>
              <w:rPr>
                <w:rFonts w:hint="default" w:ascii="Times New Roman" w:hAnsi="Times New Roman" w:eastAsia="宋体" w:cs="Times New Roman"/>
                <w:sz w:val="24"/>
                <w:szCs w:val="24"/>
                <w:highlight w:val="none"/>
                <w:u w:val="none"/>
              </w:rPr>
              <w:t>计算，</w:t>
            </w:r>
            <w:r>
              <w:rPr>
                <w:rFonts w:hint="default" w:ascii="Times New Roman" w:hAnsi="Times New Roman" w:eastAsia="宋体" w:cs="Times New Roman"/>
                <w:sz w:val="24"/>
                <w:szCs w:val="24"/>
                <w:highlight w:val="none"/>
                <w:u w:val="none"/>
                <w:lang w:val="en-US" w:eastAsia="zh-CN"/>
              </w:rPr>
              <w:t>企业每年正常生产330天计，则本项目食堂用水297</w:t>
            </w:r>
            <w:r>
              <w:rPr>
                <w:rFonts w:hint="default" w:ascii="Times New Roman" w:hAnsi="Times New Roman" w:eastAsia="宋体" w:cs="Times New Roman"/>
                <w:sz w:val="24"/>
                <w:szCs w:val="24"/>
                <w:highlight w:val="none"/>
                <w:u w:val="none"/>
              </w:rPr>
              <w:t>m</w:t>
            </w:r>
            <w:r>
              <w:rPr>
                <w:rFonts w:hint="default" w:ascii="Times New Roman" w:hAnsi="Times New Roman" w:eastAsia="宋体" w:cs="Times New Roman"/>
                <w:sz w:val="24"/>
                <w:szCs w:val="24"/>
                <w:highlight w:val="none"/>
                <w:u w:val="none"/>
                <w:vertAlign w:val="superscript"/>
              </w:rPr>
              <w:t>3</w:t>
            </w:r>
            <w:r>
              <w:rPr>
                <w:rFonts w:hint="default" w:ascii="Times New Roman" w:hAnsi="Times New Roman" w:eastAsia="宋体" w:cs="Times New Roman"/>
                <w:sz w:val="24"/>
                <w:szCs w:val="24"/>
                <w:highlight w:val="none"/>
                <w:u w:val="none"/>
              </w:rPr>
              <w:t>/a</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lang w:val="en-US" w:eastAsia="zh-CN"/>
              </w:rPr>
              <w:t>其他生活用水量为1386</w:t>
            </w:r>
            <w:r>
              <w:rPr>
                <w:rFonts w:hint="default" w:ascii="Times New Roman" w:hAnsi="Times New Roman" w:eastAsia="宋体" w:cs="Times New Roman"/>
                <w:sz w:val="24"/>
                <w:szCs w:val="24"/>
                <w:highlight w:val="none"/>
                <w:u w:val="none"/>
              </w:rPr>
              <w:t>m</w:t>
            </w:r>
            <w:r>
              <w:rPr>
                <w:rFonts w:hint="default" w:ascii="Times New Roman" w:hAnsi="Times New Roman" w:eastAsia="宋体" w:cs="Times New Roman"/>
                <w:sz w:val="24"/>
                <w:szCs w:val="24"/>
                <w:highlight w:val="none"/>
                <w:u w:val="none"/>
                <w:vertAlign w:val="superscript"/>
              </w:rPr>
              <w:t>3</w:t>
            </w:r>
            <w:r>
              <w:rPr>
                <w:rFonts w:hint="default" w:ascii="Times New Roman" w:hAnsi="Times New Roman" w:eastAsia="宋体" w:cs="Times New Roman"/>
                <w:sz w:val="24"/>
                <w:szCs w:val="24"/>
                <w:highlight w:val="none"/>
                <w:u w:val="none"/>
              </w:rPr>
              <w:t>/a</w:t>
            </w:r>
            <w:r>
              <w:rPr>
                <w:rFonts w:hint="eastAsia"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lang w:val="en-US" w:eastAsia="zh-CN"/>
              </w:rPr>
              <w:t>生活用水</w:t>
            </w:r>
            <w:r>
              <w:rPr>
                <w:rFonts w:hint="eastAsia" w:ascii="Times New Roman" w:hAnsi="Times New Roman" w:eastAsia="宋体" w:cs="Times New Roman"/>
                <w:sz w:val="24"/>
                <w:szCs w:val="24"/>
                <w:highlight w:val="none"/>
                <w:u w:val="none"/>
                <w:lang w:val="en-US" w:eastAsia="zh-CN"/>
              </w:rPr>
              <w:t>总</w:t>
            </w:r>
            <w:r>
              <w:rPr>
                <w:rFonts w:hint="default" w:ascii="Times New Roman" w:hAnsi="Times New Roman" w:eastAsia="宋体" w:cs="Times New Roman"/>
                <w:sz w:val="24"/>
                <w:szCs w:val="24"/>
                <w:highlight w:val="none"/>
                <w:u w:val="none"/>
                <w:lang w:val="en-US" w:eastAsia="zh-CN"/>
              </w:rPr>
              <w:t>量为1</w:t>
            </w:r>
            <w:r>
              <w:rPr>
                <w:rFonts w:hint="eastAsia" w:ascii="Times New Roman" w:hAnsi="Times New Roman" w:eastAsia="宋体" w:cs="Times New Roman"/>
                <w:sz w:val="24"/>
                <w:szCs w:val="24"/>
                <w:highlight w:val="none"/>
                <w:u w:val="none"/>
                <w:lang w:val="en-US" w:eastAsia="zh-CN"/>
              </w:rPr>
              <w:t>683</w:t>
            </w:r>
            <w:r>
              <w:rPr>
                <w:rFonts w:hint="default" w:ascii="Times New Roman" w:hAnsi="Times New Roman" w:eastAsia="宋体" w:cs="Times New Roman"/>
                <w:sz w:val="24"/>
                <w:szCs w:val="24"/>
                <w:highlight w:val="none"/>
                <w:u w:val="none"/>
              </w:rPr>
              <w:t>m</w:t>
            </w:r>
            <w:r>
              <w:rPr>
                <w:rFonts w:hint="default" w:ascii="Times New Roman" w:hAnsi="Times New Roman" w:eastAsia="宋体" w:cs="Times New Roman"/>
                <w:sz w:val="24"/>
                <w:szCs w:val="24"/>
                <w:highlight w:val="none"/>
                <w:u w:val="none"/>
                <w:vertAlign w:val="superscript"/>
              </w:rPr>
              <w:t>3</w:t>
            </w:r>
            <w:r>
              <w:rPr>
                <w:rFonts w:hint="default" w:ascii="Times New Roman" w:hAnsi="Times New Roman" w:eastAsia="宋体" w:cs="Times New Roman"/>
                <w:sz w:val="24"/>
                <w:szCs w:val="24"/>
                <w:highlight w:val="none"/>
                <w:u w:val="none"/>
              </w:rPr>
              <w:t>/a</w:t>
            </w:r>
            <w:r>
              <w:rPr>
                <w:rFonts w:hint="eastAsia"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项目生活废水产生系数按照0.</w:t>
            </w:r>
            <w:r>
              <w:rPr>
                <w:rFonts w:hint="eastAsia" w:ascii="Times New Roman" w:hAnsi="Times New Roman" w:eastAsia="宋体" w:cs="Times New Roman"/>
                <w:sz w:val="24"/>
                <w:szCs w:val="24"/>
                <w:highlight w:val="none"/>
                <w:u w:val="none"/>
                <w:lang w:val="en-US" w:eastAsia="zh-CN"/>
              </w:rPr>
              <w:t>9</w:t>
            </w:r>
            <w:r>
              <w:rPr>
                <w:rFonts w:hint="default" w:ascii="Times New Roman" w:hAnsi="Times New Roman" w:eastAsia="宋体" w:cs="Times New Roman"/>
                <w:sz w:val="24"/>
                <w:szCs w:val="24"/>
                <w:highlight w:val="none"/>
                <w:u w:val="none"/>
              </w:rPr>
              <w:t>核算，则</w:t>
            </w:r>
            <w:r>
              <w:rPr>
                <w:rFonts w:hint="default" w:ascii="Times New Roman" w:hAnsi="Times New Roman" w:eastAsia="宋体" w:cs="Times New Roman"/>
                <w:sz w:val="24"/>
                <w:szCs w:val="24"/>
                <w:highlight w:val="none"/>
                <w:u w:val="none"/>
                <w:lang w:val="en-US" w:eastAsia="zh-CN"/>
              </w:rPr>
              <w:t>食堂</w:t>
            </w:r>
            <w:r>
              <w:rPr>
                <w:rFonts w:hint="default" w:ascii="Times New Roman" w:hAnsi="Times New Roman" w:eastAsia="宋体" w:cs="Times New Roman"/>
                <w:sz w:val="24"/>
                <w:szCs w:val="24"/>
                <w:highlight w:val="none"/>
                <w:u w:val="none"/>
              </w:rPr>
              <w:t>废水产生量为</w:t>
            </w:r>
            <w:r>
              <w:rPr>
                <w:rFonts w:hint="eastAsia" w:ascii="Times New Roman" w:hAnsi="Times New Roman" w:eastAsia="宋体" w:cs="Times New Roman"/>
                <w:sz w:val="24"/>
                <w:szCs w:val="24"/>
                <w:highlight w:val="none"/>
                <w:u w:val="none"/>
                <w:lang w:val="en-US" w:eastAsia="zh-CN"/>
              </w:rPr>
              <w:t>267.3</w:t>
            </w:r>
            <w:r>
              <w:rPr>
                <w:rFonts w:hint="default" w:ascii="Times New Roman" w:hAnsi="Times New Roman" w:eastAsia="宋体" w:cs="Times New Roman"/>
                <w:sz w:val="24"/>
                <w:szCs w:val="24"/>
                <w:highlight w:val="none"/>
                <w:u w:val="none"/>
              </w:rPr>
              <w:t>m</w:t>
            </w:r>
            <w:r>
              <w:rPr>
                <w:rFonts w:hint="default" w:ascii="Times New Roman" w:hAnsi="Times New Roman" w:eastAsia="宋体" w:cs="Times New Roman"/>
                <w:sz w:val="24"/>
                <w:szCs w:val="24"/>
                <w:highlight w:val="none"/>
                <w:u w:val="none"/>
                <w:vertAlign w:val="superscript"/>
              </w:rPr>
              <w:t>3</w:t>
            </w:r>
            <w:r>
              <w:rPr>
                <w:rFonts w:hint="default" w:ascii="Times New Roman" w:hAnsi="Times New Roman" w:eastAsia="宋体" w:cs="Times New Roman"/>
                <w:sz w:val="24"/>
                <w:szCs w:val="24"/>
                <w:highlight w:val="none"/>
                <w:u w:val="none"/>
              </w:rPr>
              <w:t>/a</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lang w:val="en-US" w:eastAsia="zh-CN"/>
              </w:rPr>
              <w:t>生活污水总量为</w:t>
            </w:r>
            <w:r>
              <w:rPr>
                <w:rFonts w:hint="eastAsia" w:ascii="Times New Roman" w:hAnsi="Times New Roman" w:eastAsia="宋体" w:cs="Times New Roman"/>
                <w:sz w:val="24"/>
                <w:szCs w:val="24"/>
                <w:highlight w:val="none"/>
                <w:u w:val="none"/>
                <w:lang w:val="en-US" w:eastAsia="zh-CN"/>
              </w:rPr>
              <w:t>1514.7</w:t>
            </w:r>
            <w:r>
              <w:rPr>
                <w:rFonts w:hint="default" w:ascii="Times New Roman" w:hAnsi="Times New Roman" w:eastAsia="宋体" w:cs="Times New Roman"/>
                <w:sz w:val="24"/>
                <w:szCs w:val="24"/>
                <w:highlight w:val="none"/>
                <w:u w:val="none"/>
              </w:rPr>
              <w:t>m</w:t>
            </w:r>
            <w:r>
              <w:rPr>
                <w:rFonts w:hint="default" w:ascii="Times New Roman" w:hAnsi="Times New Roman" w:eastAsia="宋体" w:cs="Times New Roman"/>
                <w:sz w:val="24"/>
                <w:szCs w:val="24"/>
                <w:highlight w:val="none"/>
                <w:u w:val="none"/>
                <w:vertAlign w:val="superscript"/>
              </w:rPr>
              <w:t>3</w:t>
            </w:r>
            <w:r>
              <w:rPr>
                <w:rFonts w:hint="default" w:ascii="Times New Roman" w:hAnsi="Times New Roman" w:eastAsia="宋体" w:cs="Times New Roman"/>
                <w:sz w:val="24"/>
                <w:szCs w:val="24"/>
                <w:highlight w:val="none"/>
                <w:u w:val="none"/>
              </w:rPr>
              <w:t>/a</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lang w:val="en-US" w:eastAsia="zh-CN"/>
              </w:rPr>
              <w:t>食堂废水经隔油池</w:t>
            </w:r>
            <w:r>
              <w:rPr>
                <w:rFonts w:hint="eastAsia" w:ascii="Times New Roman" w:hAnsi="Times New Roman" w:eastAsia="宋体" w:cs="Times New Roman"/>
                <w:color w:val="0000FF"/>
                <w:sz w:val="24"/>
                <w:szCs w:val="24"/>
                <w:lang w:val="en-US" w:eastAsia="zh-CN"/>
              </w:rPr>
              <w:t>（设计处理规模为2</w:t>
            </w:r>
            <w:r>
              <w:rPr>
                <w:rFonts w:hint="default" w:ascii="Times New Roman" w:hAnsi="Times New Roman" w:eastAsia="宋体" w:cs="Times New Roman"/>
                <w:color w:val="0000FF"/>
                <w:sz w:val="24"/>
                <w:szCs w:val="24"/>
                <w:highlight w:val="none"/>
                <w:u w:val="none"/>
              </w:rPr>
              <w:t>m</w:t>
            </w:r>
            <w:r>
              <w:rPr>
                <w:rFonts w:hint="default" w:ascii="Times New Roman" w:hAnsi="Times New Roman" w:eastAsia="宋体" w:cs="Times New Roman"/>
                <w:color w:val="0000FF"/>
                <w:sz w:val="24"/>
                <w:szCs w:val="24"/>
                <w:highlight w:val="none"/>
                <w:u w:val="none"/>
                <w:vertAlign w:val="superscript"/>
              </w:rPr>
              <w:t>3</w:t>
            </w:r>
            <w:r>
              <w:rPr>
                <w:rFonts w:hint="eastAsia" w:ascii="Times New Roman" w:hAnsi="Times New Roman" w:eastAsia="宋体" w:cs="Times New Roman"/>
                <w:color w:val="0000FF"/>
                <w:sz w:val="24"/>
                <w:szCs w:val="24"/>
                <w:lang w:val="en-US" w:eastAsia="zh-CN"/>
              </w:rPr>
              <w:t>/d）</w:t>
            </w:r>
            <w:r>
              <w:rPr>
                <w:rFonts w:hint="default" w:ascii="Times New Roman" w:hAnsi="Times New Roman" w:eastAsia="宋体" w:cs="Times New Roman"/>
                <w:color w:val="0000FF"/>
                <w:sz w:val="24"/>
                <w:szCs w:val="24"/>
                <w:lang w:val="en-US" w:eastAsia="zh-CN"/>
              </w:rPr>
              <w:t>处理后和其它生活污水</w:t>
            </w:r>
            <w:r>
              <w:rPr>
                <w:rFonts w:hint="eastAsia" w:ascii="Times New Roman" w:hAnsi="Times New Roman" w:eastAsia="宋体" w:cs="Times New Roman"/>
                <w:color w:val="0000FF"/>
                <w:sz w:val="24"/>
                <w:szCs w:val="24"/>
                <w:lang w:val="en-US" w:eastAsia="zh-CN"/>
              </w:rPr>
              <w:t>一同进入</w:t>
            </w:r>
            <w:r>
              <w:rPr>
                <w:rFonts w:hint="default" w:ascii="Times New Roman" w:hAnsi="Times New Roman" w:eastAsia="宋体" w:cs="Times New Roman"/>
                <w:color w:val="0000FF"/>
                <w:sz w:val="24"/>
                <w:szCs w:val="24"/>
                <w:lang w:val="en-US" w:eastAsia="zh-CN"/>
              </w:rPr>
              <w:t>厂区</w:t>
            </w:r>
            <w:r>
              <w:rPr>
                <w:rFonts w:hint="eastAsia" w:ascii="Times New Roman" w:hAnsi="Times New Roman" w:eastAsia="宋体" w:cs="Times New Roman"/>
                <w:bCs/>
                <w:color w:val="0000FF"/>
                <w:sz w:val="24"/>
                <w:szCs w:val="24"/>
                <w:lang w:val="en-US" w:eastAsia="zh-CN"/>
              </w:rPr>
              <w:t>生化池（</w:t>
            </w:r>
            <w:r>
              <w:rPr>
                <w:rFonts w:hint="eastAsia" w:ascii="Times New Roman" w:hAnsi="Times New Roman" w:eastAsia="宋体" w:cs="Times New Roman"/>
                <w:color w:val="0000FF"/>
                <w:sz w:val="24"/>
                <w:szCs w:val="24"/>
                <w:lang w:val="en-US" w:eastAsia="zh-CN"/>
              </w:rPr>
              <w:t>设计处理规模为10</w:t>
            </w:r>
            <w:r>
              <w:rPr>
                <w:rFonts w:hint="default" w:ascii="Times New Roman" w:hAnsi="Times New Roman" w:eastAsia="宋体" w:cs="Times New Roman"/>
                <w:color w:val="0000FF"/>
                <w:sz w:val="24"/>
                <w:szCs w:val="24"/>
                <w:highlight w:val="none"/>
                <w:u w:val="none"/>
              </w:rPr>
              <w:t>m</w:t>
            </w:r>
            <w:r>
              <w:rPr>
                <w:rFonts w:hint="default" w:ascii="Times New Roman" w:hAnsi="Times New Roman" w:eastAsia="宋体" w:cs="Times New Roman"/>
                <w:color w:val="0000FF"/>
                <w:sz w:val="24"/>
                <w:szCs w:val="24"/>
                <w:highlight w:val="none"/>
                <w:u w:val="none"/>
                <w:vertAlign w:val="superscript"/>
              </w:rPr>
              <w:t>3</w:t>
            </w:r>
            <w:r>
              <w:rPr>
                <w:rFonts w:hint="eastAsia" w:ascii="Times New Roman" w:hAnsi="Times New Roman" w:eastAsia="宋体" w:cs="Times New Roman"/>
                <w:color w:val="0000FF"/>
                <w:sz w:val="24"/>
                <w:szCs w:val="24"/>
                <w:lang w:val="en-US" w:eastAsia="zh-CN"/>
              </w:rPr>
              <w:t>/d</w:t>
            </w:r>
            <w:r>
              <w:rPr>
                <w:rFonts w:hint="eastAsia" w:ascii="Times New Roman" w:hAnsi="Times New Roman" w:eastAsia="宋体" w:cs="Times New Roman"/>
                <w:bCs/>
                <w:color w:val="0000FF"/>
                <w:sz w:val="24"/>
                <w:szCs w:val="24"/>
                <w:lang w:val="en-US" w:eastAsia="zh-CN"/>
              </w:rPr>
              <w:t>）处理后接入</w:t>
            </w:r>
            <w:r>
              <w:rPr>
                <w:rFonts w:hint="eastAsia" w:ascii="Times New Roman" w:hAnsi="Times New Roman" w:eastAsia="宋体" w:cs="Times New Roman"/>
                <w:color w:val="0000FF"/>
                <w:sz w:val="24"/>
                <w:szCs w:val="24"/>
                <w:lang w:val="en-US" w:eastAsia="zh-CN"/>
              </w:rPr>
              <w:t>辰溪县污水处理厂</w:t>
            </w:r>
            <w:r>
              <w:rPr>
                <w:rFonts w:hint="eastAsia" w:ascii="Times New Roman" w:hAnsi="Times New Roman" w:cs="Times New Roman"/>
                <w:bCs/>
                <w:color w:val="0000FF"/>
                <w:sz w:val="24"/>
                <w:szCs w:val="24"/>
                <w:lang w:val="en-US" w:eastAsia="zh-CN"/>
              </w:rPr>
              <w:t>。</w:t>
            </w:r>
          </w:p>
          <w:p>
            <w:pPr>
              <w:wordWrap/>
              <w:spacing w:line="360" w:lineRule="auto"/>
              <w:ind w:firstLine="480" w:firstLineChars="2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生产废水</w:t>
            </w:r>
          </w:p>
          <w:p>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lang w:val="en-US" w:eastAsia="zh-CN"/>
              </w:rPr>
              <w:t>①搅拌</w:t>
            </w:r>
            <w:r>
              <w:rPr>
                <w:rFonts w:hint="eastAsia" w:ascii="Times New Roman" w:hAnsi="Times New Roman" w:eastAsia="宋体" w:cs="Times New Roman"/>
                <w:sz w:val="24"/>
                <w:szCs w:val="24"/>
                <w:highlight w:val="none"/>
                <w:u w:val="none"/>
                <w:lang w:val="en-US" w:eastAsia="zh-CN"/>
              </w:rPr>
              <w:t>机</w:t>
            </w:r>
            <w:r>
              <w:rPr>
                <w:rFonts w:hint="default" w:ascii="Times New Roman" w:hAnsi="Times New Roman" w:eastAsia="宋体" w:cs="Times New Roman"/>
                <w:sz w:val="24"/>
                <w:szCs w:val="24"/>
                <w:highlight w:val="none"/>
                <w:u w:val="none"/>
                <w:lang w:val="en-US" w:eastAsia="zh-CN"/>
              </w:rPr>
              <w:t xml:space="preserve">清洗废水 </w:t>
            </w:r>
          </w:p>
          <w:p>
            <w:pPr>
              <w:spacing w:line="360" w:lineRule="auto"/>
              <w:ind w:firstLine="480" w:firstLineChars="200"/>
              <w:rPr>
                <w:rFonts w:hint="default" w:ascii="Times New Roman" w:hAnsi="Times New Roman" w:eastAsia="宋体" w:cs="Times New Roman"/>
                <w:sz w:val="24"/>
                <w:szCs w:val="24"/>
                <w:highlight w:val="none"/>
                <w:u w:val="none"/>
                <w:lang w:val="en-US" w:eastAsia="zh-CN"/>
              </w:rPr>
            </w:pPr>
            <w:r>
              <w:rPr>
                <w:rFonts w:hint="default" w:ascii="Times New Roman" w:hAnsi="Times New Roman" w:eastAsia="宋体" w:cs="Times New Roman"/>
                <w:sz w:val="24"/>
                <w:szCs w:val="24"/>
                <w:highlight w:val="none"/>
                <w:u w:val="none"/>
                <w:lang w:val="en-US" w:eastAsia="zh-CN"/>
              </w:rPr>
              <w:t>搅拌</w:t>
            </w:r>
            <w:r>
              <w:rPr>
                <w:rFonts w:hint="eastAsia" w:ascii="Times New Roman" w:hAnsi="Times New Roman" w:eastAsia="宋体" w:cs="Times New Roman"/>
                <w:sz w:val="24"/>
                <w:szCs w:val="24"/>
                <w:highlight w:val="none"/>
                <w:u w:val="none"/>
                <w:lang w:val="en-US" w:eastAsia="zh-CN"/>
              </w:rPr>
              <w:t>机</w:t>
            </w:r>
            <w:r>
              <w:rPr>
                <w:rFonts w:hint="default" w:ascii="Times New Roman" w:hAnsi="Times New Roman" w:eastAsia="宋体" w:cs="Times New Roman"/>
                <w:sz w:val="24"/>
                <w:szCs w:val="24"/>
                <w:highlight w:val="none"/>
                <w:u w:val="none"/>
                <w:lang w:val="en-US" w:eastAsia="zh-CN"/>
              </w:rPr>
              <w:t>为本项目的主要生产设备，其在暂时停止生产时必须冲洗干净。按每</w:t>
            </w:r>
            <w:r>
              <w:rPr>
                <w:rFonts w:hint="eastAsia" w:ascii="Times New Roman" w:hAnsi="Times New Roman" w:eastAsia="宋体" w:cs="Times New Roman"/>
                <w:sz w:val="24"/>
                <w:szCs w:val="24"/>
                <w:highlight w:val="none"/>
                <w:u w:val="none"/>
                <w:lang w:val="en-US" w:eastAsia="zh-CN"/>
              </w:rPr>
              <w:t>个</w:t>
            </w:r>
            <w:r>
              <w:rPr>
                <w:rFonts w:hint="default" w:ascii="Times New Roman" w:hAnsi="Times New Roman" w:eastAsia="宋体" w:cs="Times New Roman"/>
                <w:sz w:val="24"/>
                <w:szCs w:val="24"/>
                <w:highlight w:val="none"/>
                <w:u w:val="none"/>
                <w:lang w:val="en-US" w:eastAsia="zh-CN"/>
              </w:rPr>
              <w:t>搅拌</w:t>
            </w:r>
            <w:r>
              <w:rPr>
                <w:rFonts w:hint="eastAsia" w:ascii="Times New Roman" w:hAnsi="Times New Roman" w:eastAsia="宋体" w:cs="Times New Roman"/>
                <w:sz w:val="24"/>
                <w:szCs w:val="24"/>
                <w:highlight w:val="none"/>
                <w:u w:val="none"/>
                <w:lang w:val="en-US" w:eastAsia="zh-CN"/>
              </w:rPr>
              <w:t>机</w:t>
            </w:r>
            <w:r>
              <w:rPr>
                <w:rFonts w:hint="default" w:ascii="Times New Roman" w:hAnsi="Times New Roman" w:eastAsia="宋体" w:cs="Times New Roman"/>
                <w:sz w:val="24"/>
                <w:szCs w:val="24"/>
                <w:highlight w:val="none"/>
                <w:u w:val="none"/>
                <w:lang w:val="en-US" w:eastAsia="zh-CN"/>
              </w:rPr>
              <w:t>平均每天冲洗1次，冲洗水按2m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/次计算，本项目</w:t>
            </w:r>
            <w:r>
              <w:rPr>
                <w:rFonts w:hint="eastAsia" w:ascii="Times New Roman" w:hAnsi="Times New Roman" w:eastAsia="宋体" w:cs="Times New Roman"/>
                <w:sz w:val="24"/>
                <w:szCs w:val="24"/>
                <w:highlight w:val="none"/>
                <w:u w:val="none"/>
                <w:lang w:val="en-US" w:eastAsia="zh-CN"/>
              </w:rPr>
              <w:t>2个</w:t>
            </w:r>
            <w:r>
              <w:rPr>
                <w:rFonts w:hint="default" w:ascii="Times New Roman" w:hAnsi="Times New Roman" w:eastAsia="宋体" w:cs="Times New Roman"/>
                <w:sz w:val="24"/>
                <w:szCs w:val="24"/>
                <w:highlight w:val="none"/>
                <w:u w:val="none"/>
                <w:lang w:val="en-US" w:eastAsia="zh-CN"/>
              </w:rPr>
              <w:t>搅拌</w:t>
            </w:r>
            <w:r>
              <w:rPr>
                <w:rFonts w:hint="eastAsia" w:ascii="Times New Roman" w:hAnsi="Times New Roman" w:eastAsia="宋体" w:cs="Times New Roman"/>
                <w:sz w:val="24"/>
                <w:szCs w:val="24"/>
                <w:highlight w:val="none"/>
                <w:u w:val="none"/>
                <w:lang w:val="en-US" w:eastAsia="zh-CN"/>
              </w:rPr>
              <w:t>机</w:t>
            </w:r>
            <w:r>
              <w:rPr>
                <w:rFonts w:hint="default" w:ascii="Times New Roman" w:hAnsi="Times New Roman" w:eastAsia="宋体" w:cs="Times New Roman"/>
                <w:sz w:val="24"/>
                <w:szCs w:val="24"/>
                <w:highlight w:val="none"/>
                <w:u w:val="none"/>
                <w:lang w:val="en-US" w:eastAsia="zh-CN"/>
              </w:rPr>
              <w:t>，则搅拌</w:t>
            </w:r>
            <w:r>
              <w:rPr>
                <w:rFonts w:hint="eastAsia" w:ascii="Times New Roman" w:hAnsi="Times New Roman" w:eastAsia="宋体" w:cs="Times New Roman"/>
                <w:sz w:val="24"/>
                <w:szCs w:val="24"/>
                <w:highlight w:val="none"/>
                <w:u w:val="none"/>
                <w:lang w:val="en-US" w:eastAsia="zh-CN"/>
              </w:rPr>
              <w:t>机清</w:t>
            </w:r>
            <w:r>
              <w:rPr>
                <w:rFonts w:hint="default" w:ascii="Times New Roman" w:hAnsi="Times New Roman" w:eastAsia="宋体" w:cs="Times New Roman"/>
                <w:sz w:val="24"/>
                <w:szCs w:val="24"/>
                <w:highlight w:val="none"/>
                <w:u w:val="none"/>
                <w:lang w:val="en-US" w:eastAsia="zh-CN"/>
              </w:rPr>
              <w:t>洗水用量为4m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/d、1320m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/a，排放系数按0.8计算，其废水产生量为3.2m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/d，1056m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/a，其主要水质污染因子为SS，根据对同类型企业的类比调查，SS的浓度在3750mg/L左右，则废水中SS产生量为3.96t/a。</w:t>
            </w:r>
            <w:r>
              <w:rPr>
                <w:rFonts w:hint="default" w:ascii="Times New Roman" w:hAnsi="Times New Roman" w:eastAsia="宋体" w:cs="Times New Roman"/>
                <w:kern w:val="0"/>
                <w:sz w:val="24"/>
                <w:szCs w:val="24"/>
                <w:highlight w:val="none"/>
                <w:u w:val="none"/>
              </w:rPr>
              <w:t>项目搅拌</w:t>
            </w:r>
            <w:r>
              <w:rPr>
                <w:rFonts w:hint="eastAsia" w:ascii="Times New Roman" w:hAnsi="Times New Roman" w:eastAsia="宋体" w:cs="Times New Roman"/>
                <w:kern w:val="0"/>
                <w:sz w:val="24"/>
                <w:szCs w:val="24"/>
                <w:highlight w:val="none"/>
                <w:u w:val="none"/>
                <w:lang w:val="en-US" w:eastAsia="zh-CN"/>
              </w:rPr>
              <w:t>机</w:t>
            </w:r>
            <w:r>
              <w:rPr>
                <w:rFonts w:hint="default" w:ascii="Times New Roman" w:hAnsi="Times New Roman" w:eastAsia="宋体" w:cs="Times New Roman"/>
                <w:kern w:val="0"/>
                <w:sz w:val="24"/>
                <w:szCs w:val="24"/>
                <w:highlight w:val="none"/>
                <w:u w:val="none"/>
              </w:rPr>
              <w:t>清洗用水进入厂区设置的三级沉淀池沉淀处理后回用于生产工序，不外排。</w:t>
            </w:r>
          </w:p>
          <w:p>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lang w:val="en-US" w:eastAsia="zh-CN"/>
              </w:rPr>
              <w:t>②</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highlight w:val="none"/>
                <w:u w:val="none"/>
                <w:lang w:val="en-US" w:eastAsia="zh-CN"/>
              </w:rPr>
              <w:t xml:space="preserve">清洗废水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highlight w:val="none"/>
                <w:u w:val="none"/>
                <w:lang w:val="en-US" w:eastAsia="zh-CN"/>
              </w:rPr>
              <w:t>本项目商品混凝土生产规模为60万m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/a（</w:t>
            </w:r>
            <w:r>
              <w:rPr>
                <w:rFonts w:hint="eastAsia" w:ascii="Times New Roman" w:hAnsi="Times New Roman" w:eastAsia="宋体" w:cs="Times New Roman"/>
                <w:sz w:val="24"/>
                <w:szCs w:val="24"/>
                <w:highlight w:val="none"/>
                <w:u w:val="none"/>
                <w:lang w:val="en-US" w:eastAsia="zh-CN"/>
              </w:rPr>
              <w:t>约</w:t>
            </w:r>
            <w:r>
              <w:rPr>
                <w:rFonts w:hint="default" w:ascii="Times New Roman" w:hAnsi="Times New Roman" w:eastAsia="宋体" w:cs="Times New Roman"/>
                <w:sz w:val="24"/>
                <w:szCs w:val="24"/>
                <w:highlight w:val="none"/>
                <w:u w:val="none"/>
                <w:lang w:val="en-US" w:eastAsia="zh-CN"/>
              </w:rPr>
              <w:t>144万t/a），</w:t>
            </w:r>
            <w:r>
              <w:rPr>
                <w:rFonts w:hint="eastAsia" w:ascii="Times New Roman" w:hAnsi="Times New Roman" w:eastAsia="宋体" w:cs="Times New Roman"/>
                <w:sz w:val="24"/>
                <w:szCs w:val="24"/>
                <w:highlight w:val="none"/>
                <w:u w:val="none"/>
                <w:lang w:val="en-US" w:eastAsia="zh-CN"/>
              </w:rPr>
              <w:t>罐车</w:t>
            </w:r>
            <w:r>
              <w:rPr>
                <w:rFonts w:hint="default" w:ascii="Times New Roman" w:hAnsi="Times New Roman" w:eastAsia="宋体" w:cs="Times New Roman"/>
                <w:sz w:val="24"/>
                <w:szCs w:val="24"/>
                <w:highlight w:val="none"/>
                <w:u w:val="none"/>
                <w:lang w:val="en-US" w:eastAsia="zh-CN"/>
              </w:rPr>
              <w:t>容积为12m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，混凝土运输50000车次/年。根据对同类型企业的类比调查，混凝土车辆</w:t>
            </w:r>
            <w:r>
              <w:rPr>
                <w:rFonts w:hint="eastAsia" w:ascii="Times New Roman" w:hAnsi="Times New Roman" w:eastAsia="宋体" w:cs="Times New Roman"/>
                <w:sz w:val="24"/>
                <w:szCs w:val="24"/>
                <w:highlight w:val="none"/>
                <w:u w:val="none"/>
                <w:lang w:val="en-US" w:eastAsia="zh-CN"/>
              </w:rPr>
              <w:t>内壁</w:t>
            </w:r>
            <w:r>
              <w:rPr>
                <w:rFonts w:hint="default" w:ascii="Times New Roman" w:hAnsi="Times New Roman" w:eastAsia="宋体" w:cs="Times New Roman"/>
                <w:sz w:val="24"/>
                <w:szCs w:val="24"/>
                <w:highlight w:val="none"/>
                <w:u w:val="none"/>
                <w:lang w:val="en-US" w:eastAsia="zh-CN"/>
              </w:rPr>
              <w:t>冲洗用水量约0.3m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/辆·次，</w:t>
            </w:r>
            <w:r>
              <w:rPr>
                <w:rFonts w:hint="eastAsia" w:ascii="Times New Roman" w:hAnsi="Times New Roman" w:eastAsia="宋体" w:cs="Times New Roman"/>
                <w:sz w:val="24"/>
                <w:szCs w:val="24"/>
                <w:highlight w:val="none"/>
                <w:u w:val="none"/>
                <w:lang w:val="en-US" w:eastAsia="zh-CN"/>
              </w:rPr>
              <w:t>年用水15000m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/a</w:t>
            </w:r>
            <w:r>
              <w:rPr>
                <w:rFonts w:hint="eastAsia" w:ascii="Times New Roman" w:hAnsi="Times New Roman" w:eastAsia="宋体" w:cs="Times New Roman"/>
                <w:sz w:val="24"/>
                <w:szCs w:val="24"/>
                <w:highlight w:val="none"/>
                <w:u w:val="none"/>
                <w:lang w:val="en-US" w:eastAsia="zh-CN"/>
              </w:rPr>
              <w:t>。</w:t>
            </w:r>
            <w:r>
              <w:rPr>
                <w:rFonts w:hint="default" w:ascii="Times New Roman" w:hAnsi="Times New Roman" w:eastAsia="宋体" w:cs="Times New Roman"/>
                <w:sz w:val="24"/>
                <w:szCs w:val="24"/>
                <w:highlight w:val="none"/>
                <w:u w:val="none"/>
                <w:lang w:val="en-US" w:eastAsia="zh-CN"/>
              </w:rPr>
              <w:t>排放系数按0.8计算，其废水产生量为12</w:t>
            </w:r>
            <w:r>
              <w:rPr>
                <w:rFonts w:hint="eastAsia" w:ascii="Times New Roman" w:hAnsi="Times New Roman" w:eastAsia="宋体" w:cs="Times New Roman"/>
                <w:sz w:val="24"/>
                <w:szCs w:val="24"/>
                <w:highlight w:val="none"/>
                <w:u w:val="none"/>
                <w:lang w:val="en-US" w:eastAsia="zh-CN"/>
              </w:rPr>
              <w:t>000</w:t>
            </w:r>
            <w:r>
              <w:rPr>
                <w:rFonts w:hint="default" w:ascii="Times New Roman" w:hAnsi="Times New Roman" w:eastAsia="宋体" w:cs="Times New Roman"/>
                <w:sz w:val="24"/>
                <w:szCs w:val="24"/>
                <w:highlight w:val="none"/>
                <w:u w:val="none"/>
                <w:lang w:val="en-US" w:eastAsia="zh-CN"/>
              </w:rPr>
              <w:t>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/a，该废水的主要水质污染因子为SS，根据对同类</w:t>
            </w:r>
            <w:r>
              <w:rPr>
                <w:rFonts w:hint="default" w:ascii="Times New Roman" w:hAnsi="Times New Roman" w:eastAsia="宋体" w:cs="Times New Roman"/>
                <w:color w:val="auto"/>
                <w:sz w:val="24"/>
                <w:szCs w:val="24"/>
                <w:highlight w:val="none"/>
                <w:u w:val="none"/>
                <w:lang w:val="en-US" w:eastAsia="zh-CN"/>
              </w:rPr>
              <w:t>型企业的调查，其SS产生浓度为1800mg/L，则废水中SS产生量为2</w:t>
            </w:r>
            <w:r>
              <w:rPr>
                <w:rFonts w:hint="eastAsia" w:ascii="Times New Roman" w:hAnsi="Times New Roman" w:eastAsia="宋体" w:cs="Times New Roman"/>
                <w:color w:val="auto"/>
                <w:sz w:val="24"/>
                <w:szCs w:val="24"/>
                <w:highlight w:val="none"/>
                <w:u w:val="none"/>
                <w:lang w:val="en-US" w:eastAsia="zh-CN"/>
              </w:rPr>
              <w:t>1.6</w:t>
            </w:r>
            <w:r>
              <w:rPr>
                <w:rFonts w:hint="default" w:ascii="Times New Roman" w:hAnsi="Times New Roman" w:eastAsia="宋体" w:cs="Times New Roman"/>
                <w:color w:val="auto"/>
                <w:sz w:val="24"/>
                <w:szCs w:val="24"/>
                <w:highlight w:val="none"/>
                <w:u w:val="none"/>
                <w:lang w:val="en-US" w:eastAsia="zh-CN"/>
              </w:rPr>
              <w:t>t/a。项目</w:t>
            </w:r>
            <w:r>
              <w:rPr>
                <w:rFonts w:hint="eastAsia" w:ascii="Times New Roman" w:hAnsi="Times New Roman" w:eastAsia="宋体" w:cs="Times New Roman"/>
                <w:color w:val="auto"/>
                <w:sz w:val="24"/>
                <w:szCs w:val="24"/>
                <w:highlight w:val="none"/>
                <w:u w:val="none"/>
                <w:lang w:val="en-US" w:eastAsia="zh-CN"/>
              </w:rPr>
              <w:t>罐车内壁清洗废水</w:t>
            </w:r>
            <w:r>
              <w:rPr>
                <w:rFonts w:hint="default" w:ascii="Times New Roman" w:hAnsi="Times New Roman" w:eastAsia="宋体" w:cs="Times New Roman"/>
                <w:snapToGrid w:val="0"/>
                <w:color w:val="auto"/>
                <w:kern w:val="0"/>
                <w:sz w:val="24"/>
                <w:szCs w:val="24"/>
                <w:lang w:val="en-US" w:eastAsia="zh-CN" w:bidi="ar"/>
              </w:rPr>
              <w:t>经过砂石分离器分离后进入</w:t>
            </w:r>
            <w:r>
              <w:rPr>
                <w:rFonts w:hint="eastAsia" w:ascii="Times New Roman" w:hAnsi="Times New Roman" w:eastAsia="宋体" w:cs="Times New Roman"/>
                <w:snapToGrid w:val="0"/>
                <w:color w:val="auto"/>
                <w:kern w:val="0"/>
                <w:sz w:val="24"/>
                <w:szCs w:val="24"/>
                <w:lang w:val="en-US" w:eastAsia="zh-CN" w:bidi="ar"/>
              </w:rPr>
              <w:t>搅拌池、沉淀池，处理后进入清水池，回用于生产，不外排</w:t>
            </w:r>
            <w:r>
              <w:rPr>
                <w:rFonts w:hint="default" w:ascii="Times New Roman" w:hAnsi="Times New Roman" w:eastAsia="宋体" w:cs="Times New Roman"/>
                <w:snapToGrid w:val="0"/>
                <w:color w:val="auto"/>
                <w:kern w:val="0"/>
                <w:sz w:val="24"/>
                <w:szCs w:val="24"/>
                <w:lang w:val="en-US" w:eastAsia="zh-CN" w:bidi="ar"/>
              </w:rPr>
              <w:t>。</w:t>
            </w:r>
          </w:p>
          <w:p>
            <w:pPr>
              <w:wordWrap/>
              <w:spacing w:line="360" w:lineRule="auto"/>
              <w:ind w:firstLine="480" w:firstLineChars="200"/>
              <w:jc w:val="both"/>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③</w:t>
            </w:r>
            <w:r>
              <w:rPr>
                <w:rFonts w:hint="eastAsia" w:ascii="Times New Roman" w:hAnsi="Times New Roman" w:eastAsia="宋体" w:cs="Times New Roman"/>
                <w:color w:val="auto"/>
                <w:sz w:val="24"/>
                <w:szCs w:val="24"/>
                <w:highlight w:val="none"/>
                <w:u w:val="none"/>
                <w:lang w:val="en-US" w:eastAsia="zh-CN"/>
              </w:rPr>
              <w:t>进出车辆冲洗废水</w:t>
            </w:r>
          </w:p>
          <w:p>
            <w:pPr>
              <w:wordWrap/>
              <w:spacing w:line="360" w:lineRule="auto"/>
              <w:ind w:firstLine="480" w:firstLineChars="200"/>
              <w:jc w:val="both"/>
              <w:rPr>
                <w:rFonts w:hint="eastAsia"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混凝土运输50000车次/年</w:t>
            </w:r>
            <w:r>
              <w:rPr>
                <w:rFonts w:hint="eastAsia" w:ascii="Times New Roman" w:hAnsi="Times New Roman" w:eastAsia="宋体" w:cs="Times New Roman"/>
                <w:color w:val="auto"/>
                <w:sz w:val="24"/>
                <w:szCs w:val="24"/>
                <w:highlight w:val="none"/>
                <w:u w:val="none"/>
                <w:lang w:val="en-US" w:eastAsia="zh-CN"/>
              </w:rPr>
              <w:t>；项目生产所需的砂石总量为1106496</w:t>
            </w:r>
            <w:r>
              <w:rPr>
                <w:rFonts w:hint="default" w:ascii="Times New Roman" w:hAnsi="Times New Roman" w:eastAsia="宋体" w:cs="Times New Roman"/>
                <w:color w:val="auto"/>
                <w:sz w:val="24"/>
                <w:szCs w:val="24"/>
                <w:highlight w:val="none"/>
                <w:u w:val="none"/>
                <w:lang w:val="en-US" w:eastAsia="zh-CN"/>
              </w:rPr>
              <w:t>t/a</w:t>
            </w:r>
            <w:r>
              <w:rPr>
                <w:rFonts w:hint="eastAsia"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砂石运输车</w:t>
            </w:r>
            <w:r>
              <w:rPr>
                <w:rFonts w:hint="eastAsia" w:ascii="Times New Roman" w:hAnsi="Times New Roman" w:eastAsia="宋体" w:cs="Times New Roman"/>
                <w:color w:val="auto"/>
                <w:sz w:val="24"/>
                <w:szCs w:val="24"/>
                <w:highlight w:val="none"/>
                <w:u w:val="none"/>
                <w:lang w:val="en-US" w:eastAsia="zh-CN"/>
              </w:rPr>
              <w:t>载重8t，砂石运输138312</w:t>
            </w:r>
            <w:r>
              <w:rPr>
                <w:rFonts w:hint="default" w:ascii="Times New Roman" w:hAnsi="Times New Roman" w:eastAsia="宋体" w:cs="Times New Roman"/>
                <w:color w:val="auto"/>
                <w:sz w:val="24"/>
                <w:szCs w:val="24"/>
                <w:highlight w:val="none"/>
                <w:u w:val="none"/>
                <w:lang w:val="en-US" w:eastAsia="zh-CN"/>
              </w:rPr>
              <w:t>车次</w:t>
            </w:r>
            <w:r>
              <w:rPr>
                <w:rFonts w:hint="eastAsia" w:ascii="Times New Roman" w:hAnsi="Times New Roman" w:eastAsia="宋体" w:cs="Times New Roman"/>
                <w:color w:val="auto"/>
                <w:sz w:val="24"/>
                <w:szCs w:val="24"/>
                <w:highlight w:val="none"/>
                <w:u w:val="none"/>
                <w:lang w:val="en-US" w:eastAsia="zh-CN"/>
              </w:rPr>
              <w:t>/年；项目生产所需的粉料总量为211104</w:t>
            </w:r>
            <w:r>
              <w:rPr>
                <w:rFonts w:hint="default" w:ascii="Times New Roman" w:hAnsi="Times New Roman" w:eastAsia="宋体" w:cs="Times New Roman"/>
                <w:color w:val="auto"/>
                <w:sz w:val="24"/>
                <w:szCs w:val="24"/>
                <w:highlight w:val="none"/>
                <w:u w:val="none"/>
                <w:lang w:val="en-US" w:eastAsia="zh-CN"/>
              </w:rPr>
              <w:t>t/a</w:t>
            </w:r>
            <w:r>
              <w:rPr>
                <w:rFonts w:hint="eastAsia" w:ascii="Times New Roman" w:hAnsi="Times New Roman" w:eastAsia="宋体" w:cs="Times New Roman"/>
                <w:color w:val="auto"/>
                <w:sz w:val="24"/>
                <w:szCs w:val="24"/>
                <w:highlight w:val="none"/>
                <w:u w:val="none"/>
                <w:lang w:val="en-US" w:eastAsia="zh-CN"/>
              </w:rPr>
              <w:t>，粉料</w:t>
            </w:r>
            <w:r>
              <w:rPr>
                <w:rFonts w:hint="default" w:ascii="Times New Roman" w:hAnsi="Times New Roman" w:eastAsia="宋体" w:cs="Times New Roman"/>
                <w:color w:val="auto"/>
                <w:sz w:val="24"/>
                <w:szCs w:val="24"/>
                <w:highlight w:val="none"/>
                <w:u w:val="none"/>
                <w:lang w:val="en-US" w:eastAsia="zh-CN"/>
              </w:rPr>
              <w:t>运输车</w:t>
            </w:r>
            <w:r>
              <w:rPr>
                <w:rFonts w:hint="eastAsia" w:ascii="Times New Roman" w:hAnsi="Times New Roman" w:eastAsia="宋体" w:cs="Times New Roman"/>
                <w:color w:val="auto"/>
                <w:sz w:val="24"/>
                <w:szCs w:val="24"/>
                <w:highlight w:val="none"/>
                <w:u w:val="none"/>
                <w:lang w:val="en-US" w:eastAsia="zh-CN"/>
              </w:rPr>
              <w:t>载重28t，砂石运输7540</w:t>
            </w:r>
            <w:r>
              <w:rPr>
                <w:rFonts w:hint="default" w:ascii="Times New Roman" w:hAnsi="Times New Roman" w:eastAsia="宋体" w:cs="Times New Roman"/>
                <w:color w:val="auto"/>
                <w:sz w:val="24"/>
                <w:szCs w:val="24"/>
                <w:highlight w:val="none"/>
                <w:u w:val="none"/>
                <w:lang w:val="en-US" w:eastAsia="zh-CN"/>
              </w:rPr>
              <w:t>车次</w:t>
            </w:r>
            <w:r>
              <w:rPr>
                <w:rFonts w:hint="eastAsia" w:ascii="Times New Roman" w:hAnsi="Times New Roman" w:eastAsia="宋体" w:cs="Times New Roman"/>
                <w:color w:val="auto"/>
                <w:sz w:val="24"/>
                <w:szCs w:val="24"/>
                <w:highlight w:val="none"/>
                <w:u w:val="none"/>
                <w:lang w:val="en-US" w:eastAsia="zh-CN"/>
              </w:rPr>
              <w:t>/年。</w:t>
            </w:r>
          </w:p>
          <w:p>
            <w:pPr>
              <w:wordWrap/>
              <w:spacing w:line="360" w:lineRule="auto"/>
              <w:ind w:firstLine="480" w:firstLineChars="200"/>
              <w:jc w:val="both"/>
              <w:rPr>
                <w:rFonts w:hint="default"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所有</w:t>
            </w:r>
            <w:r>
              <w:rPr>
                <w:rFonts w:hint="default" w:ascii="Times New Roman" w:hAnsi="Times New Roman" w:eastAsia="宋体" w:cs="Times New Roman"/>
                <w:color w:val="auto"/>
                <w:sz w:val="24"/>
                <w:szCs w:val="24"/>
                <w:highlight w:val="none"/>
                <w:u w:val="none"/>
                <w:lang w:val="en-US" w:eastAsia="zh-CN"/>
              </w:rPr>
              <w:t>车辆每次上路前冲洗一次，根据对同类型企业的类比调查，</w:t>
            </w:r>
            <w:r>
              <w:rPr>
                <w:rFonts w:hint="eastAsia" w:ascii="Times New Roman" w:hAnsi="Times New Roman" w:eastAsia="宋体" w:cs="Times New Roman"/>
                <w:color w:val="auto"/>
                <w:sz w:val="24"/>
                <w:szCs w:val="24"/>
                <w:highlight w:val="none"/>
                <w:u w:val="none"/>
                <w:lang w:val="en-US" w:eastAsia="zh-CN"/>
              </w:rPr>
              <w:t>进出车辆</w:t>
            </w:r>
            <w:r>
              <w:rPr>
                <w:rFonts w:hint="default" w:ascii="Times New Roman" w:hAnsi="Times New Roman" w:eastAsia="宋体" w:cs="Times New Roman"/>
                <w:color w:val="auto"/>
                <w:sz w:val="24"/>
                <w:szCs w:val="24"/>
                <w:highlight w:val="none"/>
                <w:u w:val="none"/>
                <w:lang w:val="en-US" w:eastAsia="zh-CN"/>
              </w:rPr>
              <w:t>冲洗用水量约</w:t>
            </w:r>
            <w:r>
              <w:rPr>
                <w:rFonts w:hint="eastAsia" w:ascii="Times New Roman" w:hAnsi="Times New Roman" w:eastAsia="宋体" w:cs="Times New Roman"/>
                <w:color w:val="0000FF"/>
                <w:sz w:val="24"/>
                <w:szCs w:val="24"/>
                <w:highlight w:val="none"/>
                <w:u w:val="none"/>
                <w:lang w:val="en-US" w:eastAsia="zh-CN"/>
              </w:rPr>
              <w:t>5L</w:t>
            </w:r>
            <w:r>
              <w:rPr>
                <w:rFonts w:hint="default" w:ascii="Times New Roman" w:hAnsi="Times New Roman" w:eastAsia="宋体" w:cs="Times New Roman"/>
                <w:color w:val="0000FF"/>
                <w:sz w:val="24"/>
                <w:szCs w:val="24"/>
                <w:highlight w:val="none"/>
                <w:u w:val="none"/>
                <w:lang w:val="en-US" w:eastAsia="zh-CN"/>
              </w:rPr>
              <w:t>/辆·次，</w:t>
            </w:r>
            <w:r>
              <w:rPr>
                <w:rFonts w:hint="eastAsia" w:ascii="Times New Roman" w:hAnsi="Times New Roman" w:eastAsia="宋体" w:cs="Times New Roman"/>
                <w:color w:val="0000FF"/>
                <w:sz w:val="24"/>
                <w:szCs w:val="24"/>
                <w:highlight w:val="none"/>
                <w:u w:val="none"/>
                <w:lang w:val="en-US" w:eastAsia="zh-CN"/>
              </w:rPr>
              <w:t>年用水9792.6</w:t>
            </w:r>
            <w:r>
              <w:rPr>
                <w:rFonts w:hint="default" w:ascii="Times New Roman" w:hAnsi="Times New Roman" w:eastAsia="宋体" w:cs="Times New Roman"/>
                <w:color w:val="0000FF"/>
                <w:sz w:val="24"/>
                <w:szCs w:val="24"/>
                <w:highlight w:val="none"/>
                <w:u w:val="none"/>
                <w:lang w:val="en-US" w:eastAsia="zh-CN"/>
              </w:rPr>
              <w:t>m</w:t>
            </w:r>
            <w:r>
              <w:rPr>
                <w:rFonts w:hint="default" w:ascii="Times New Roman" w:hAnsi="Times New Roman" w:eastAsia="宋体" w:cs="Times New Roman"/>
                <w:color w:val="0000FF"/>
                <w:sz w:val="24"/>
                <w:szCs w:val="24"/>
                <w:highlight w:val="none"/>
                <w:u w:val="none"/>
                <w:vertAlign w:val="superscript"/>
                <w:lang w:val="en-US" w:eastAsia="zh-CN"/>
              </w:rPr>
              <w:t>3</w:t>
            </w:r>
            <w:r>
              <w:rPr>
                <w:rFonts w:hint="eastAsia" w:ascii="Times New Roman" w:hAnsi="Times New Roman" w:eastAsia="宋体" w:cs="Times New Roman"/>
                <w:color w:val="0000FF"/>
                <w:sz w:val="24"/>
                <w:szCs w:val="24"/>
                <w:highlight w:val="none"/>
                <w:u w:val="none"/>
                <w:lang w:val="en-US" w:eastAsia="zh-CN"/>
              </w:rPr>
              <w:t>/a</w:t>
            </w:r>
            <w:r>
              <w:rPr>
                <w:rFonts w:hint="default" w:ascii="Times New Roman" w:hAnsi="Times New Roman" w:eastAsia="宋体" w:cs="Times New Roman"/>
                <w:color w:val="0000FF"/>
                <w:sz w:val="24"/>
                <w:szCs w:val="24"/>
                <w:highlight w:val="none"/>
                <w:u w:val="none"/>
                <w:lang w:val="en-US" w:eastAsia="zh-CN"/>
              </w:rPr>
              <w:t>，排放系数按0.8计算，其废水产生量为</w:t>
            </w:r>
            <w:r>
              <w:rPr>
                <w:rFonts w:hint="eastAsia" w:ascii="Times New Roman" w:hAnsi="Times New Roman" w:eastAsia="宋体" w:cs="Times New Roman"/>
                <w:color w:val="0000FF"/>
                <w:sz w:val="24"/>
                <w:szCs w:val="24"/>
                <w:highlight w:val="none"/>
                <w:u w:val="none"/>
                <w:lang w:val="en-US" w:eastAsia="zh-CN"/>
              </w:rPr>
              <w:t>7834.08</w:t>
            </w:r>
            <w:r>
              <w:rPr>
                <w:rFonts w:hint="default" w:ascii="Times New Roman" w:hAnsi="Times New Roman" w:eastAsia="宋体" w:cs="Times New Roman"/>
                <w:color w:val="0000FF"/>
                <w:sz w:val="24"/>
                <w:szCs w:val="24"/>
                <w:highlight w:val="none"/>
                <w:u w:val="none"/>
                <w:lang w:val="en-US" w:eastAsia="zh-CN"/>
              </w:rPr>
              <w:t>m</w:t>
            </w:r>
            <w:r>
              <w:rPr>
                <w:rFonts w:hint="default" w:ascii="Times New Roman" w:hAnsi="Times New Roman" w:eastAsia="宋体" w:cs="Times New Roman"/>
                <w:color w:val="0000FF"/>
                <w:sz w:val="24"/>
                <w:szCs w:val="24"/>
                <w:highlight w:val="none"/>
                <w:u w:val="none"/>
                <w:vertAlign w:val="superscript"/>
                <w:lang w:val="en-US" w:eastAsia="zh-CN"/>
              </w:rPr>
              <w:t>3</w:t>
            </w:r>
            <w:r>
              <w:rPr>
                <w:rFonts w:hint="default" w:ascii="Times New Roman" w:hAnsi="Times New Roman" w:eastAsia="宋体" w:cs="Times New Roman"/>
                <w:color w:val="0000FF"/>
                <w:sz w:val="24"/>
                <w:szCs w:val="24"/>
                <w:highlight w:val="none"/>
                <w:u w:val="none"/>
                <w:lang w:val="en-US" w:eastAsia="zh-CN"/>
              </w:rPr>
              <w:t>/a。</w:t>
            </w:r>
            <w:r>
              <w:rPr>
                <w:rFonts w:hint="default" w:ascii="Times New Roman" w:hAnsi="Times New Roman" w:eastAsia="宋体" w:cs="Times New Roman"/>
                <w:kern w:val="0"/>
                <w:sz w:val="24"/>
                <w:szCs w:val="24"/>
                <w:highlight w:val="none"/>
                <w:u w:val="none"/>
              </w:rPr>
              <w:t>车辆清洗用水产生的废水经</w:t>
            </w:r>
            <w:r>
              <w:rPr>
                <w:rFonts w:hint="default" w:ascii="Times New Roman" w:hAnsi="Times New Roman" w:eastAsia="宋体" w:cs="Times New Roman"/>
                <w:kern w:val="0"/>
                <w:sz w:val="24"/>
                <w:szCs w:val="24"/>
                <w:highlight w:val="none"/>
                <w:u w:val="none"/>
                <w:lang w:val="en-US" w:eastAsia="zh-CN"/>
              </w:rPr>
              <w:t>洗车房</w:t>
            </w:r>
            <w:r>
              <w:rPr>
                <w:rFonts w:hint="default" w:ascii="Times New Roman" w:hAnsi="Times New Roman" w:eastAsia="宋体" w:cs="Times New Roman"/>
                <w:kern w:val="0"/>
                <w:sz w:val="24"/>
                <w:szCs w:val="24"/>
                <w:highlight w:val="none"/>
                <w:u w:val="none"/>
              </w:rPr>
              <w:t>设置的导流沟进入</w:t>
            </w:r>
            <w:r>
              <w:rPr>
                <w:rFonts w:hint="eastAsia" w:ascii="Times New Roman" w:hAnsi="Times New Roman" w:eastAsia="宋体" w:cs="Times New Roman"/>
                <w:color w:val="0000FF"/>
                <w:kern w:val="0"/>
                <w:sz w:val="24"/>
                <w:szCs w:val="24"/>
                <w:highlight w:val="none"/>
                <w:u w:val="none"/>
                <w:lang w:val="en-US" w:eastAsia="zh-CN"/>
              </w:rPr>
              <w:t>3#隔油</w:t>
            </w:r>
            <w:r>
              <w:rPr>
                <w:rFonts w:hint="default" w:ascii="Times New Roman" w:hAnsi="Times New Roman" w:eastAsia="宋体" w:cs="Times New Roman"/>
                <w:color w:val="0000FF"/>
                <w:kern w:val="0"/>
                <w:sz w:val="24"/>
                <w:szCs w:val="24"/>
                <w:highlight w:val="none"/>
                <w:u w:val="none"/>
              </w:rPr>
              <w:t>沉淀池</w:t>
            </w:r>
            <w:r>
              <w:rPr>
                <w:rFonts w:hint="default" w:ascii="Times New Roman" w:hAnsi="Times New Roman" w:eastAsia="宋体" w:cs="Times New Roman"/>
                <w:kern w:val="0"/>
                <w:sz w:val="24"/>
                <w:szCs w:val="24"/>
                <w:highlight w:val="none"/>
                <w:u w:val="none"/>
              </w:rPr>
              <w:t>中进行沉淀处理，处理后回用于项目车辆冲洗，不外排。</w:t>
            </w:r>
          </w:p>
          <w:p>
            <w:pPr>
              <w:spacing w:line="360" w:lineRule="auto"/>
              <w:ind w:firstLine="480" w:firstLineChars="200"/>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val="en-US" w:eastAsia="zh-CN"/>
              </w:rPr>
              <w:t>④</w:t>
            </w:r>
            <w:r>
              <w:rPr>
                <w:rFonts w:hint="default" w:ascii="Times New Roman" w:hAnsi="Times New Roman" w:eastAsia="宋体" w:cs="Times New Roman"/>
                <w:sz w:val="24"/>
                <w:szCs w:val="24"/>
                <w:highlight w:val="none"/>
                <w:u w:val="none"/>
                <w:lang w:val="en-US" w:eastAsia="zh-CN"/>
              </w:rPr>
              <w:t xml:space="preserve">混凝土作业区地面清洗水 </w:t>
            </w:r>
          </w:p>
          <w:p>
            <w:pPr>
              <w:wordWrap/>
              <w:spacing w:line="360" w:lineRule="auto"/>
              <w:ind w:firstLine="480" w:firstLineChars="200"/>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u w:val="none"/>
                <w:lang w:val="en-US" w:eastAsia="zh-CN"/>
              </w:rPr>
              <w:t>本</w:t>
            </w:r>
            <w:r>
              <w:rPr>
                <w:rFonts w:hint="default" w:ascii="Times New Roman" w:hAnsi="Times New Roman" w:eastAsia="宋体" w:cs="Times New Roman"/>
                <w:kern w:val="0"/>
                <w:sz w:val="24"/>
                <w:szCs w:val="24"/>
                <w:highlight w:val="none"/>
                <w:u w:val="none"/>
              </w:rPr>
              <w:t>项目的搅拌区</w:t>
            </w:r>
            <w:r>
              <w:rPr>
                <w:rFonts w:hint="eastAsia" w:ascii="Times New Roman" w:hAnsi="Times New Roman" w:eastAsia="宋体" w:cs="Times New Roman"/>
                <w:kern w:val="0"/>
                <w:sz w:val="24"/>
                <w:szCs w:val="24"/>
                <w:highlight w:val="none"/>
                <w:u w:val="none"/>
                <w:lang w:val="en-US" w:eastAsia="zh-CN"/>
              </w:rPr>
              <w:t>地面</w:t>
            </w:r>
            <w:r>
              <w:rPr>
                <w:rFonts w:hint="default" w:ascii="Times New Roman" w:hAnsi="Times New Roman" w:eastAsia="宋体" w:cs="Times New Roman"/>
                <w:kern w:val="0"/>
                <w:sz w:val="24"/>
                <w:szCs w:val="24"/>
                <w:highlight w:val="none"/>
                <w:u w:val="none"/>
              </w:rPr>
              <w:t>需要进行冲洗，</w:t>
            </w:r>
            <w:r>
              <w:rPr>
                <w:rFonts w:hint="default" w:ascii="Times New Roman" w:hAnsi="Times New Roman" w:eastAsia="宋体" w:cs="Times New Roman"/>
                <w:sz w:val="24"/>
                <w:szCs w:val="24"/>
                <w:highlight w:val="none"/>
                <w:u w:val="none"/>
                <w:lang w:val="en-US" w:eastAsia="zh-CN"/>
              </w:rPr>
              <w:t>搅拌工作区面积1361.68m</w:t>
            </w:r>
            <w:r>
              <w:rPr>
                <w:rFonts w:hint="default" w:ascii="Times New Roman" w:hAnsi="Times New Roman" w:eastAsia="宋体" w:cs="Times New Roman"/>
                <w:sz w:val="24"/>
                <w:szCs w:val="24"/>
                <w:highlight w:val="none"/>
                <w:u w:val="none"/>
                <w:vertAlign w:val="superscript"/>
                <w:lang w:val="en-US" w:eastAsia="zh-CN"/>
              </w:rPr>
              <w:t>2</w:t>
            </w:r>
            <w:r>
              <w:rPr>
                <w:rFonts w:hint="default" w:ascii="Times New Roman" w:hAnsi="Times New Roman" w:eastAsia="宋体" w:cs="Times New Roman"/>
                <w:sz w:val="24"/>
                <w:szCs w:val="24"/>
                <w:highlight w:val="none"/>
                <w:u w:val="none"/>
                <w:lang w:val="en-US" w:eastAsia="zh-CN"/>
              </w:rPr>
              <w:t>，</w:t>
            </w:r>
            <w:r>
              <w:rPr>
                <w:rFonts w:hint="default" w:ascii="Times New Roman" w:hAnsi="Times New Roman" w:eastAsia="宋体" w:cs="Times New Roman"/>
                <w:color w:val="0000FF"/>
                <w:sz w:val="24"/>
                <w:szCs w:val="24"/>
                <w:highlight w:val="none"/>
                <w:u w:val="none"/>
                <w:lang w:val="en-US" w:eastAsia="zh-CN"/>
              </w:rPr>
              <w:t>其</w:t>
            </w:r>
            <w:r>
              <w:rPr>
                <w:rFonts w:hint="eastAsia" w:ascii="Times New Roman" w:hAnsi="Times New Roman" w:eastAsia="宋体" w:cs="Times New Roman"/>
                <w:color w:val="0000FF"/>
                <w:sz w:val="24"/>
                <w:szCs w:val="24"/>
                <w:highlight w:val="none"/>
                <w:u w:val="none"/>
                <w:lang w:val="en-US" w:eastAsia="zh-CN"/>
              </w:rPr>
              <w:t>用水</w:t>
            </w:r>
            <w:r>
              <w:rPr>
                <w:rFonts w:hint="default" w:ascii="Times New Roman" w:hAnsi="Times New Roman" w:eastAsia="宋体" w:cs="Times New Roman"/>
                <w:color w:val="0000FF"/>
                <w:sz w:val="24"/>
                <w:szCs w:val="24"/>
                <w:highlight w:val="none"/>
                <w:u w:val="none"/>
                <w:lang w:val="en-US" w:eastAsia="zh-CN"/>
              </w:rPr>
              <w:t>量按</w:t>
            </w:r>
            <w:r>
              <w:rPr>
                <w:rFonts w:hint="eastAsia" w:ascii="Times New Roman" w:hAnsi="Times New Roman" w:eastAsia="宋体" w:cs="Times New Roman"/>
                <w:color w:val="0000FF"/>
                <w:sz w:val="24"/>
                <w:szCs w:val="24"/>
                <w:highlight w:val="none"/>
                <w:u w:val="none"/>
                <w:lang w:val="en-US" w:eastAsia="zh-CN"/>
              </w:rPr>
              <w:t>2L</w:t>
            </w:r>
            <w:r>
              <w:rPr>
                <w:rFonts w:hint="default" w:ascii="Times New Roman" w:hAnsi="Times New Roman" w:eastAsia="宋体" w:cs="Times New Roman"/>
                <w:color w:val="0000FF"/>
                <w:sz w:val="24"/>
                <w:szCs w:val="24"/>
                <w:highlight w:val="none"/>
                <w:u w:val="none"/>
                <w:lang w:val="en-US" w:eastAsia="zh-CN"/>
              </w:rPr>
              <w:t>/m</w:t>
            </w:r>
            <w:r>
              <w:rPr>
                <w:rFonts w:hint="default" w:ascii="Times New Roman" w:hAnsi="Times New Roman" w:eastAsia="宋体" w:cs="Times New Roman"/>
                <w:color w:val="0000FF"/>
                <w:sz w:val="24"/>
                <w:szCs w:val="24"/>
                <w:highlight w:val="none"/>
                <w:u w:val="none"/>
                <w:vertAlign w:val="superscript"/>
                <w:lang w:val="en-US" w:eastAsia="zh-CN"/>
              </w:rPr>
              <w:t>2</w:t>
            </w:r>
            <w:r>
              <w:rPr>
                <w:rFonts w:hint="default" w:ascii="Times New Roman" w:hAnsi="Times New Roman" w:eastAsia="宋体" w:cs="Times New Roman"/>
                <w:color w:val="0000FF"/>
                <w:sz w:val="24"/>
                <w:szCs w:val="24"/>
                <w:highlight w:val="none"/>
                <w:u w:val="none"/>
                <w:vertAlign w:val="baseline"/>
                <w:lang w:val="en-US" w:eastAsia="zh-CN"/>
              </w:rPr>
              <w:t>·</w:t>
            </w:r>
            <w:r>
              <w:rPr>
                <w:rFonts w:hint="default" w:ascii="Times New Roman" w:hAnsi="Times New Roman" w:eastAsia="宋体" w:cs="Times New Roman"/>
                <w:color w:val="0000FF"/>
                <w:sz w:val="24"/>
                <w:szCs w:val="24"/>
                <w:highlight w:val="none"/>
                <w:u w:val="none"/>
                <w:lang w:val="en-US" w:eastAsia="zh-CN"/>
              </w:rPr>
              <w:t>d计算，该部分用水量为</w:t>
            </w:r>
            <w:r>
              <w:rPr>
                <w:rFonts w:hint="eastAsia" w:ascii="Times New Roman" w:hAnsi="Times New Roman" w:eastAsia="宋体" w:cs="Times New Roman"/>
                <w:color w:val="0000FF"/>
                <w:sz w:val="24"/>
                <w:szCs w:val="24"/>
                <w:highlight w:val="none"/>
                <w:u w:val="none"/>
                <w:lang w:val="en-US" w:eastAsia="zh-CN"/>
              </w:rPr>
              <w:t>2.72</w:t>
            </w:r>
            <w:r>
              <w:rPr>
                <w:rFonts w:hint="default" w:ascii="Times New Roman" w:hAnsi="Times New Roman" w:eastAsia="宋体" w:cs="Times New Roman"/>
                <w:color w:val="0000FF"/>
                <w:sz w:val="24"/>
                <w:szCs w:val="24"/>
                <w:highlight w:val="none"/>
                <w:u w:val="none"/>
                <w:lang w:val="en-US" w:eastAsia="zh-CN"/>
              </w:rPr>
              <w:t>m</w:t>
            </w:r>
            <w:r>
              <w:rPr>
                <w:rFonts w:hint="default" w:ascii="Times New Roman" w:hAnsi="Times New Roman" w:eastAsia="宋体" w:cs="Times New Roman"/>
                <w:color w:val="0000FF"/>
                <w:sz w:val="24"/>
                <w:szCs w:val="24"/>
                <w:highlight w:val="none"/>
                <w:u w:val="none"/>
                <w:vertAlign w:val="superscript"/>
                <w:lang w:val="en-US" w:eastAsia="zh-CN"/>
              </w:rPr>
              <w:t>3</w:t>
            </w:r>
            <w:r>
              <w:rPr>
                <w:rFonts w:hint="default" w:ascii="Times New Roman" w:hAnsi="Times New Roman" w:eastAsia="宋体" w:cs="Times New Roman"/>
                <w:color w:val="0000FF"/>
                <w:sz w:val="24"/>
                <w:szCs w:val="24"/>
                <w:highlight w:val="none"/>
                <w:u w:val="none"/>
                <w:lang w:val="en-US" w:eastAsia="zh-CN"/>
              </w:rPr>
              <w:t>/d，</w:t>
            </w:r>
            <w:r>
              <w:rPr>
                <w:rFonts w:hint="eastAsia" w:ascii="Times New Roman" w:hAnsi="Times New Roman" w:eastAsia="宋体" w:cs="Times New Roman"/>
                <w:color w:val="0000FF"/>
                <w:sz w:val="24"/>
                <w:szCs w:val="24"/>
                <w:highlight w:val="none"/>
                <w:u w:val="none"/>
                <w:lang w:val="en-US" w:eastAsia="zh-CN"/>
              </w:rPr>
              <w:t>898.71</w:t>
            </w:r>
            <w:r>
              <w:rPr>
                <w:rFonts w:hint="default" w:ascii="Times New Roman" w:hAnsi="Times New Roman" w:eastAsia="宋体" w:cs="Times New Roman"/>
                <w:color w:val="0000FF"/>
                <w:sz w:val="24"/>
                <w:szCs w:val="24"/>
                <w:highlight w:val="none"/>
                <w:u w:val="none"/>
                <w:lang w:val="en-US" w:eastAsia="zh-CN"/>
              </w:rPr>
              <w:t>m</w:t>
            </w:r>
            <w:r>
              <w:rPr>
                <w:rFonts w:hint="default" w:ascii="Times New Roman" w:hAnsi="Times New Roman" w:eastAsia="宋体" w:cs="Times New Roman"/>
                <w:color w:val="0000FF"/>
                <w:sz w:val="24"/>
                <w:szCs w:val="24"/>
                <w:highlight w:val="none"/>
                <w:u w:val="none"/>
                <w:vertAlign w:val="superscript"/>
                <w:lang w:val="en-US" w:eastAsia="zh-CN"/>
              </w:rPr>
              <w:t>3</w:t>
            </w:r>
            <w:r>
              <w:rPr>
                <w:rFonts w:hint="default" w:ascii="Times New Roman" w:hAnsi="Times New Roman" w:eastAsia="宋体" w:cs="Times New Roman"/>
                <w:color w:val="0000FF"/>
                <w:sz w:val="24"/>
                <w:szCs w:val="24"/>
                <w:highlight w:val="none"/>
                <w:u w:val="none"/>
                <w:lang w:val="en-US" w:eastAsia="zh-CN"/>
              </w:rPr>
              <w:t>/a，排放系数按0.8计算，其废水产生量为</w:t>
            </w:r>
            <w:r>
              <w:rPr>
                <w:rFonts w:hint="eastAsia" w:ascii="Times New Roman" w:hAnsi="Times New Roman" w:eastAsia="宋体" w:cs="Times New Roman"/>
                <w:color w:val="0000FF"/>
                <w:sz w:val="24"/>
                <w:szCs w:val="24"/>
                <w:highlight w:val="none"/>
                <w:u w:val="none"/>
                <w:lang w:val="en-US" w:eastAsia="zh-CN"/>
              </w:rPr>
              <w:t>2.18</w:t>
            </w:r>
            <w:r>
              <w:rPr>
                <w:rFonts w:hint="default" w:ascii="Times New Roman" w:hAnsi="Times New Roman" w:eastAsia="宋体" w:cs="Times New Roman"/>
                <w:color w:val="0000FF"/>
                <w:sz w:val="24"/>
                <w:szCs w:val="24"/>
                <w:highlight w:val="none"/>
                <w:u w:val="none"/>
                <w:lang w:val="en-US" w:eastAsia="zh-CN"/>
              </w:rPr>
              <w:t>m</w:t>
            </w:r>
            <w:r>
              <w:rPr>
                <w:rFonts w:hint="default" w:ascii="Times New Roman" w:hAnsi="Times New Roman" w:eastAsia="宋体" w:cs="Times New Roman"/>
                <w:color w:val="0000FF"/>
                <w:sz w:val="24"/>
                <w:szCs w:val="24"/>
                <w:highlight w:val="none"/>
                <w:u w:val="none"/>
                <w:vertAlign w:val="superscript"/>
                <w:lang w:val="en-US" w:eastAsia="zh-CN"/>
              </w:rPr>
              <w:t>3</w:t>
            </w:r>
            <w:r>
              <w:rPr>
                <w:rFonts w:hint="default" w:ascii="Times New Roman" w:hAnsi="Times New Roman" w:eastAsia="宋体" w:cs="Times New Roman"/>
                <w:color w:val="0000FF"/>
                <w:sz w:val="24"/>
                <w:szCs w:val="24"/>
                <w:highlight w:val="none"/>
                <w:u w:val="none"/>
                <w:lang w:val="en-US" w:eastAsia="zh-CN"/>
              </w:rPr>
              <w:t>/d，</w:t>
            </w:r>
            <w:r>
              <w:rPr>
                <w:rFonts w:hint="eastAsia" w:ascii="Times New Roman" w:hAnsi="Times New Roman" w:eastAsia="宋体" w:cs="Times New Roman"/>
                <w:color w:val="0000FF"/>
                <w:sz w:val="24"/>
                <w:szCs w:val="24"/>
                <w:highlight w:val="none"/>
                <w:u w:val="none"/>
                <w:lang w:val="en-US" w:eastAsia="zh-CN"/>
              </w:rPr>
              <w:t>718.97</w:t>
            </w:r>
            <w:r>
              <w:rPr>
                <w:rFonts w:hint="default" w:ascii="Times New Roman" w:hAnsi="Times New Roman" w:eastAsia="宋体" w:cs="Times New Roman"/>
                <w:color w:val="0000FF"/>
                <w:sz w:val="24"/>
                <w:szCs w:val="24"/>
                <w:highlight w:val="none"/>
                <w:u w:val="none"/>
                <w:lang w:val="en-US" w:eastAsia="zh-CN"/>
              </w:rPr>
              <w:t>m</w:t>
            </w:r>
            <w:r>
              <w:rPr>
                <w:rFonts w:hint="default" w:ascii="Times New Roman" w:hAnsi="Times New Roman" w:eastAsia="宋体" w:cs="Times New Roman"/>
                <w:color w:val="0000FF"/>
                <w:sz w:val="24"/>
                <w:szCs w:val="24"/>
                <w:highlight w:val="none"/>
                <w:u w:val="none"/>
                <w:vertAlign w:val="superscript"/>
                <w:lang w:val="en-US" w:eastAsia="zh-CN"/>
              </w:rPr>
              <w:t>3</w:t>
            </w:r>
            <w:r>
              <w:rPr>
                <w:rFonts w:hint="default" w:ascii="Times New Roman" w:hAnsi="Times New Roman" w:eastAsia="宋体" w:cs="Times New Roman"/>
                <w:color w:val="0000FF"/>
                <w:sz w:val="24"/>
                <w:szCs w:val="24"/>
                <w:highlight w:val="none"/>
                <w:u w:val="none"/>
                <w:lang w:val="en-US" w:eastAsia="zh-CN"/>
              </w:rPr>
              <w:t>/a。</w:t>
            </w:r>
            <w:r>
              <w:rPr>
                <w:rFonts w:hint="default" w:ascii="Times New Roman" w:hAnsi="Times New Roman" w:eastAsia="宋体" w:cs="Times New Roman"/>
                <w:kern w:val="0"/>
                <w:sz w:val="24"/>
                <w:szCs w:val="24"/>
                <w:highlight w:val="none"/>
                <w:u w:val="none"/>
              </w:rPr>
              <w:t>搅拌区</w:t>
            </w:r>
            <w:r>
              <w:rPr>
                <w:rFonts w:hint="eastAsia" w:ascii="Times New Roman" w:hAnsi="Times New Roman" w:eastAsia="宋体" w:cs="Times New Roman"/>
                <w:kern w:val="0"/>
                <w:sz w:val="24"/>
                <w:szCs w:val="24"/>
                <w:highlight w:val="none"/>
                <w:u w:val="none"/>
                <w:lang w:val="en-US" w:eastAsia="zh-CN"/>
              </w:rPr>
              <w:t>地面</w:t>
            </w:r>
            <w:r>
              <w:rPr>
                <w:rFonts w:hint="default" w:ascii="Times New Roman" w:hAnsi="Times New Roman" w:eastAsia="宋体" w:cs="Times New Roman"/>
                <w:kern w:val="0"/>
                <w:sz w:val="24"/>
                <w:szCs w:val="24"/>
                <w:highlight w:val="none"/>
                <w:u w:val="none"/>
              </w:rPr>
              <w:t>冲洗用水产生的废水经设置的导流沟进入项目设置的三级沉淀</w:t>
            </w:r>
            <w:r>
              <w:rPr>
                <w:rFonts w:hint="default" w:ascii="Times New Roman" w:hAnsi="Times New Roman" w:eastAsia="宋体" w:cs="Times New Roman"/>
                <w:kern w:val="0"/>
                <w:sz w:val="24"/>
                <w:szCs w:val="24"/>
                <w:highlight w:val="none"/>
              </w:rPr>
              <w:t>池中进行沉淀处理，处理</w:t>
            </w:r>
            <w:r>
              <w:rPr>
                <w:rFonts w:hint="default" w:ascii="Times New Roman" w:hAnsi="Times New Roman" w:eastAsia="宋体" w:cs="Times New Roman"/>
                <w:kern w:val="0"/>
                <w:sz w:val="24"/>
                <w:szCs w:val="24"/>
                <w:highlight w:val="none"/>
                <w:lang w:val="en-US" w:eastAsia="zh-CN"/>
              </w:rPr>
              <w:t>后</w:t>
            </w:r>
            <w:r>
              <w:rPr>
                <w:rFonts w:hint="default" w:ascii="Times New Roman" w:hAnsi="Times New Roman" w:eastAsia="宋体" w:cs="Times New Roman"/>
                <w:kern w:val="0"/>
                <w:sz w:val="24"/>
                <w:szCs w:val="24"/>
                <w:highlight w:val="none"/>
              </w:rPr>
              <w:t>回用于</w:t>
            </w:r>
            <w:r>
              <w:rPr>
                <w:rFonts w:hint="eastAsia" w:ascii="Times New Roman" w:hAnsi="Times New Roman" w:eastAsia="宋体" w:cs="Times New Roman"/>
                <w:kern w:val="0"/>
                <w:sz w:val="24"/>
                <w:szCs w:val="24"/>
                <w:highlight w:val="none"/>
                <w:lang w:val="en-US" w:eastAsia="zh-CN"/>
              </w:rPr>
              <w:t>混凝土生产</w:t>
            </w:r>
            <w:r>
              <w:rPr>
                <w:rFonts w:hint="default" w:ascii="Times New Roman" w:hAnsi="Times New Roman" w:eastAsia="宋体" w:cs="Times New Roman"/>
                <w:kern w:val="0"/>
                <w:sz w:val="24"/>
                <w:szCs w:val="24"/>
                <w:highlight w:val="none"/>
              </w:rPr>
              <w:t>，不外排。</w:t>
            </w:r>
          </w:p>
          <w:p>
            <w:pPr>
              <w:spacing w:line="360" w:lineRule="auto"/>
              <w:ind w:firstLine="480" w:firstLineChars="200"/>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val="en-US" w:eastAsia="zh-CN"/>
              </w:rPr>
              <w:t>⑤</w:t>
            </w:r>
            <w:r>
              <w:rPr>
                <w:rFonts w:hint="default" w:ascii="Times New Roman" w:hAnsi="Times New Roman" w:eastAsia="宋体" w:cs="Times New Roman"/>
                <w:sz w:val="24"/>
                <w:szCs w:val="24"/>
                <w:highlight w:val="none"/>
                <w:u w:val="none"/>
                <w:lang w:val="en-US" w:eastAsia="zh-CN"/>
              </w:rPr>
              <w:t xml:space="preserve">产品配料用水 </w:t>
            </w:r>
          </w:p>
          <w:p>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lang w:val="en-US" w:eastAsia="zh-CN"/>
              </w:rPr>
              <w:t>本项目每年产量</w:t>
            </w:r>
            <w:r>
              <w:rPr>
                <w:rFonts w:hint="eastAsia" w:ascii="Times New Roman" w:hAnsi="Times New Roman" w:eastAsia="宋体" w:cs="Times New Roman"/>
                <w:sz w:val="24"/>
                <w:szCs w:val="24"/>
                <w:highlight w:val="none"/>
                <w:u w:val="none"/>
                <w:lang w:val="en-US" w:eastAsia="zh-CN"/>
              </w:rPr>
              <w:t>60</w:t>
            </w:r>
            <w:r>
              <w:rPr>
                <w:rFonts w:hint="default" w:ascii="Times New Roman" w:hAnsi="Times New Roman" w:eastAsia="宋体" w:cs="Times New Roman"/>
                <w:sz w:val="24"/>
                <w:szCs w:val="24"/>
                <w:highlight w:val="none"/>
                <w:u w:val="none"/>
                <w:lang w:val="en-US" w:eastAsia="zh-CN"/>
              </w:rPr>
              <w:t>万</w:t>
            </w:r>
            <w:r>
              <w:rPr>
                <w:rFonts w:hint="eastAsia" w:ascii="Times New Roman" w:hAnsi="Times New Roman" w:eastAsia="宋体" w:cs="Times New Roman"/>
                <w:sz w:val="24"/>
                <w:szCs w:val="24"/>
                <w:highlight w:val="none"/>
                <w:u w:val="none"/>
                <w:lang w:val="en-US" w:eastAsia="zh-CN"/>
              </w:rPr>
              <w:t>m</w:t>
            </w:r>
            <w:r>
              <w:rPr>
                <w:rFonts w:hint="eastAsia"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，配料所需的水量为</w:t>
            </w:r>
            <w:r>
              <w:rPr>
                <w:rFonts w:hint="eastAsia" w:ascii="Times New Roman" w:hAnsi="Times New Roman" w:eastAsia="宋体" w:cs="Times New Roman"/>
                <w:sz w:val="24"/>
                <w:szCs w:val="24"/>
                <w:highlight w:val="none"/>
                <w:u w:val="none"/>
                <w:lang w:val="en-US" w:eastAsia="zh-CN"/>
              </w:rPr>
              <w:t>180L/m</w:t>
            </w:r>
            <w:r>
              <w:rPr>
                <w:rFonts w:hint="eastAsia" w:ascii="Times New Roman" w:hAnsi="Times New Roman" w:eastAsia="宋体" w:cs="Times New Roman"/>
                <w:sz w:val="24"/>
                <w:szCs w:val="24"/>
                <w:highlight w:val="none"/>
                <w:u w:val="none"/>
                <w:vertAlign w:val="superscript"/>
                <w:lang w:val="en-US" w:eastAsia="zh-CN"/>
              </w:rPr>
              <w:t>3</w:t>
            </w:r>
            <w:r>
              <w:rPr>
                <w:rFonts w:hint="eastAsia" w:ascii="Times New Roman" w:hAnsi="Times New Roman" w:eastAsia="宋体" w:cs="Times New Roman"/>
                <w:sz w:val="24"/>
                <w:szCs w:val="24"/>
                <w:highlight w:val="none"/>
                <w:u w:val="none"/>
                <w:lang w:val="en-US" w:eastAsia="zh-CN"/>
              </w:rPr>
              <w:t>，则项目混凝土添加水量为</w:t>
            </w:r>
            <w:r>
              <w:rPr>
                <w:rFonts w:hint="default" w:ascii="Times New Roman" w:hAnsi="Times New Roman" w:eastAsia="宋体" w:cs="Times New Roman"/>
                <w:sz w:val="24"/>
                <w:szCs w:val="24"/>
                <w:highlight w:val="none"/>
                <w:u w:val="none"/>
                <w:lang w:val="en-US" w:eastAsia="zh-CN"/>
              </w:rPr>
              <w:t>10</w:t>
            </w:r>
            <w:r>
              <w:rPr>
                <w:rFonts w:hint="eastAsia" w:ascii="Times New Roman" w:hAnsi="Times New Roman" w:eastAsia="宋体" w:cs="Times New Roman"/>
                <w:sz w:val="24"/>
                <w:szCs w:val="24"/>
                <w:highlight w:val="none"/>
                <w:u w:val="none"/>
                <w:lang w:val="en-US" w:eastAsia="zh-CN"/>
              </w:rPr>
              <w:t>8000</w:t>
            </w:r>
            <w:r>
              <w:rPr>
                <w:rFonts w:hint="default" w:ascii="Times New Roman" w:hAnsi="Times New Roman" w:eastAsia="宋体" w:cs="Times New Roman"/>
                <w:sz w:val="24"/>
                <w:szCs w:val="24"/>
                <w:highlight w:val="none"/>
                <w:u w:val="none"/>
                <w:lang w:val="en-US" w:eastAsia="zh-CN"/>
              </w:rPr>
              <w:t>m</w:t>
            </w:r>
            <w:r>
              <w:rPr>
                <w:rFonts w:hint="default" w:ascii="Times New Roman" w:hAnsi="Times New Roman" w:eastAsia="宋体" w:cs="Times New Roman"/>
                <w:sz w:val="24"/>
                <w:szCs w:val="24"/>
                <w:highlight w:val="none"/>
                <w:u w:val="none"/>
                <w:vertAlign w:val="superscript"/>
                <w:lang w:val="en-US" w:eastAsia="zh-CN"/>
              </w:rPr>
              <w:t>3</w:t>
            </w:r>
            <w:r>
              <w:rPr>
                <w:rFonts w:hint="default" w:ascii="Times New Roman" w:hAnsi="Times New Roman" w:eastAsia="宋体" w:cs="Times New Roman"/>
                <w:sz w:val="24"/>
                <w:szCs w:val="24"/>
                <w:highlight w:val="none"/>
                <w:u w:val="none"/>
                <w:lang w:val="en-US" w:eastAsia="zh-CN"/>
              </w:rPr>
              <w:t>/a，</w:t>
            </w:r>
            <w:r>
              <w:rPr>
                <w:rFonts w:hint="default" w:ascii="Times New Roman" w:hAnsi="Times New Roman" w:eastAsia="宋体" w:cs="Times New Roman"/>
                <w:sz w:val="24"/>
                <w:szCs w:val="24"/>
                <w:highlight w:val="none"/>
                <w:u w:val="none"/>
              </w:rPr>
              <w:t>项目产品配料水直接进入产品无废水产生。</w:t>
            </w:r>
          </w:p>
          <w:p>
            <w:pPr>
              <w:numPr>
                <w:ilvl w:val="0"/>
                <w:numId w:val="0"/>
              </w:numPr>
              <w:wordWrap/>
              <w:spacing w:line="360" w:lineRule="auto"/>
              <w:ind w:firstLine="480" w:firstLineChars="200"/>
              <w:jc w:val="both"/>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⑥</w:t>
            </w:r>
            <w:r>
              <w:rPr>
                <w:rFonts w:hint="default" w:ascii="Times New Roman" w:hAnsi="Times New Roman" w:eastAsia="宋体" w:cs="Times New Roman"/>
                <w:kern w:val="0"/>
                <w:sz w:val="24"/>
                <w:szCs w:val="24"/>
                <w:highlight w:val="none"/>
              </w:rPr>
              <w:t>厂区降尘用水</w:t>
            </w:r>
          </w:p>
          <w:p>
            <w:pPr>
              <w:numPr>
                <w:ilvl w:val="0"/>
                <w:numId w:val="0"/>
              </w:numPr>
              <w:wordWrap/>
              <w:spacing w:line="360" w:lineRule="auto"/>
              <w:ind w:firstLine="480" w:firstLineChars="200"/>
              <w:jc w:val="both"/>
              <w:rPr>
                <w:rFonts w:hint="default" w:ascii="Times New Roman" w:hAnsi="Times New Roman" w:eastAsia="宋体" w:cs="Times New Roman"/>
                <w:kern w:val="0"/>
                <w:sz w:val="24"/>
                <w:szCs w:val="24"/>
                <w:highlight w:val="none"/>
                <w:u w:val="none"/>
              </w:rPr>
            </w:pPr>
            <w:r>
              <w:rPr>
                <w:rFonts w:hint="default" w:ascii="Times New Roman" w:hAnsi="Times New Roman" w:eastAsia="宋体" w:cs="Times New Roman"/>
                <w:kern w:val="0"/>
                <w:sz w:val="24"/>
                <w:szCs w:val="24"/>
                <w:highlight w:val="none"/>
                <w:u w:val="none"/>
              </w:rPr>
              <w:t>为控制扬尘，厂区需日常清扫并在晴天时洒水2~3次。降尘区域面积约</w:t>
            </w:r>
            <w:r>
              <w:rPr>
                <w:rFonts w:hint="default" w:ascii="Times New Roman" w:hAnsi="Times New Roman" w:eastAsia="宋体" w:cs="Times New Roman"/>
                <w:kern w:val="0"/>
                <w:sz w:val="24"/>
                <w:szCs w:val="24"/>
                <w:highlight w:val="none"/>
                <w:u w:val="none"/>
                <w:lang w:val="en-US" w:eastAsia="zh-CN"/>
              </w:rPr>
              <w:t>5</w:t>
            </w:r>
            <w:r>
              <w:rPr>
                <w:rFonts w:hint="default" w:ascii="Times New Roman" w:hAnsi="Times New Roman" w:eastAsia="宋体" w:cs="Times New Roman"/>
                <w:kern w:val="0"/>
                <w:sz w:val="24"/>
                <w:szCs w:val="24"/>
                <w:highlight w:val="none"/>
                <w:u w:val="none"/>
              </w:rPr>
              <w:t>000m</w:t>
            </w:r>
            <w:r>
              <w:rPr>
                <w:rFonts w:hint="default" w:ascii="Times New Roman" w:hAnsi="Times New Roman" w:eastAsia="宋体" w:cs="Times New Roman"/>
                <w:kern w:val="0"/>
                <w:sz w:val="24"/>
                <w:szCs w:val="24"/>
                <w:highlight w:val="none"/>
                <w:u w:val="none"/>
                <w:vertAlign w:val="superscript"/>
              </w:rPr>
              <w:t>2</w:t>
            </w:r>
            <w:r>
              <w:rPr>
                <w:rFonts w:hint="default" w:ascii="Times New Roman" w:hAnsi="Times New Roman" w:eastAsia="宋体" w:cs="Times New Roman"/>
                <w:kern w:val="0"/>
                <w:sz w:val="24"/>
                <w:szCs w:val="24"/>
                <w:highlight w:val="none"/>
                <w:u w:val="none"/>
              </w:rPr>
              <w:t>，用水量按0.3m</w:t>
            </w:r>
            <w:r>
              <w:rPr>
                <w:rFonts w:hint="default" w:ascii="Times New Roman" w:hAnsi="Times New Roman" w:eastAsia="宋体" w:cs="Times New Roman"/>
                <w:kern w:val="0"/>
                <w:sz w:val="24"/>
                <w:szCs w:val="24"/>
                <w:highlight w:val="none"/>
                <w:u w:val="none"/>
                <w:vertAlign w:val="superscript"/>
              </w:rPr>
              <w:t>3</w:t>
            </w:r>
            <w:r>
              <w:rPr>
                <w:rFonts w:hint="default" w:ascii="Times New Roman" w:hAnsi="Times New Roman" w:eastAsia="宋体" w:cs="Times New Roman"/>
                <w:kern w:val="0"/>
                <w:sz w:val="24"/>
                <w:szCs w:val="24"/>
                <w:highlight w:val="none"/>
                <w:u w:val="none"/>
              </w:rPr>
              <w:t>/（100m</w:t>
            </w:r>
            <w:r>
              <w:rPr>
                <w:rFonts w:hint="default" w:ascii="Times New Roman" w:hAnsi="Times New Roman" w:eastAsia="宋体" w:cs="Times New Roman"/>
                <w:kern w:val="0"/>
                <w:sz w:val="24"/>
                <w:szCs w:val="24"/>
                <w:highlight w:val="none"/>
                <w:u w:val="none"/>
                <w:vertAlign w:val="superscript"/>
              </w:rPr>
              <w:t>2</w:t>
            </w:r>
            <w:r>
              <w:rPr>
                <w:rFonts w:hint="default" w:ascii="Times New Roman" w:hAnsi="Times New Roman" w:eastAsia="宋体" w:cs="Times New Roman"/>
                <w:kern w:val="0"/>
                <w:sz w:val="24"/>
                <w:szCs w:val="24"/>
                <w:highlight w:val="none"/>
                <w:u w:val="none"/>
              </w:rPr>
              <w:t>·d）计。参考相关资料，当地年均晴天数约</w:t>
            </w:r>
            <w:r>
              <w:rPr>
                <w:rFonts w:hint="default" w:ascii="Times New Roman" w:hAnsi="Times New Roman" w:eastAsia="宋体" w:cs="Times New Roman"/>
                <w:kern w:val="0"/>
                <w:sz w:val="24"/>
                <w:szCs w:val="24"/>
                <w:highlight w:val="none"/>
                <w:u w:val="none"/>
                <w:lang w:val="en-US" w:eastAsia="zh-CN"/>
              </w:rPr>
              <w:t>20</w:t>
            </w:r>
            <w:r>
              <w:rPr>
                <w:rFonts w:hint="default" w:ascii="Times New Roman" w:hAnsi="Times New Roman" w:eastAsia="宋体" w:cs="Times New Roman"/>
                <w:kern w:val="0"/>
                <w:sz w:val="24"/>
                <w:szCs w:val="24"/>
                <w:highlight w:val="none"/>
                <w:u w:val="none"/>
              </w:rPr>
              <w:t>0天，</w:t>
            </w:r>
            <w:r>
              <w:rPr>
                <w:rFonts w:hint="default" w:ascii="Times New Roman" w:hAnsi="Times New Roman" w:eastAsia="宋体" w:cs="Times New Roman"/>
                <w:kern w:val="0"/>
                <w:sz w:val="24"/>
                <w:szCs w:val="24"/>
                <w:highlight w:val="none"/>
                <w:u w:val="none"/>
                <w:lang w:val="en-US" w:eastAsia="zh-CN"/>
              </w:rPr>
              <w:t>本项目需洒水降尘的天数约为100天，</w:t>
            </w:r>
            <w:r>
              <w:rPr>
                <w:rFonts w:hint="default" w:ascii="Times New Roman" w:hAnsi="Times New Roman" w:eastAsia="宋体" w:cs="Times New Roman"/>
                <w:kern w:val="0"/>
                <w:sz w:val="24"/>
                <w:szCs w:val="24"/>
                <w:highlight w:val="none"/>
                <w:u w:val="none"/>
              </w:rPr>
              <w:t>则降尘用水量为</w:t>
            </w:r>
            <w:r>
              <w:rPr>
                <w:rFonts w:hint="default" w:ascii="Times New Roman" w:hAnsi="Times New Roman" w:eastAsia="宋体" w:cs="Times New Roman"/>
                <w:kern w:val="0"/>
                <w:sz w:val="24"/>
                <w:szCs w:val="24"/>
                <w:highlight w:val="none"/>
                <w:u w:val="none"/>
                <w:lang w:val="en-US" w:eastAsia="zh-CN"/>
              </w:rPr>
              <w:t>1500</w:t>
            </w:r>
            <w:r>
              <w:rPr>
                <w:rFonts w:hint="default" w:ascii="Times New Roman" w:hAnsi="Times New Roman" w:eastAsia="宋体" w:cs="Times New Roman"/>
                <w:kern w:val="0"/>
                <w:sz w:val="24"/>
                <w:szCs w:val="24"/>
                <w:highlight w:val="none"/>
                <w:u w:val="none"/>
              </w:rPr>
              <w:t>m</w:t>
            </w:r>
            <w:r>
              <w:rPr>
                <w:rFonts w:hint="default" w:ascii="Times New Roman" w:hAnsi="Times New Roman" w:eastAsia="宋体" w:cs="Times New Roman"/>
                <w:kern w:val="0"/>
                <w:sz w:val="24"/>
                <w:szCs w:val="24"/>
                <w:highlight w:val="none"/>
                <w:u w:val="none"/>
                <w:vertAlign w:val="superscript"/>
              </w:rPr>
              <w:t>3</w:t>
            </w:r>
            <w:r>
              <w:rPr>
                <w:rFonts w:hint="default" w:ascii="Times New Roman" w:hAnsi="Times New Roman" w:eastAsia="宋体" w:cs="Times New Roman"/>
                <w:kern w:val="0"/>
                <w:sz w:val="24"/>
                <w:szCs w:val="24"/>
                <w:highlight w:val="none"/>
                <w:u w:val="none"/>
              </w:rPr>
              <w:t>/a。项目降尘用水直接蒸发损耗，不产生降尘废水。</w:t>
            </w:r>
          </w:p>
          <w:p>
            <w:pPr>
              <w:pStyle w:val="24"/>
              <w:spacing w:line="360" w:lineRule="auto"/>
              <w:ind w:firstLine="420"/>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auto"/>
                <w:sz w:val="24"/>
                <w:szCs w:val="24"/>
                <w:highlight w:val="none"/>
              </w:rPr>
              <w:t>建设单位在骨料堆棚</w:t>
            </w:r>
            <w:r>
              <w:rPr>
                <w:rFonts w:hint="default" w:ascii="Times New Roman" w:hAnsi="Times New Roman" w:eastAsia="宋体" w:cs="Times New Roman"/>
                <w:color w:val="auto"/>
                <w:sz w:val="24"/>
                <w:szCs w:val="24"/>
                <w:highlight w:val="none"/>
                <w:lang w:val="en-US" w:eastAsia="zh-CN"/>
              </w:rPr>
              <w:t>内</w:t>
            </w:r>
            <w:r>
              <w:rPr>
                <w:rFonts w:hint="default" w:ascii="Times New Roman" w:hAnsi="Times New Roman" w:eastAsia="宋体" w:cs="Times New Roman"/>
                <w:color w:val="auto"/>
                <w:sz w:val="24"/>
                <w:szCs w:val="24"/>
                <w:highlight w:val="none"/>
              </w:rPr>
              <w:t>安装雾化喷头，</w:t>
            </w:r>
            <w:r>
              <w:rPr>
                <w:rFonts w:hint="eastAsia" w:ascii="Times New Roman" w:hAnsi="Times New Roman" w:eastAsia="宋体" w:cs="Times New Roman"/>
                <w:color w:val="auto"/>
                <w:sz w:val="24"/>
                <w:szCs w:val="24"/>
                <w:highlight w:val="none"/>
                <w:lang w:val="en-US" w:eastAsia="zh-CN"/>
              </w:rPr>
              <w:t>堆场区面积约4200m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，每个喷头的作用面积为10m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设雾化喷头</w:t>
            </w:r>
            <w:r>
              <w:rPr>
                <w:rFonts w:hint="eastAsia" w:ascii="Times New Roman" w:hAnsi="Times New Roman" w:eastAsia="宋体" w:cs="Times New Roman"/>
                <w:color w:val="auto"/>
                <w:sz w:val="24"/>
                <w:szCs w:val="24"/>
                <w:highlight w:val="none"/>
                <w:lang w:val="en-US" w:eastAsia="zh-CN"/>
              </w:rPr>
              <w:t>约420</w:t>
            </w:r>
            <w:r>
              <w:rPr>
                <w:rFonts w:hint="default" w:ascii="Times New Roman" w:hAnsi="Times New Roman" w:eastAsia="宋体" w:cs="Times New Roman"/>
                <w:color w:val="auto"/>
                <w:sz w:val="24"/>
                <w:szCs w:val="24"/>
                <w:highlight w:val="none"/>
              </w:rPr>
              <w:t>个，单个喷头喷雾</w:t>
            </w:r>
            <w:r>
              <w:rPr>
                <w:rFonts w:hint="eastAsia" w:ascii="Times New Roman" w:hAnsi="Times New Roman" w:eastAsia="宋体" w:cs="Times New Roman"/>
                <w:color w:val="auto"/>
                <w:sz w:val="24"/>
                <w:szCs w:val="24"/>
                <w:highlight w:val="none"/>
                <w:lang w:val="en-US" w:eastAsia="zh-CN"/>
              </w:rPr>
              <w:t>时</w:t>
            </w:r>
            <w:r>
              <w:rPr>
                <w:rFonts w:hint="default" w:ascii="Times New Roman" w:hAnsi="Times New Roman" w:eastAsia="宋体" w:cs="Times New Roman"/>
                <w:color w:val="auto"/>
                <w:sz w:val="24"/>
                <w:szCs w:val="24"/>
                <w:highlight w:val="none"/>
              </w:rPr>
              <w:t>所需水量约0.72L/min。</w:t>
            </w:r>
            <w:r>
              <w:rPr>
                <w:rFonts w:hint="eastAsia" w:ascii="Times New Roman" w:hAnsi="Times New Roman" w:eastAsia="宋体" w:cs="Times New Roman"/>
                <w:color w:val="0000FF"/>
                <w:sz w:val="24"/>
                <w:szCs w:val="24"/>
                <w:highlight w:val="none"/>
                <w:lang w:val="en-US" w:eastAsia="zh-CN"/>
              </w:rPr>
              <w:t>一般情况下喷淋强度不低于4次/天，每次不低于20分钟。</w:t>
            </w:r>
            <w:r>
              <w:rPr>
                <w:rFonts w:hint="default" w:ascii="Times New Roman" w:hAnsi="Times New Roman" w:eastAsia="宋体" w:cs="Times New Roman"/>
                <w:color w:val="0000FF"/>
                <w:sz w:val="24"/>
                <w:szCs w:val="24"/>
                <w:highlight w:val="none"/>
              </w:rPr>
              <w:t>则雾化喷淋水量为</w:t>
            </w:r>
            <w:r>
              <w:rPr>
                <w:rFonts w:hint="eastAsia" w:ascii="Times New Roman" w:hAnsi="Times New Roman" w:eastAsia="宋体" w:cs="Times New Roman"/>
                <w:color w:val="0000FF"/>
                <w:sz w:val="24"/>
                <w:szCs w:val="24"/>
                <w:highlight w:val="none"/>
                <w:lang w:val="en-US" w:eastAsia="zh-CN"/>
              </w:rPr>
              <w:t>24.2</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/d（</w:t>
            </w:r>
            <w:r>
              <w:rPr>
                <w:rFonts w:hint="eastAsia" w:ascii="Times New Roman" w:hAnsi="Times New Roman" w:eastAsia="宋体" w:cs="Times New Roman"/>
                <w:color w:val="0000FF"/>
                <w:sz w:val="24"/>
                <w:szCs w:val="24"/>
                <w:highlight w:val="none"/>
                <w:lang w:val="en-US" w:eastAsia="zh-CN"/>
              </w:rPr>
              <w:t>7986</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/a）。</w:t>
            </w:r>
          </w:p>
          <w:p>
            <w:pPr>
              <w:pStyle w:val="24"/>
              <w:spacing w:line="360" w:lineRule="auto"/>
              <w:ind w:firstLine="42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建设单位拟将搅拌区加盖设为封闭车间，搅拌区占地面积</w:t>
            </w:r>
            <w:r>
              <w:rPr>
                <w:rFonts w:hint="default" w:ascii="Times New Roman" w:hAnsi="Times New Roman" w:eastAsia="宋体" w:cs="Times New Roman"/>
                <w:color w:val="0000FF"/>
                <w:sz w:val="24"/>
                <w:szCs w:val="24"/>
                <w:highlight w:val="none"/>
                <w:lang w:val="en-US" w:eastAsia="zh-CN"/>
              </w:rPr>
              <w:t>1361.68</w:t>
            </w:r>
            <w:r>
              <w:rPr>
                <w:rFonts w:hint="eastAsia" w:ascii="Times New Roman" w:hAnsi="Times New Roman" w:eastAsia="宋体" w:cs="Times New Roman"/>
                <w:color w:val="0000FF"/>
                <w:sz w:val="24"/>
                <w:szCs w:val="24"/>
                <w:highlight w:val="none"/>
                <w:lang w:val="en-US" w:eastAsia="zh-CN"/>
              </w:rPr>
              <w:t>m</w:t>
            </w:r>
            <w:r>
              <w:rPr>
                <w:rFonts w:hint="eastAsia" w:ascii="Times New Roman" w:hAnsi="Times New Roman" w:eastAsia="宋体" w:cs="Times New Roman"/>
                <w:color w:val="0000FF"/>
                <w:sz w:val="24"/>
                <w:szCs w:val="24"/>
                <w:highlight w:val="none"/>
                <w:vertAlign w:val="superscript"/>
                <w:lang w:val="en-US" w:eastAsia="zh-CN"/>
              </w:rPr>
              <w:t>2</w:t>
            </w:r>
            <w:r>
              <w:rPr>
                <w:rFonts w:hint="eastAsia" w:ascii="Times New Roman" w:hAnsi="Times New Roman" w:eastAsia="宋体" w:cs="Times New Roman"/>
                <w:color w:val="0000FF"/>
                <w:sz w:val="24"/>
                <w:szCs w:val="24"/>
                <w:highlight w:val="none"/>
                <w:lang w:val="en-US" w:eastAsia="zh-CN"/>
              </w:rPr>
              <w:t>，本次按1400m</w:t>
            </w:r>
            <w:r>
              <w:rPr>
                <w:rFonts w:hint="eastAsia" w:ascii="Times New Roman" w:hAnsi="Times New Roman" w:eastAsia="宋体" w:cs="Times New Roman"/>
                <w:color w:val="0000FF"/>
                <w:sz w:val="24"/>
                <w:szCs w:val="24"/>
                <w:highlight w:val="none"/>
                <w:vertAlign w:val="superscript"/>
                <w:lang w:val="en-US" w:eastAsia="zh-CN"/>
              </w:rPr>
              <w:t>2</w:t>
            </w:r>
            <w:r>
              <w:rPr>
                <w:rFonts w:hint="eastAsia" w:ascii="Times New Roman" w:hAnsi="Times New Roman" w:eastAsia="宋体" w:cs="Times New Roman"/>
                <w:color w:val="0000FF"/>
                <w:sz w:val="24"/>
                <w:szCs w:val="24"/>
                <w:highlight w:val="none"/>
                <w:lang w:val="en-US" w:eastAsia="zh-CN"/>
              </w:rPr>
              <w:t>考虑，则需安装喷头140个，每天喷淋4次，每次喷淋时间20分钟，则搅拌车间内的喷淋用水为8.06</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/d（</w:t>
            </w:r>
            <w:r>
              <w:rPr>
                <w:rFonts w:hint="eastAsia" w:ascii="Times New Roman" w:hAnsi="Times New Roman" w:eastAsia="宋体" w:cs="Times New Roman"/>
                <w:color w:val="0000FF"/>
                <w:sz w:val="24"/>
                <w:szCs w:val="24"/>
                <w:highlight w:val="none"/>
                <w:lang w:val="en-US" w:eastAsia="zh-CN"/>
              </w:rPr>
              <w:t>2662</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/a）。</w:t>
            </w:r>
          </w:p>
          <w:p>
            <w:pPr>
              <w:pStyle w:val="24"/>
              <w:spacing w:line="360" w:lineRule="auto"/>
              <w:ind w:firstLine="420"/>
              <w:rPr>
                <w:rFonts w:hint="default" w:ascii="Times New Roman" w:hAnsi="Times New Roman" w:eastAsia="宋体" w:cs="Times New Roman"/>
                <w:color w:val="0000FF"/>
                <w:sz w:val="24"/>
                <w:szCs w:val="24"/>
                <w:highlight w:val="none"/>
              </w:rPr>
            </w:pPr>
            <w:r>
              <w:rPr>
                <w:rFonts w:hint="eastAsia" w:ascii="Times New Roman" w:hAnsi="Times New Roman" w:eastAsia="宋体" w:cs="Times New Roman"/>
                <w:color w:val="0000FF"/>
                <w:sz w:val="24"/>
                <w:szCs w:val="24"/>
                <w:highlight w:val="none"/>
                <w:lang w:val="en-US" w:eastAsia="zh-CN"/>
              </w:rPr>
              <w:t>喷淋用水总量为10648</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/a</w:t>
            </w:r>
            <w:r>
              <w:rPr>
                <w:rFonts w:hint="eastAsia" w:ascii="Times New Roman" w:hAnsi="Times New Roman" w:eastAsia="宋体" w:cs="Times New Roman"/>
                <w:color w:val="0000FF"/>
                <w:sz w:val="24"/>
                <w:szCs w:val="24"/>
                <w:highlight w:val="none"/>
                <w:lang w:eastAsia="zh-CN"/>
              </w:rPr>
              <w:t>，</w:t>
            </w:r>
            <w:r>
              <w:rPr>
                <w:rFonts w:hint="eastAsia" w:ascii="Times New Roman" w:hAnsi="Times New Roman" w:eastAsia="宋体" w:cs="Times New Roman"/>
                <w:color w:val="0000FF"/>
                <w:sz w:val="24"/>
                <w:szCs w:val="24"/>
                <w:highlight w:val="none"/>
                <w:lang w:val="en-US" w:eastAsia="zh-CN"/>
              </w:rPr>
              <w:t>厂区降尘用水总量为12148</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rPr>
              <w:t>/a</w:t>
            </w:r>
            <w:r>
              <w:rPr>
                <w:rFonts w:hint="eastAsia" w:ascii="Times New Roman" w:hAnsi="Times New Roman" w:eastAsia="宋体" w:cs="Times New Roman"/>
                <w:color w:val="0000FF"/>
                <w:sz w:val="24"/>
                <w:szCs w:val="24"/>
                <w:highlight w:val="none"/>
                <w:lang w:eastAsia="zh-CN"/>
              </w:rPr>
              <w:t>。</w:t>
            </w:r>
            <w:r>
              <w:rPr>
                <w:rFonts w:hint="default" w:ascii="Times New Roman" w:hAnsi="Times New Roman" w:eastAsia="宋体" w:cs="Times New Roman"/>
                <w:color w:val="0000FF"/>
                <w:sz w:val="24"/>
                <w:szCs w:val="24"/>
                <w:highlight w:val="none"/>
              </w:rPr>
              <w:t>降尘用水全部蒸发损耗，无废水产生或外排。</w:t>
            </w:r>
          </w:p>
          <w:p>
            <w:pPr>
              <w:pStyle w:val="33"/>
              <w:spacing w:line="240" w:lineRule="auto"/>
              <w:ind w:firstLine="0" w:firstLineChars="0"/>
              <w:jc w:val="center"/>
              <w:rPr>
                <w:rFonts w:hint="default" w:ascii="Times New Roman" w:hAnsi="Times New Roman" w:eastAsia="宋体" w:cs="Times New Roman"/>
                <w:b/>
                <w:bCs/>
                <w:kern w:val="2"/>
                <w:sz w:val="21"/>
                <w:szCs w:val="21"/>
                <w:highlight w:val="none"/>
                <w:u w:val="none"/>
              </w:rPr>
            </w:pPr>
            <w:r>
              <w:rPr>
                <w:rFonts w:hint="default" w:ascii="Times New Roman" w:hAnsi="Times New Roman" w:eastAsia="宋体" w:cs="Times New Roman"/>
                <w:b/>
                <w:bCs/>
                <w:kern w:val="2"/>
                <w:sz w:val="21"/>
                <w:szCs w:val="21"/>
                <w:highlight w:val="none"/>
                <w:u w:val="none"/>
              </w:rPr>
              <w:t>表</w:t>
            </w:r>
            <w:r>
              <w:rPr>
                <w:rFonts w:hint="default" w:ascii="Times New Roman" w:hAnsi="Times New Roman" w:eastAsia="宋体" w:cs="Times New Roman"/>
                <w:b/>
                <w:bCs/>
                <w:kern w:val="2"/>
                <w:sz w:val="21"/>
                <w:szCs w:val="21"/>
                <w:highlight w:val="none"/>
                <w:u w:val="none"/>
                <w:lang w:val="en-US" w:eastAsia="zh-CN"/>
              </w:rPr>
              <w:t>4-</w:t>
            </w:r>
            <w:r>
              <w:rPr>
                <w:rFonts w:hint="eastAsia" w:ascii="Times New Roman" w:hAnsi="Times New Roman" w:eastAsia="宋体" w:cs="Times New Roman"/>
                <w:b/>
                <w:bCs/>
                <w:kern w:val="2"/>
                <w:sz w:val="21"/>
                <w:szCs w:val="21"/>
                <w:highlight w:val="none"/>
                <w:u w:val="none"/>
                <w:lang w:val="en-US" w:eastAsia="zh-CN"/>
              </w:rPr>
              <w:t>5</w:t>
            </w:r>
            <w:r>
              <w:rPr>
                <w:rFonts w:hint="default" w:ascii="Times New Roman" w:hAnsi="Times New Roman" w:eastAsia="宋体" w:cs="Times New Roman"/>
                <w:b/>
                <w:bCs/>
                <w:kern w:val="2"/>
                <w:sz w:val="21"/>
                <w:szCs w:val="21"/>
                <w:highlight w:val="none"/>
                <w:u w:val="none"/>
              </w:rPr>
              <w:t xml:space="preserve"> </w:t>
            </w:r>
            <w:r>
              <w:rPr>
                <w:rFonts w:hint="default" w:ascii="Times New Roman" w:hAnsi="Times New Roman" w:eastAsia="宋体" w:cs="Times New Roman"/>
                <w:b/>
                <w:bCs/>
                <w:kern w:val="2"/>
                <w:sz w:val="21"/>
                <w:szCs w:val="21"/>
                <w:highlight w:val="none"/>
                <w:u w:val="none"/>
                <w:lang w:val="en-US" w:eastAsia="zh-CN"/>
              </w:rPr>
              <w:t xml:space="preserve">  </w:t>
            </w:r>
            <w:r>
              <w:rPr>
                <w:rFonts w:hint="default" w:ascii="Times New Roman" w:hAnsi="Times New Roman" w:eastAsia="宋体" w:cs="Times New Roman"/>
                <w:b/>
                <w:bCs/>
                <w:kern w:val="2"/>
                <w:sz w:val="21"/>
                <w:szCs w:val="21"/>
                <w:highlight w:val="none"/>
                <w:u w:val="none"/>
              </w:rPr>
              <w:t>项目用水情况一览表</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934"/>
              <w:gridCol w:w="1095"/>
              <w:gridCol w:w="1050"/>
              <w:gridCol w:w="1545"/>
              <w:gridCol w:w="1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序号</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废水产生工序</w:t>
                  </w:r>
                </w:p>
              </w:tc>
              <w:tc>
                <w:tcPr>
                  <w:tcW w:w="109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用水量</w:t>
                  </w:r>
                </w:p>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w:t>
                  </w:r>
                  <w:r>
                    <w:rPr>
                      <w:rFonts w:hint="default" w:ascii="Times New Roman" w:hAnsi="Times New Roman" w:eastAsia="宋体" w:cs="Times New Roman"/>
                      <w:b/>
                      <w:bCs/>
                      <w:sz w:val="21"/>
                      <w:szCs w:val="21"/>
                      <w:highlight w:val="none"/>
                      <w:u w:val="none"/>
                      <w:lang w:val="en-US" w:eastAsia="zh-CN"/>
                    </w:rPr>
                    <w:t>m</w:t>
                  </w:r>
                  <w:r>
                    <w:rPr>
                      <w:rFonts w:hint="default" w:ascii="Times New Roman" w:hAnsi="Times New Roman" w:eastAsia="宋体" w:cs="Times New Roman"/>
                      <w:b/>
                      <w:bCs/>
                      <w:sz w:val="21"/>
                      <w:szCs w:val="21"/>
                      <w:highlight w:val="none"/>
                      <w:u w:val="none"/>
                      <w:vertAlign w:val="superscript"/>
                      <w:lang w:val="en-US" w:eastAsia="zh-CN"/>
                    </w:rPr>
                    <w:t>3</w:t>
                  </w:r>
                  <w:r>
                    <w:rPr>
                      <w:rFonts w:hint="default" w:ascii="Times New Roman" w:hAnsi="Times New Roman" w:eastAsia="宋体" w:cs="Times New Roman"/>
                      <w:b/>
                      <w:bCs/>
                      <w:sz w:val="21"/>
                      <w:szCs w:val="21"/>
                      <w:highlight w:val="none"/>
                      <w:u w:val="none"/>
                    </w:rPr>
                    <w:t>/a）</w:t>
                  </w:r>
                </w:p>
              </w:tc>
              <w:tc>
                <w:tcPr>
                  <w:tcW w:w="1050"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废水量</w:t>
                  </w:r>
                </w:p>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w:t>
                  </w:r>
                  <w:r>
                    <w:rPr>
                      <w:rFonts w:hint="default" w:ascii="Times New Roman" w:hAnsi="Times New Roman" w:eastAsia="宋体" w:cs="Times New Roman"/>
                      <w:b/>
                      <w:bCs/>
                      <w:sz w:val="21"/>
                      <w:szCs w:val="21"/>
                      <w:highlight w:val="none"/>
                      <w:u w:val="none"/>
                      <w:lang w:val="en-US" w:eastAsia="zh-CN"/>
                    </w:rPr>
                    <w:t>m</w:t>
                  </w:r>
                  <w:r>
                    <w:rPr>
                      <w:rFonts w:hint="default" w:ascii="Times New Roman" w:hAnsi="Times New Roman" w:eastAsia="宋体" w:cs="Times New Roman"/>
                      <w:b/>
                      <w:bCs/>
                      <w:sz w:val="21"/>
                      <w:szCs w:val="21"/>
                      <w:highlight w:val="none"/>
                      <w:u w:val="none"/>
                      <w:vertAlign w:val="superscript"/>
                      <w:lang w:val="en-US" w:eastAsia="zh-CN"/>
                    </w:rPr>
                    <w:t>3</w:t>
                  </w:r>
                  <w:r>
                    <w:rPr>
                      <w:rFonts w:hint="default" w:ascii="Times New Roman" w:hAnsi="Times New Roman" w:eastAsia="宋体" w:cs="Times New Roman"/>
                      <w:b/>
                      <w:bCs/>
                      <w:sz w:val="21"/>
                      <w:szCs w:val="21"/>
                      <w:highlight w:val="none"/>
                      <w:u w:val="none"/>
                    </w:rPr>
                    <w:t>/a）</w:t>
                  </w:r>
                </w:p>
              </w:tc>
              <w:tc>
                <w:tcPr>
                  <w:tcW w:w="154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污染物</w:t>
                  </w:r>
                </w:p>
              </w:tc>
              <w:tc>
                <w:tcPr>
                  <w:tcW w:w="1939"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处理措施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1</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生活用水</w:t>
                  </w:r>
                </w:p>
              </w:tc>
              <w:tc>
                <w:tcPr>
                  <w:tcW w:w="109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1683</w:t>
                  </w:r>
                </w:p>
              </w:tc>
              <w:tc>
                <w:tcPr>
                  <w:tcW w:w="1050"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1514.7</w:t>
                  </w:r>
                </w:p>
              </w:tc>
              <w:tc>
                <w:tcPr>
                  <w:tcW w:w="1545" w:type="dxa"/>
                  <w:tcBorders>
                    <w:tl2br w:val="nil"/>
                    <w:tr2bl w:val="nil"/>
                  </w:tcBorders>
                  <w:noWrap w:val="0"/>
                  <w:vAlign w:val="center"/>
                </w:tcPr>
                <w:p>
                  <w:pPr>
                    <w:pStyle w:val="32"/>
                    <w:kinsoku w:val="0"/>
                    <w:overflowPunct w:val="0"/>
                    <w:spacing w:before="8" w:line="240" w:lineRule="auto"/>
                    <w:jc w:val="both"/>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NH</w:t>
                  </w:r>
                  <w:r>
                    <w:rPr>
                      <w:rFonts w:hint="default" w:ascii="Times New Roman" w:hAnsi="Times New Roman" w:eastAsia="宋体" w:cs="Times New Roman"/>
                      <w:sz w:val="21"/>
                      <w:szCs w:val="21"/>
                      <w:highlight w:val="none"/>
                      <w:u w:val="none"/>
                      <w:vertAlign w:val="subscript"/>
                    </w:rPr>
                    <w:t>3</w:t>
                  </w:r>
                  <w:r>
                    <w:rPr>
                      <w:rFonts w:hint="default" w:ascii="Times New Roman" w:hAnsi="Times New Roman" w:eastAsia="宋体" w:cs="Times New Roman"/>
                      <w:sz w:val="21"/>
                      <w:szCs w:val="21"/>
                      <w:highlight w:val="none"/>
                      <w:u w:val="none"/>
                    </w:rPr>
                    <w:t>-N、SS、COD、BOD</w:t>
                  </w:r>
                  <w:r>
                    <w:rPr>
                      <w:rFonts w:hint="eastAsia" w:ascii="Times New Roman" w:hAnsi="Times New Roman" w:eastAsia="宋体" w:cs="Times New Roman"/>
                      <w:sz w:val="21"/>
                      <w:szCs w:val="21"/>
                      <w:highlight w:val="none"/>
                      <w:u w:val="none"/>
                      <w:vertAlign w:val="subscript"/>
                      <w:lang w:val="en-US" w:eastAsia="zh-CN"/>
                    </w:rPr>
                    <w:t>5</w:t>
                  </w:r>
                </w:p>
              </w:tc>
              <w:tc>
                <w:tcPr>
                  <w:tcW w:w="1939"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color w:val="0000FF"/>
                      <w:sz w:val="21"/>
                      <w:szCs w:val="21"/>
                      <w:lang w:val="en-US" w:eastAsia="zh-CN"/>
                    </w:rPr>
                    <w:t>生化池预</w:t>
                  </w:r>
                  <w:r>
                    <w:rPr>
                      <w:rFonts w:hint="default" w:ascii="Times New Roman" w:hAnsi="Times New Roman" w:eastAsia="宋体" w:cs="Times New Roman"/>
                      <w:color w:val="0000FF"/>
                      <w:sz w:val="21"/>
                      <w:szCs w:val="21"/>
                      <w:lang w:val="en-US" w:eastAsia="zh-CN"/>
                    </w:rPr>
                    <w:t>处理后</w:t>
                  </w:r>
                  <w:r>
                    <w:rPr>
                      <w:rFonts w:hint="eastAsia" w:ascii="Times New Roman" w:hAnsi="Times New Roman" w:eastAsia="宋体" w:cs="Times New Roman"/>
                      <w:color w:val="0000FF"/>
                      <w:sz w:val="21"/>
                      <w:szCs w:val="21"/>
                      <w:lang w:val="en-US" w:eastAsia="zh-CN"/>
                    </w:rPr>
                    <w:t>进辰溪县污水处理厂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2</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产品配料用水</w:t>
                  </w:r>
                </w:p>
              </w:tc>
              <w:tc>
                <w:tcPr>
                  <w:tcW w:w="109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10</w:t>
                  </w:r>
                  <w:r>
                    <w:rPr>
                      <w:rFonts w:hint="eastAsia" w:ascii="Times New Roman" w:hAnsi="Times New Roman" w:eastAsia="宋体" w:cs="Times New Roman"/>
                      <w:sz w:val="21"/>
                      <w:szCs w:val="21"/>
                      <w:highlight w:val="none"/>
                      <w:u w:val="none"/>
                      <w:lang w:val="en-US" w:eastAsia="zh-CN"/>
                    </w:rPr>
                    <w:t>8000</w:t>
                  </w:r>
                </w:p>
              </w:tc>
              <w:tc>
                <w:tcPr>
                  <w:tcW w:w="1050"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0</w:t>
                  </w:r>
                </w:p>
              </w:tc>
              <w:tc>
                <w:tcPr>
                  <w:tcW w:w="154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w:t>
                  </w:r>
                </w:p>
              </w:tc>
              <w:tc>
                <w:tcPr>
                  <w:tcW w:w="1939"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进入产品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3</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搅拌</w:t>
                  </w:r>
                  <w:r>
                    <w:rPr>
                      <w:rFonts w:hint="eastAsia" w:ascii="Times New Roman" w:hAnsi="Times New Roman" w:eastAsia="宋体" w:cs="Times New Roman"/>
                      <w:sz w:val="21"/>
                      <w:szCs w:val="21"/>
                      <w:highlight w:val="none"/>
                      <w:u w:val="none"/>
                      <w:lang w:val="en-US" w:eastAsia="zh-CN"/>
                    </w:rPr>
                    <w:t>机</w:t>
                  </w:r>
                  <w:r>
                    <w:rPr>
                      <w:rFonts w:hint="default" w:ascii="Times New Roman" w:hAnsi="Times New Roman" w:eastAsia="宋体" w:cs="Times New Roman"/>
                      <w:sz w:val="21"/>
                      <w:szCs w:val="21"/>
                      <w:highlight w:val="none"/>
                      <w:u w:val="none"/>
                    </w:rPr>
                    <w:t>清洗水</w:t>
                  </w:r>
                </w:p>
              </w:tc>
              <w:tc>
                <w:tcPr>
                  <w:tcW w:w="109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1320</w:t>
                  </w:r>
                </w:p>
              </w:tc>
              <w:tc>
                <w:tcPr>
                  <w:tcW w:w="1050"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1056</w:t>
                  </w:r>
                </w:p>
              </w:tc>
              <w:tc>
                <w:tcPr>
                  <w:tcW w:w="154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SS</w:t>
                  </w:r>
                </w:p>
              </w:tc>
              <w:tc>
                <w:tcPr>
                  <w:tcW w:w="1939"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沉淀后回用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4</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1"/>
                      <w:szCs w:val="21"/>
                      <w:highlight w:val="none"/>
                      <w:u w:val="none"/>
                    </w:rPr>
                    <w:t>清洗水</w:t>
                  </w:r>
                </w:p>
              </w:tc>
              <w:tc>
                <w:tcPr>
                  <w:tcW w:w="109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15</w:t>
                  </w:r>
                  <w:r>
                    <w:rPr>
                      <w:rFonts w:hint="eastAsia" w:ascii="Times New Roman" w:hAnsi="Times New Roman" w:eastAsia="宋体" w:cs="Times New Roman"/>
                      <w:color w:val="auto"/>
                      <w:sz w:val="21"/>
                      <w:szCs w:val="21"/>
                      <w:highlight w:val="none"/>
                      <w:u w:val="none"/>
                      <w:lang w:val="en-US" w:eastAsia="zh-CN"/>
                    </w:rPr>
                    <w:t>000</w:t>
                  </w:r>
                </w:p>
              </w:tc>
              <w:tc>
                <w:tcPr>
                  <w:tcW w:w="1050"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12</w:t>
                  </w:r>
                  <w:r>
                    <w:rPr>
                      <w:rFonts w:hint="eastAsia" w:ascii="Times New Roman" w:hAnsi="Times New Roman" w:eastAsia="宋体" w:cs="Times New Roman"/>
                      <w:color w:val="auto"/>
                      <w:sz w:val="21"/>
                      <w:szCs w:val="21"/>
                      <w:highlight w:val="none"/>
                      <w:u w:val="none"/>
                      <w:lang w:val="en-US" w:eastAsia="zh-CN"/>
                    </w:rPr>
                    <w:t>000</w:t>
                  </w:r>
                </w:p>
              </w:tc>
              <w:tc>
                <w:tcPr>
                  <w:tcW w:w="154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SS</w:t>
                  </w:r>
                </w:p>
              </w:tc>
              <w:tc>
                <w:tcPr>
                  <w:tcW w:w="1939" w:type="dxa"/>
                  <w:tcBorders>
                    <w:tl2br w:val="nil"/>
                    <w:tr2bl w:val="nil"/>
                  </w:tcBorders>
                  <w:noWrap w:val="0"/>
                  <w:vAlign w:val="center"/>
                </w:tcPr>
                <w:p>
                  <w:pPr>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沉淀后回用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5</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lang w:val="en-US" w:eastAsia="zh-CN"/>
                    </w:rPr>
                    <w:t>搅拌区</w:t>
                  </w:r>
                  <w:r>
                    <w:rPr>
                      <w:rFonts w:hint="default" w:ascii="Times New Roman" w:hAnsi="Times New Roman" w:eastAsia="宋体" w:cs="Times New Roman"/>
                      <w:sz w:val="21"/>
                      <w:szCs w:val="21"/>
                      <w:highlight w:val="none"/>
                      <w:u w:val="none"/>
                      <w:lang w:val="en-US" w:eastAsia="zh-CN"/>
                    </w:rPr>
                    <w:t xml:space="preserve">地面清洗水 </w:t>
                  </w:r>
                </w:p>
              </w:tc>
              <w:tc>
                <w:tcPr>
                  <w:tcW w:w="10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898.71</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u w:val="none"/>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718.97 </w:t>
                  </w:r>
                </w:p>
              </w:tc>
              <w:tc>
                <w:tcPr>
                  <w:tcW w:w="154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SS</w:t>
                  </w:r>
                </w:p>
              </w:tc>
              <w:tc>
                <w:tcPr>
                  <w:tcW w:w="1939" w:type="dxa"/>
                  <w:tcBorders>
                    <w:tl2br w:val="nil"/>
                    <w:tr2bl w:val="nil"/>
                  </w:tcBorders>
                  <w:noWrap w:val="0"/>
                  <w:vAlign w:val="center"/>
                </w:tcPr>
                <w:p>
                  <w:pPr>
                    <w:kinsoku w:val="0"/>
                    <w:overflowPunct w:val="0"/>
                    <w:spacing w:before="8"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沉淀后回用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napToGrid w:val="0"/>
                      <w:color w:val="000000"/>
                      <w:kern w:val="0"/>
                      <w:sz w:val="21"/>
                      <w:szCs w:val="21"/>
                      <w:highlight w:val="none"/>
                      <w:u w:val="none"/>
                    </w:rPr>
                  </w:pPr>
                  <w:r>
                    <w:rPr>
                      <w:rFonts w:hint="default" w:ascii="Times New Roman" w:hAnsi="Times New Roman" w:eastAsia="宋体" w:cs="Times New Roman"/>
                      <w:sz w:val="21"/>
                      <w:szCs w:val="21"/>
                      <w:highlight w:val="none"/>
                      <w:u w:val="none"/>
                    </w:rPr>
                    <w:t>6</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进出车辆冲洗水</w:t>
                  </w:r>
                </w:p>
              </w:tc>
              <w:tc>
                <w:tcPr>
                  <w:tcW w:w="109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97926</w:t>
                  </w:r>
                </w:p>
              </w:tc>
              <w:tc>
                <w:tcPr>
                  <w:tcW w:w="1050"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78340.8</w:t>
                  </w:r>
                </w:p>
              </w:tc>
              <w:tc>
                <w:tcPr>
                  <w:tcW w:w="154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napToGrid w:val="0"/>
                      <w:color w:val="000000"/>
                      <w:kern w:val="0"/>
                      <w:sz w:val="21"/>
                      <w:szCs w:val="21"/>
                      <w:highlight w:val="none"/>
                      <w:u w:val="none"/>
                    </w:rPr>
                  </w:pPr>
                  <w:r>
                    <w:rPr>
                      <w:rFonts w:hint="default" w:ascii="Times New Roman" w:hAnsi="Times New Roman" w:eastAsia="宋体" w:cs="Times New Roman"/>
                      <w:sz w:val="21"/>
                      <w:szCs w:val="21"/>
                      <w:highlight w:val="none"/>
                      <w:u w:val="none"/>
                    </w:rPr>
                    <w:t>SS</w:t>
                  </w:r>
                </w:p>
              </w:tc>
              <w:tc>
                <w:tcPr>
                  <w:tcW w:w="1939" w:type="dxa"/>
                  <w:tcBorders>
                    <w:tl2br w:val="nil"/>
                    <w:tr2bl w:val="nil"/>
                  </w:tcBorders>
                  <w:noWrap w:val="0"/>
                  <w:vAlign w:val="center"/>
                </w:tcPr>
                <w:p>
                  <w:pPr>
                    <w:kinsoku w:val="0"/>
                    <w:overflowPunct w:val="0"/>
                    <w:spacing w:before="8" w:line="240" w:lineRule="auto"/>
                    <w:jc w:val="center"/>
                    <w:rPr>
                      <w:rFonts w:hint="default" w:ascii="Times New Roman" w:hAnsi="Times New Roman" w:eastAsia="宋体" w:cs="Times New Roman"/>
                      <w:snapToGrid w:val="0"/>
                      <w:color w:val="000000"/>
                      <w:kern w:val="0"/>
                      <w:sz w:val="21"/>
                      <w:szCs w:val="21"/>
                      <w:highlight w:val="none"/>
                      <w:u w:val="none"/>
                    </w:rPr>
                  </w:pPr>
                  <w:r>
                    <w:rPr>
                      <w:rFonts w:hint="default" w:ascii="Times New Roman" w:hAnsi="Times New Roman" w:eastAsia="宋体" w:cs="Times New Roman"/>
                      <w:sz w:val="21"/>
                      <w:szCs w:val="21"/>
                      <w:highlight w:val="none"/>
                      <w:u w:val="none"/>
                    </w:rPr>
                    <w:t>沉淀后回用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snapToGrid w:val="0"/>
                      <w:color w:val="000000"/>
                      <w:kern w:val="0"/>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7</w:t>
                  </w:r>
                </w:p>
              </w:tc>
              <w:tc>
                <w:tcPr>
                  <w:tcW w:w="1934"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color w:val="0000FF"/>
                      <w:sz w:val="21"/>
                      <w:szCs w:val="21"/>
                      <w:highlight w:val="none"/>
                      <w:u w:val="none"/>
                    </w:rPr>
                  </w:pPr>
                  <w:r>
                    <w:rPr>
                      <w:rFonts w:hint="default" w:ascii="Times New Roman" w:hAnsi="Times New Roman" w:eastAsia="宋体" w:cs="Times New Roman"/>
                      <w:color w:val="0000FF"/>
                      <w:sz w:val="21"/>
                      <w:szCs w:val="21"/>
                      <w:highlight w:val="none"/>
                      <w:u w:val="none"/>
                    </w:rPr>
                    <w:t>厂区降尘用水</w:t>
                  </w:r>
                </w:p>
              </w:tc>
              <w:tc>
                <w:tcPr>
                  <w:tcW w:w="10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eastAsia" w:ascii="Times New Roman" w:hAnsi="Times New Roman" w:eastAsia="宋体" w:cs="Times New Roman"/>
                      <w:i w:val="0"/>
                      <w:iCs w:val="0"/>
                      <w:snapToGrid w:val="0"/>
                      <w:color w:val="0000FF"/>
                      <w:kern w:val="0"/>
                      <w:sz w:val="21"/>
                      <w:szCs w:val="21"/>
                      <w:u w:val="none"/>
                      <w:lang w:val="en-US" w:eastAsia="zh-CN" w:bidi="ar"/>
                    </w:rPr>
                    <w:t>10648</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0</w:t>
                  </w:r>
                </w:p>
              </w:tc>
              <w:tc>
                <w:tcPr>
                  <w:tcW w:w="1545"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color w:val="0000FF"/>
                      <w:sz w:val="21"/>
                      <w:szCs w:val="21"/>
                      <w:highlight w:val="none"/>
                      <w:u w:val="none"/>
                    </w:rPr>
                  </w:pPr>
                  <w:r>
                    <w:rPr>
                      <w:rFonts w:hint="default" w:ascii="Times New Roman" w:hAnsi="Times New Roman" w:eastAsia="宋体" w:cs="Times New Roman"/>
                      <w:color w:val="0000FF"/>
                      <w:sz w:val="21"/>
                      <w:szCs w:val="21"/>
                      <w:highlight w:val="none"/>
                      <w:u w:val="none"/>
                    </w:rPr>
                    <w:t>/</w:t>
                  </w:r>
                </w:p>
              </w:tc>
              <w:tc>
                <w:tcPr>
                  <w:tcW w:w="1939" w:type="dxa"/>
                  <w:tcBorders>
                    <w:tl2br w:val="nil"/>
                    <w:tr2bl w:val="nil"/>
                  </w:tcBorders>
                  <w:noWrap w:val="0"/>
                  <w:vAlign w:val="center"/>
                </w:tcPr>
                <w:p>
                  <w:pPr>
                    <w:pStyle w:val="32"/>
                    <w:kinsoku w:val="0"/>
                    <w:overflowPunct w:val="0"/>
                    <w:spacing w:before="8" w:line="240" w:lineRule="auto"/>
                    <w:jc w:val="center"/>
                    <w:rPr>
                      <w:rFonts w:hint="default" w:ascii="Times New Roman" w:hAnsi="Times New Roman" w:eastAsia="宋体" w:cs="Times New Roman"/>
                      <w:color w:val="0000FF"/>
                      <w:sz w:val="21"/>
                      <w:szCs w:val="21"/>
                      <w:highlight w:val="none"/>
                      <w:u w:val="none"/>
                    </w:rPr>
                  </w:pPr>
                  <w:r>
                    <w:rPr>
                      <w:rFonts w:hint="default" w:ascii="Times New Roman" w:hAnsi="Times New Roman" w:eastAsia="宋体" w:cs="Times New Roman"/>
                      <w:color w:val="0000FF"/>
                      <w:sz w:val="21"/>
                      <w:szCs w:val="21"/>
                      <w:highlight w:val="none"/>
                      <w:u w:val="none"/>
                    </w:rPr>
                    <w:t>蒸发损耗</w:t>
                  </w:r>
                </w:p>
              </w:tc>
            </w:tr>
          </w:tbl>
          <w:p>
            <w:pPr>
              <w:spacing w:line="360" w:lineRule="auto"/>
              <w:ind w:firstLine="480" w:firstLineChars="200"/>
              <w:rPr>
                <w:rFonts w:hint="default" w:ascii="Times New Roman" w:hAnsi="Times New Roman" w:eastAsia="宋体" w:cs="Times New Roman"/>
                <w:bCs/>
                <w:color w:val="0000FF"/>
                <w:sz w:val="24"/>
                <w:lang w:val="en-US" w:eastAsia="zh-CN"/>
              </w:rPr>
            </w:pPr>
            <w:r>
              <w:rPr>
                <w:rFonts w:hint="eastAsia" w:ascii="Times New Roman" w:hAnsi="Times New Roman" w:eastAsia="宋体" w:cs="Times New Roman"/>
                <w:color w:val="0000FF"/>
                <w:kern w:val="0"/>
                <w:sz w:val="24"/>
                <w:szCs w:val="24"/>
                <w:highlight w:val="none"/>
                <w:u w:val="none"/>
                <w:lang w:val="en-US" w:eastAsia="zh-CN"/>
              </w:rPr>
              <w:t>项目初期雨水、洗车废水、生产废水均不外排，仅生活污水预处理后通过辰溪县污水处理厂间接排放，故本评价仅对生活污水中的污染物排放情</w:t>
            </w:r>
            <w:r>
              <w:rPr>
                <w:rFonts w:hint="default" w:ascii="Times New Roman" w:hAnsi="Times New Roman" w:eastAsia="宋体" w:cs="Times New Roman"/>
                <w:color w:val="0000FF"/>
                <w:kern w:val="0"/>
                <w:sz w:val="24"/>
                <w:szCs w:val="24"/>
                <w:highlight w:val="none"/>
                <w:u w:val="none"/>
                <w:lang w:val="en-US" w:eastAsia="zh-CN"/>
              </w:rPr>
              <w:t>况进行核算。</w:t>
            </w:r>
            <w:r>
              <w:rPr>
                <w:rFonts w:hint="default" w:ascii="Times New Roman" w:hAnsi="Times New Roman" w:eastAsia="宋体" w:cs="Times New Roman"/>
                <w:bCs/>
                <w:color w:val="0000FF"/>
                <w:sz w:val="24"/>
              </w:rPr>
              <w:t>项目生活污水</w:t>
            </w:r>
            <w:r>
              <w:rPr>
                <w:rFonts w:hint="default" w:ascii="Times New Roman" w:hAnsi="Times New Roman" w:eastAsia="宋体" w:cs="Times New Roman"/>
                <w:bCs/>
                <w:color w:val="0000FF"/>
                <w:sz w:val="24"/>
                <w:lang w:val="en-US" w:eastAsia="zh-CN"/>
              </w:rPr>
              <w:t>1514.7</w:t>
            </w:r>
            <w:r>
              <w:rPr>
                <w:rFonts w:hint="default" w:ascii="Times New Roman" w:hAnsi="Times New Roman" w:eastAsia="宋体" w:cs="Times New Roman"/>
                <w:bCs/>
                <w:color w:val="0000FF"/>
                <w:sz w:val="24"/>
              </w:rPr>
              <w:t>m</w:t>
            </w:r>
            <w:r>
              <w:rPr>
                <w:rFonts w:hint="default" w:ascii="Times New Roman" w:hAnsi="Times New Roman" w:eastAsia="宋体" w:cs="Times New Roman"/>
                <w:bCs/>
                <w:color w:val="0000FF"/>
                <w:sz w:val="24"/>
                <w:vertAlign w:val="superscript"/>
              </w:rPr>
              <w:t>3</w:t>
            </w:r>
            <w:r>
              <w:rPr>
                <w:rFonts w:hint="default" w:ascii="Times New Roman" w:hAnsi="Times New Roman" w:eastAsia="宋体" w:cs="Times New Roman"/>
                <w:bCs/>
                <w:color w:val="0000FF"/>
                <w:sz w:val="24"/>
              </w:rPr>
              <w:t>/a，</w:t>
            </w:r>
            <w:r>
              <w:rPr>
                <w:rFonts w:hint="default" w:ascii="Times New Roman" w:hAnsi="Times New Roman" w:eastAsia="宋体" w:cs="Times New Roman"/>
                <w:bCs/>
                <w:color w:val="0000FF"/>
                <w:sz w:val="24"/>
                <w:lang w:val="en-US" w:eastAsia="zh-CN"/>
              </w:rPr>
              <w:t>其中食堂废水约</w:t>
            </w:r>
            <w:r>
              <w:rPr>
                <w:rFonts w:hint="eastAsia" w:ascii="Times New Roman" w:hAnsi="Times New Roman" w:eastAsia="宋体" w:cs="Times New Roman"/>
                <w:bCs/>
                <w:color w:val="0000FF"/>
                <w:sz w:val="24"/>
                <w:lang w:val="en-US" w:eastAsia="zh-CN"/>
              </w:rPr>
              <w:t>267.3</w:t>
            </w:r>
            <w:r>
              <w:rPr>
                <w:rFonts w:hint="default" w:ascii="Times New Roman" w:hAnsi="Times New Roman" w:eastAsia="宋体" w:cs="Times New Roman"/>
                <w:bCs/>
                <w:color w:val="0000FF"/>
                <w:sz w:val="24"/>
              </w:rPr>
              <w:t>m</w:t>
            </w:r>
            <w:r>
              <w:rPr>
                <w:rFonts w:hint="default" w:ascii="Times New Roman" w:hAnsi="Times New Roman" w:eastAsia="宋体" w:cs="Times New Roman"/>
                <w:bCs/>
                <w:color w:val="0000FF"/>
                <w:sz w:val="24"/>
                <w:vertAlign w:val="superscript"/>
              </w:rPr>
              <w:t>3</w:t>
            </w:r>
            <w:r>
              <w:rPr>
                <w:rFonts w:hint="default" w:ascii="Times New Roman" w:hAnsi="Times New Roman" w:eastAsia="宋体" w:cs="Times New Roman"/>
                <w:bCs/>
                <w:color w:val="0000FF"/>
                <w:sz w:val="24"/>
              </w:rPr>
              <w:t>/a，</w:t>
            </w:r>
            <w:r>
              <w:rPr>
                <w:rFonts w:hint="eastAsia" w:ascii="Times New Roman" w:hAnsi="Times New Roman" w:eastAsia="宋体" w:cs="Times New Roman"/>
                <w:bCs/>
                <w:color w:val="0000FF"/>
                <w:sz w:val="24"/>
                <w:lang w:val="en-US" w:eastAsia="zh-CN"/>
              </w:rPr>
              <w:t>类比其他小型食堂，食堂废水中动植物油源强浓度约250</w:t>
            </w:r>
            <w:r>
              <w:rPr>
                <w:rFonts w:hint="default" w:ascii="Times New Roman" w:hAnsi="Times New Roman" w:eastAsia="宋体" w:cs="Times New Roman"/>
                <w:bCs/>
                <w:color w:val="0000FF"/>
                <w:sz w:val="24"/>
              </w:rPr>
              <w:t>mg/L</w:t>
            </w:r>
            <w:r>
              <w:rPr>
                <w:rFonts w:hint="eastAsia" w:ascii="Times New Roman" w:hAnsi="Times New Roman" w:eastAsia="宋体" w:cs="Times New Roman"/>
                <w:bCs/>
                <w:color w:val="0000FF"/>
                <w:sz w:val="24"/>
                <w:lang w:eastAsia="zh-CN"/>
              </w:rPr>
              <w:t>，</w:t>
            </w:r>
            <w:r>
              <w:rPr>
                <w:rFonts w:hint="eastAsia" w:ascii="Times New Roman" w:hAnsi="Times New Roman" w:eastAsia="宋体" w:cs="Times New Roman"/>
                <w:bCs/>
                <w:color w:val="0000FF"/>
                <w:sz w:val="24"/>
                <w:lang w:val="en-US" w:eastAsia="zh-CN"/>
              </w:rPr>
              <w:t>隔油池隔油效率约60%，则生活污水中动植物油浓度约为17.6</w:t>
            </w:r>
            <w:r>
              <w:rPr>
                <w:rFonts w:hint="default" w:ascii="Times New Roman" w:hAnsi="Times New Roman" w:eastAsia="宋体" w:cs="Times New Roman"/>
                <w:bCs/>
                <w:color w:val="0000FF"/>
                <w:sz w:val="24"/>
              </w:rPr>
              <w:t>mg/</w:t>
            </w:r>
            <w:r>
              <w:rPr>
                <w:rFonts w:hint="eastAsia" w:ascii="Times New Roman" w:hAnsi="Times New Roman" w:eastAsia="宋体" w:cs="Times New Roman"/>
                <w:bCs/>
                <w:color w:val="0000FF"/>
                <w:sz w:val="24"/>
                <w:lang w:val="en-US" w:eastAsia="zh-CN"/>
              </w:rPr>
              <w:t>L，</w:t>
            </w:r>
            <w:r>
              <w:rPr>
                <w:rFonts w:hint="default" w:ascii="Times New Roman" w:hAnsi="Times New Roman" w:eastAsia="宋体" w:cs="Times New Roman"/>
                <w:bCs/>
                <w:color w:val="0000FF"/>
                <w:sz w:val="24"/>
              </w:rPr>
              <w:t>COD、SS、BOD</w:t>
            </w:r>
            <w:r>
              <w:rPr>
                <w:rFonts w:hint="default" w:ascii="Times New Roman" w:hAnsi="Times New Roman" w:eastAsia="宋体" w:cs="Times New Roman"/>
                <w:bCs/>
                <w:color w:val="0000FF"/>
                <w:sz w:val="24"/>
                <w:vertAlign w:val="subscript"/>
              </w:rPr>
              <w:t>5</w:t>
            </w:r>
            <w:r>
              <w:rPr>
                <w:rFonts w:hint="default" w:ascii="Times New Roman" w:hAnsi="Times New Roman" w:eastAsia="宋体" w:cs="Times New Roman"/>
                <w:bCs/>
                <w:color w:val="0000FF"/>
                <w:sz w:val="24"/>
              </w:rPr>
              <w:t>、氨氮源强浓度分别为</w:t>
            </w:r>
            <w:r>
              <w:rPr>
                <w:rFonts w:hint="eastAsia" w:ascii="Times New Roman" w:hAnsi="Times New Roman" w:eastAsia="宋体" w:cs="Times New Roman"/>
                <w:bCs/>
                <w:color w:val="0000FF"/>
                <w:sz w:val="24"/>
                <w:lang w:val="en-US" w:eastAsia="zh-CN"/>
              </w:rPr>
              <w:t>500</w:t>
            </w:r>
            <w:r>
              <w:rPr>
                <w:rFonts w:hint="default" w:ascii="Times New Roman" w:hAnsi="Times New Roman" w:eastAsia="宋体" w:cs="Times New Roman"/>
                <w:bCs/>
                <w:color w:val="0000FF"/>
                <w:sz w:val="24"/>
              </w:rPr>
              <w:t>mg/L、</w:t>
            </w:r>
            <w:r>
              <w:rPr>
                <w:rFonts w:hint="eastAsia" w:ascii="Times New Roman" w:hAnsi="Times New Roman" w:eastAsia="宋体" w:cs="Times New Roman"/>
                <w:bCs/>
                <w:color w:val="0000FF"/>
                <w:sz w:val="24"/>
                <w:lang w:val="en-US" w:eastAsia="zh-CN"/>
              </w:rPr>
              <w:t>4</w:t>
            </w:r>
            <w:r>
              <w:rPr>
                <w:rFonts w:hint="default" w:ascii="Times New Roman" w:hAnsi="Times New Roman" w:eastAsia="宋体" w:cs="Times New Roman"/>
                <w:bCs/>
                <w:color w:val="0000FF"/>
                <w:sz w:val="24"/>
              </w:rPr>
              <w:t>00mg/L、300mg/L、45mg/L。</w:t>
            </w:r>
            <w:r>
              <w:rPr>
                <w:rFonts w:hint="eastAsia" w:ascii="Times New Roman" w:hAnsi="Times New Roman" w:eastAsia="宋体" w:cs="Times New Roman"/>
                <w:bCs/>
                <w:color w:val="0000FF"/>
                <w:sz w:val="24"/>
                <w:lang w:val="en-US" w:eastAsia="zh-CN"/>
              </w:rPr>
              <w:t>生化池隔油效率忽略不计，则项目生活污水</w:t>
            </w:r>
            <w:r>
              <w:rPr>
                <w:rFonts w:hint="default" w:ascii="Times New Roman" w:hAnsi="Times New Roman" w:eastAsia="宋体" w:cs="Times New Roman"/>
                <w:bCs/>
                <w:color w:val="0000FF"/>
                <w:sz w:val="24"/>
              </w:rPr>
              <w:t>主要污染物</w:t>
            </w:r>
            <w:r>
              <w:rPr>
                <w:rFonts w:hint="eastAsia" w:ascii="Times New Roman" w:hAnsi="Times New Roman" w:eastAsia="宋体" w:cs="Times New Roman"/>
                <w:bCs/>
                <w:color w:val="0000FF"/>
                <w:sz w:val="24"/>
                <w:lang w:val="en-US" w:eastAsia="zh-CN"/>
              </w:rPr>
              <w:t>产排情况见下表：</w:t>
            </w:r>
          </w:p>
          <w:p>
            <w:pPr>
              <w:pStyle w:val="33"/>
              <w:spacing w:line="240" w:lineRule="auto"/>
              <w:ind w:firstLine="0" w:firstLineChars="0"/>
              <w:jc w:val="center"/>
              <w:rPr>
                <w:rFonts w:hint="default" w:ascii="Times New Roman" w:hAnsi="Times New Roman" w:eastAsia="宋体" w:cs="Times New Roman"/>
                <w:b/>
                <w:bCs/>
                <w:color w:val="0000FF"/>
                <w:kern w:val="2"/>
                <w:sz w:val="21"/>
                <w:szCs w:val="21"/>
                <w:highlight w:val="none"/>
                <w:u w:val="none"/>
              </w:rPr>
            </w:pPr>
            <w:r>
              <w:rPr>
                <w:rFonts w:hint="default" w:ascii="Times New Roman" w:hAnsi="Times New Roman" w:eastAsia="宋体" w:cs="Times New Roman"/>
                <w:b/>
                <w:bCs/>
                <w:color w:val="0000FF"/>
                <w:kern w:val="2"/>
                <w:sz w:val="21"/>
                <w:szCs w:val="21"/>
                <w:highlight w:val="none"/>
                <w:u w:val="none"/>
              </w:rPr>
              <w:t>表</w:t>
            </w:r>
            <w:r>
              <w:rPr>
                <w:rFonts w:hint="default" w:ascii="Times New Roman" w:hAnsi="Times New Roman" w:eastAsia="宋体" w:cs="Times New Roman"/>
                <w:b/>
                <w:bCs/>
                <w:color w:val="0000FF"/>
                <w:kern w:val="2"/>
                <w:sz w:val="21"/>
                <w:szCs w:val="21"/>
                <w:highlight w:val="none"/>
                <w:u w:val="none"/>
                <w:lang w:val="en-US" w:eastAsia="zh-CN"/>
              </w:rPr>
              <w:t>4-</w:t>
            </w:r>
            <w:r>
              <w:rPr>
                <w:rFonts w:hint="eastAsia" w:ascii="Times New Roman" w:hAnsi="Times New Roman" w:eastAsia="宋体" w:cs="Times New Roman"/>
                <w:b/>
                <w:bCs/>
                <w:color w:val="0000FF"/>
                <w:kern w:val="2"/>
                <w:sz w:val="21"/>
                <w:szCs w:val="21"/>
                <w:highlight w:val="none"/>
                <w:u w:val="none"/>
                <w:lang w:val="en-US" w:eastAsia="zh-CN"/>
              </w:rPr>
              <w:t>6</w:t>
            </w:r>
            <w:r>
              <w:rPr>
                <w:rFonts w:hint="default" w:ascii="Times New Roman" w:hAnsi="Times New Roman" w:eastAsia="宋体" w:cs="Times New Roman"/>
                <w:b/>
                <w:bCs/>
                <w:color w:val="0000FF"/>
                <w:kern w:val="2"/>
                <w:sz w:val="21"/>
                <w:szCs w:val="21"/>
                <w:highlight w:val="none"/>
                <w:u w:val="none"/>
                <w:lang w:val="en-US" w:eastAsia="zh-CN"/>
              </w:rPr>
              <w:t xml:space="preserve">  </w:t>
            </w:r>
            <w:r>
              <w:rPr>
                <w:rFonts w:hint="default" w:ascii="Times New Roman" w:hAnsi="Times New Roman" w:eastAsia="宋体" w:cs="Times New Roman"/>
                <w:b/>
                <w:bCs/>
                <w:color w:val="0000FF"/>
                <w:kern w:val="2"/>
                <w:sz w:val="21"/>
                <w:szCs w:val="21"/>
                <w:highlight w:val="none"/>
                <w:u w:val="none"/>
              </w:rPr>
              <w:t>项目用水情况一览表</w:t>
            </w:r>
          </w:p>
          <w:tbl>
            <w:tblPr>
              <w:tblStyle w:val="15"/>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31"/>
              <w:gridCol w:w="828"/>
              <w:gridCol w:w="897"/>
              <w:gridCol w:w="997"/>
              <w:gridCol w:w="796"/>
              <w:gridCol w:w="867"/>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4" w:type="pct"/>
                  <w:vMerge w:val="restar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废水量</w:t>
                  </w:r>
                </w:p>
              </w:tc>
              <w:tc>
                <w:tcPr>
                  <w:tcW w:w="721" w:type="pct"/>
                  <w:vMerge w:val="restar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污染物</w:t>
                  </w:r>
                </w:p>
              </w:tc>
              <w:tc>
                <w:tcPr>
                  <w:tcW w:w="1100" w:type="pct"/>
                  <w:gridSpan w:val="2"/>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产生量</w:t>
                  </w:r>
                </w:p>
              </w:tc>
              <w:tc>
                <w:tcPr>
                  <w:tcW w:w="1144" w:type="pct"/>
                  <w:gridSpan w:val="2"/>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预处理排放量</w:t>
                  </w:r>
                </w:p>
              </w:tc>
              <w:tc>
                <w:tcPr>
                  <w:tcW w:w="1228" w:type="pct"/>
                  <w:gridSpan w:val="2"/>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lang w:val="en-US" w:eastAsia="zh-CN"/>
                    </w:rPr>
                    <w:t>汇入地表水</w:t>
                  </w:r>
                  <w:r>
                    <w:rPr>
                      <w:rFonts w:hint="default" w:ascii="Times New Roman" w:hAnsi="Times New Roman" w:eastAsia="宋体" w:cs="Times New Roman"/>
                      <w:b/>
                      <w:color w:val="0000FF"/>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4" w:type="pct"/>
                  <w:vMerge w:val="continue"/>
                  <w:noWrap w:val="0"/>
                  <w:vAlign w:val="center"/>
                </w:tcPr>
                <w:p>
                  <w:pPr>
                    <w:ind w:firstLine="422" w:firstLineChars="200"/>
                    <w:jc w:val="center"/>
                    <w:rPr>
                      <w:rFonts w:hint="default" w:ascii="Times New Roman" w:hAnsi="Times New Roman" w:eastAsia="宋体" w:cs="Times New Roman"/>
                      <w:b/>
                      <w:color w:val="0000FF"/>
                      <w:szCs w:val="21"/>
                    </w:rPr>
                  </w:pPr>
                </w:p>
              </w:tc>
              <w:tc>
                <w:tcPr>
                  <w:tcW w:w="721" w:type="pct"/>
                  <w:vMerge w:val="continue"/>
                  <w:noWrap w:val="0"/>
                  <w:vAlign w:val="center"/>
                </w:tcPr>
                <w:p>
                  <w:pPr>
                    <w:ind w:firstLine="422" w:firstLineChars="200"/>
                    <w:jc w:val="center"/>
                    <w:rPr>
                      <w:rFonts w:hint="default" w:ascii="Times New Roman" w:hAnsi="Times New Roman" w:eastAsia="宋体" w:cs="Times New Roman"/>
                      <w:b/>
                      <w:color w:val="0000FF"/>
                      <w:szCs w:val="21"/>
                    </w:rPr>
                  </w:pPr>
                </w:p>
              </w:tc>
              <w:tc>
                <w:tcPr>
                  <w:tcW w:w="528" w:type="pc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浓度mg/L</w:t>
                  </w:r>
                </w:p>
              </w:tc>
              <w:tc>
                <w:tcPr>
                  <w:tcW w:w="572" w:type="pc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产生量t/a</w:t>
                  </w:r>
                </w:p>
              </w:tc>
              <w:tc>
                <w:tcPr>
                  <w:tcW w:w="636" w:type="pc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浓度mg/L</w:t>
                  </w:r>
                </w:p>
              </w:tc>
              <w:tc>
                <w:tcPr>
                  <w:tcW w:w="507" w:type="pc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排放量t/a</w:t>
                  </w:r>
                </w:p>
              </w:tc>
              <w:tc>
                <w:tcPr>
                  <w:tcW w:w="553" w:type="pc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浓度mg/L</w:t>
                  </w:r>
                </w:p>
              </w:tc>
              <w:tc>
                <w:tcPr>
                  <w:tcW w:w="675" w:type="pct"/>
                  <w:noWrap w:val="0"/>
                  <w:vAlign w:val="center"/>
                </w:tcPr>
                <w:p>
                  <w:pPr>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4" w:type="pct"/>
                  <w:vMerge w:val="restart"/>
                  <w:noWrap w:val="0"/>
                  <w:vAlign w:val="center"/>
                </w:tcPr>
                <w:p>
                  <w:pPr>
                    <w:jc w:val="left"/>
                    <w:rPr>
                      <w:rFonts w:hint="eastAsia" w:ascii="Times New Roman" w:hAnsi="Times New Roman" w:eastAsia="宋体" w:cs="Times New Roman"/>
                      <w:color w:val="0000FF"/>
                      <w:szCs w:val="21"/>
                      <w:lang w:eastAsia="zh-CN"/>
                    </w:rPr>
                  </w:pPr>
                  <w:r>
                    <w:rPr>
                      <w:rFonts w:hint="default" w:ascii="Times New Roman" w:hAnsi="Times New Roman" w:eastAsia="宋体" w:cs="Times New Roman"/>
                      <w:color w:val="0000FF"/>
                      <w:szCs w:val="21"/>
                    </w:rPr>
                    <w:t>生活污水</w:t>
                  </w:r>
                  <w:r>
                    <w:rPr>
                      <w:rFonts w:hint="eastAsia" w:ascii="Times New Roman" w:hAnsi="Times New Roman" w:eastAsia="宋体" w:cs="Times New Roman"/>
                      <w:color w:val="0000FF"/>
                      <w:szCs w:val="21"/>
                      <w:lang w:val="en-US" w:eastAsia="zh-CN"/>
                    </w:rPr>
                    <w:t>1514.7</w:t>
                  </w:r>
                  <w:r>
                    <w:rPr>
                      <w:rFonts w:hint="default" w:ascii="Times New Roman" w:hAnsi="Times New Roman" w:eastAsia="宋体" w:cs="Times New Roman"/>
                      <w:color w:val="0000FF"/>
                      <w:szCs w:val="21"/>
                    </w:rPr>
                    <w:t>m</w:t>
                  </w:r>
                  <w:r>
                    <w:rPr>
                      <w:rFonts w:hint="default" w:ascii="Times New Roman" w:hAnsi="Times New Roman" w:eastAsia="宋体" w:cs="Times New Roman"/>
                      <w:color w:val="0000FF"/>
                      <w:szCs w:val="21"/>
                      <w:vertAlign w:val="superscript"/>
                    </w:rPr>
                    <w:t>3</w:t>
                  </w:r>
                  <w:r>
                    <w:rPr>
                      <w:rFonts w:hint="default" w:ascii="Times New Roman" w:hAnsi="Times New Roman" w:eastAsia="宋体" w:cs="Times New Roman"/>
                      <w:color w:val="0000FF"/>
                      <w:szCs w:val="21"/>
                    </w:rPr>
                    <w:t>/a</w:t>
                  </w:r>
                </w:p>
              </w:tc>
              <w:tc>
                <w:tcPr>
                  <w:tcW w:w="721" w:type="pct"/>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COD</w:t>
                  </w:r>
                </w:p>
              </w:tc>
              <w:tc>
                <w:tcPr>
                  <w:tcW w:w="52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500</w:t>
                  </w:r>
                </w:p>
              </w:tc>
              <w:tc>
                <w:tcPr>
                  <w:tcW w:w="57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0.76 </w:t>
                  </w:r>
                </w:p>
              </w:tc>
              <w:tc>
                <w:tcPr>
                  <w:tcW w:w="63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300</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0.45 </w:t>
                  </w:r>
                </w:p>
              </w:tc>
              <w:tc>
                <w:tcPr>
                  <w:tcW w:w="5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40</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4" w:type="pct"/>
                  <w:vMerge w:val="continue"/>
                  <w:noWrap w:val="0"/>
                  <w:vAlign w:val="center"/>
                </w:tcPr>
                <w:p>
                  <w:pPr>
                    <w:ind w:firstLine="420" w:firstLineChars="200"/>
                    <w:jc w:val="left"/>
                    <w:rPr>
                      <w:rFonts w:hint="default" w:ascii="Times New Roman" w:hAnsi="Times New Roman" w:eastAsia="宋体" w:cs="Times New Roman"/>
                      <w:color w:val="0000FF"/>
                      <w:szCs w:val="21"/>
                    </w:rPr>
                  </w:pPr>
                </w:p>
              </w:tc>
              <w:tc>
                <w:tcPr>
                  <w:tcW w:w="721" w:type="pct"/>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SS</w:t>
                  </w:r>
                </w:p>
              </w:tc>
              <w:tc>
                <w:tcPr>
                  <w:tcW w:w="52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400</w:t>
                  </w:r>
                </w:p>
              </w:tc>
              <w:tc>
                <w:tcPr>
                  <w:tcW w:w="57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0.61 </w:t>
                  </w:r>
                </w:p>
              </w:tc>
              <w:tc>
                <w:tcPr>
                  <w:tcW w:w="63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120</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0.18 </w:t>
                  </w:r>
                </w:p>
              </w:tc>
              <w:tc>
                <w:tcPr>
                  <w:tcW w:w="5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10</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4" w:type="pct"/>
                  <w:vMerge w:val="continue"/>
                  <w:noWrap w:val="0"/>
                  <w:vAlign w:val="center"/>
                </w:tcPr>
                <w:p>
                  <w:pPr>
                    <w:ind w:firstLine="420" w:firstLineChars="200"/>
                    <w:jc w:val="left"/>
                    <w:rPr>
                      <w:rFonts w:hint="default" w:ascii="Times New Roman" w:hAnsi="Times New Roman" w:eastAsia="宋体" w:cs="Times New Roman"/>
                      <w:color w:val="0000FF"/>
                      <w:szCs w:val="21"/>
                    </w:rPr>
                  </w:pPr>
                </w:p>
              </w:tc>
              <w:tc>
                <w:tcPr>
                  <w:tcW w:w="721" w:type="pct"/>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BOD</w:t>
                  </w:r>
                  <w:r>
                    <w:rPr>
                      <w:rFonts w:hint="default" w:ascii="Times New Roman" w:hAnsi="Times New Roman" w:eastAsia="宋体" w:cs="Times New Roman"/>
                      <w:color w:val="0000FF"/>
                      <w:szCs w:val="21"/>
                      <w:vertAlign w:val="subscript"/>
                    </w:rPr>
                    <w:t>5</w:t>
                  </w:r>
                </w:p>
              </w:tc>
              <w:tc>
                <w:tcPr>
                  <w:tcW w:w="52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300</w:t>
                  </w:r>
                </w:p>
              </w:tc>
              <w:tc>
                <w:tcPr>
                  <w:tcW w:w="57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0.45 </w:t>
                  </w:r>
                </w:p>
              </w:tc>
              <w:tc>
                <w:tcPr>
                  <w:tcW w:w="63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150</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0.23 </w:t>
                  </w:r>
                </w:p>
              </w:tc>
              <w:tc>
                <w:tcPr>
                  <w:tcW w:w="5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10</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4" w:type="pct"/>
                  <w:vMerge w:val="continue"/>
                  <w:noWrap w:val="0"/>
                  <w:vAlign w:val="center"/>
                </w:tcPr>
                <w:p>
                  <w:pPr>
                    <w:ind w:firstLine="420" w:firstLineChars="200"/>
                    <w:jc w:val="left"/>
                    <w:rPr>
                      <w:rFonts w:hint="default" w:ascii="Times New Roman" w:hAnsi="Times New Roman" w:eastAsia="宋体" w:cs="Times New Roman"/>
                      <w:color w:val="0000FF"/>
                      <w:szCs w:val="21"/>
                    </w:rPr>
                  </w:pPr>
                </w:p>
              </w:tc>
              <w:tc>
                <w:tcPr>
                  <w:tcW w:w="721" w:type="pct"/>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NH</w:t>
                  </w:r>
                  <w:r>
                    <w:rPr>
                      <w:rFonts w:hint="default" w:ascii="Times New Roman" w:hAnsi="Times New Roman" w:eastAsia="宋体" w:cs="Times New Roman"/>
                      <w:color w:val="0000FF"/>
                      <w:szCs w:val="21"/>
                      <w:vertAlign w:val="subscript"/>
                    </w:rPr>
                    <w:t>3</w:t>
                  </w:r>
                  <w:r>
                    <w:rPr>
                      <w:rFonts w:hint="default" w:ascii="Times New Roman" w:hAnsi="Times New Roman" w:eastAsia="宋体" w:cs="Times New Roman"/>
                      <w:color w:val="0000FF"/>
                      <w:szCs w:val="21"/>
                    </w:rPr>
                    <w:t>-N</w:t>
                  </w:r>
                </w:p>
              </w:tc>
              <w:tc>
                <w:tcPr>
                  <w:tcW w:w="52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45</w:t>
                  </w:r>
                </w:p>
              </w:tc>
              <w:tc>
                <w:tcPr>
                  <w:tcW w:w="57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0.07 </w:t>
                  </w:r>
                </w:p>
              </w:tc>
              <w:tc>
                <w:tcPr>
                  <w:tcW w:w="63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30</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0.05 </w:t>
                  </w:r>
                </w:p>
              </w:tc>
              <w:tc>
                <w:tcPr>
                  <w:tcW w:w="55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FF"/>
                      <w:szCs w:val="21"/>
                      <w:lang w:eastAsia="zh-CN"/>
                    </w:rPr>
                  </w:pPr>
                  <w:r>
                    <w:rPr>
                      <w:rFonts w:hint="default" w:ascii="Times New Roman" w:hAnsi="Times New Roman" w:eastAsia="宋体" w:cs="Times New Roman"/>
                      <w:i w:val="0"/>
                      <w:iCs w:val="0"/>
                      <w:snapToGrid w:val="0"/>
                      <w:color w:val="0000FF"/>
                      <w:kern w:val="0"/>
                      <w:sz w:val="21"/>
                      <w:szCs w:val="21"/>
                      <w:u w:val="none"/>
                      <w:lang w:val="en-US" w:eastAsia="zh-CN" w:bidi="ar"/>
                    </w:rPr>
                    <w:t>5</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4" w:type="pct"/>
                  <w:vMerge w:val="continue"/>
                  <w:noWrap w:val="0"/>
                  <w:vAlign w:val="center"/>
                </w:tcPr>
                <w:p>
                  <w:pPr>
                    <w:ind w:firstLine="420" w:firstLineChars="200"/>
                    <w:jc w:val="left"/>
                    <w:rPr>
                      <w:rFonts w:hint="default" w:ascii="Times New Roman" w:hAnsi="Times New Roman" w:eastAsia="宋体" w:cs="Times New Roman"/>
                      <w:color w:val="0000FF"/>
                      <w:szCs w:val="21"/>
                    </w:rPr>
                  </w:pPr>
                </w:p>
              </w:tc>
              <w:tc>
                <w:tcPr>
                  <w:tcW w:w="721" w:type="pct"/>
                  <w:noWrap w:val="0"/>
                  <w:vAlign w:val="center"/>
                </w:tcPr>
                <w:p>
                  <w:pPr>
                    <w:jc w:val="center"/>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动植物油</w:t>
                  </w:r>
                </w:p>
              </w:tc>
              <w:tc>
                <w:tcPr>
                  <w:tcW w:w="52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0"/>
                      <w:szCs w:val="21"/>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17.6</w:t>
                  </w:r>
                </w:p>
              </w:tc>
              <w:tc>
                <w:tcPr>
                  <w:tcW w:w="57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0.03 </w:t>
                  </w:r>
                </w:p>
              </w:tc>
              <w:tc>
                <w:tcPr>
                  <w:tcW w:w="63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17.6</w:t>
                  </w:r>
                </w:p>
              </w:tc>
              <w:tc>
                <w:tcPr>
                  <w:tcW w:w="5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0.03 </w:t>
                  </w:r>
                </w:p>
              </w:tc>
              <w:tc>
                <w:tcPr>
                  <w:tcW w:w="55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FF"/>
                      <w:kern w:val="0"/>
                      <w:szCs w:val="21"/>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1</w:t>
                  </w:r>
                </w:p>
              </w:tc>
              <w:tc>
                <w:tcPr>
                  <w:tcW w:w="67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0"/>
                      <w:szCs w:val="21"/>
                      <w:lang w:bidi="ar"/>
                    </w:rPr>
                  </w:pPr>
                  <w:r>
                    <w:rPr>
                      <w:rFonts w:hint="default" w:ascii="Times New Roman" w:hAnsi="Times New Roman" w:eastAsia="宋体" w:cs="Times New Roman"/>
                      <w:i w:val="0"/>
                      <w:iCs w:val="0"/>
                      <w:snapToGrid w:val="0"/>
                      <w:color w:val="0000FF"/>
                      <w:kern w:val="0"/>
                      <w:sz w:val="21"/>
                      <w:szCs w:val="21"/>
                      <w:u w:val="none"/>
                      <w:lang w:val="en-US" w:eastAsia="zh-CN" w:bidi="ar"/>
                    </w:rPr>
                    <w:t xml:space="preserve">0.002 </w:t>
                  </w:r>
                </w:p>
              </w:tc>
            </w:tr>
          </w:tbl>
          <w:p>
            <w:pPr>
              <w:numPr>
                <w:ilvl w:val="0"/>
                <w:numId w:val="3"/>
              </w:numPr>
              <w:wordWrap/>
              <w:spacing w:line="360" w:lineRule="auto"/>
              <w:ind w:left="0" w:leftChars="0" w:firstLine="480" w:firstLineChars="200"/>
              <w:jc w:val="both"/>
              <w:rPr>
                <w:rFonts w:hint="eastAsia" w:ascii="Times New Roman" w:hAnsi="Times New Roman" w:eastAsia="宋体" w:cs="Times New Roman"/>
                <w:color w:val="0000FF"/>
                <w:kern w:val="0"/>
                <w:sz w:val="24"/>
                <w:szCs w:val="24"/>
                <w:lang w:val="en-US" w:eastAsia="zh-CN"/>
              </w:rPr>
            </w:pPr>
            <w:r>
              <w:rPr>
                <w:rFonts w:hint="eastAsia" w:ascii="Times New Roman" w:hAnsi="Times New Roman" w:eastAsia="宋体" w:cs="Times New Roman"/>
                <w:bCs/>
                <w:color w:val="0000FF"/>
                <w:sz w:val="24"/>
                <w:szCs w:val="24"/>
                <w:lang w:val="en-US" w:eastAsia="zh-CN"/>
              </w:rPr>
              <w:t>环保设施可行性分析</w:t>
            </w:r>
          </w:p>
          <w:p>
            <w:pPr>
              <w:pStyle w:val="19"/>
              <w:numPr>
                <w:ilvl w:val="0"/>
                <w:numId w:val="5"/>
              </w:numPr>
              <w:rPr>
                <w:rFonts w:hint="eastAsia"/>
                <w:color w:val="0000FF"/>
                <w:sz w:val="24"/>
                <w:szCs w:val="24"/>
                <w:lang w:val="en-US" w:eastAsia="zh-CN"/>
              </w:rPr>
            </w:pPr>
            <w:r>
              <w:rPr>
                <w:rFonts w:hint="eastAsia"/>
                <w:color w:val="0000FF"/>
                <w:sz w:val="24"/>
                <w:szCs w:val="24"/>
                <w:lang w:val="en-US" w:eastAsia="zh-CN"/>
              </w:rPr>
              <w:t>隔油池可行性</w:t>
            </w:r>
          </w:p>
          <w:p>
            <w:pPr>
              <w:pStyle w:val="35"/>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rPr>
              <w:t>厂区</w:t>
            </w:r>
            <w:r>
              <w:rPr>
                <w:rFonts w:hint="default" w:ascii="Times New Roman" w:hAnsi="Times New Roman" w:eastAsia="宋体" w:cs="Times New Roman"/>
                <w:color w:val="0000FF"/>
                <w:sz w:val="24"/>
                <w:szCs w:val="24"/>
                <w:highlight w:val="none"/>
                <w:lang w:val="en-US" w:eastAsia="zh-CN"/>
              </w:rPr>
              <w:t>新建</w:t>
            </w:r>
            <w:r>
              <w:rPr>
                <w:rFonts w:hint="eastAsia" w:ascii="Times New Roman" w:hAnsi="Times New Roman" w:eastAsia="宋体" w:cs="Times New Roman"/>
                <w:color w:val="0000FF"/>
                <w:sz w:val="24"/>
                <w:szCs w:val="24"/>
                <w:highlight w:val="none"/>
                <w:lang w:val="en-US" w:eastAsia="zh-CN"/>
              </w:rPr>
              <w:t>隔油池对食堂废水进行隔油，设计规模为2m</w:t>
            </w:r>
            <w:r>
              <w:rPr>
                <w:rFonts w:hint="eastAsia"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/d，项目产生的食堂废水约0.81m</w:t>
            </w:r>
            <w:r>
              <w:rPr>
                <w:rFonts w:hint="eastAsia"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/d</w:t>
            </w:r>
            <w:r>
              <w:rPr>
                <w:rFonts w:hint="eastAsia" w:ascii="Times New Roman" w:hAnsi="Times New Roman" w:eastAsia="宋体" w:cs="Times New Roman"/>
                <w:snapToGrid w:val="0"/>
                <w:color w:val="0000FF"/>
                <w:sz w:val="24"/>
                <w:szCs w:val="24"/>
                <w:highlight w:val="none"/>
                <w:lang w:eastAsia="zh-CN"/>
              </w:rPr>
              <w:t>，</w:t>
            </w:r>
            <w:r>
              <w:rPr>
                <w:rFonts w:hint="eastAsia" w:ascii="Times New Roman" w:hAnsi="Times New Roman" w:eastAsia="宋体" w:cs="Times New Roman"/>
                <w:snapToGrid w:val="0"/>
                <w:color w:val="0000FF"/>
                <w:sz w:val="24"/>
                <w:szCs w:val="24"/>
                <w:highlight w:val="none"/>
                <w:lang w:val="en-US" w:eastAsia="zh-CN"/>
              </w:rPr>
              <w:t>拟建的隔油池可满足食堂废水的隔油需求。</w:t>
            </w:r>
          </w:p>
          <w:p>
            <w:pPr>
              <w:pStyle w:val="19"/>
              <w:numPr>
                <w:ilvl w:val="0"/>
                <w:numId w:val="5"/>
              </w:numPr>
              <w:rPr>
                <w:rFonts w:hint="default"/>
                <w:color w:val="0000FF"/>
                <w:sz w:val="24"/>
                <w:szCs w:val="24"/>
                <w:lang w:val="en-US" w:eastAsia="zh-CN"/>
              </w:rPr>
            </w:pPr>
            <w:r>
              <w:rPr>
                <w:rFonts w:hint="eastAsia"/>
                <w:color w:val="0000FF"/>
                <w:sz w:val="24"/>
                <w:szCs w:val="24"/>
                <w:lang w:val="en-US" w:eastAsia="zh-CN"/>
              </w:rPr>
              <w:t>生化池可行性</w:t>
            </w:r>
          </w:p>
          <w:p>
            <w:pPr>
              <w:pStyle w:val="35"/>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rPr>
              <w:t>厂区</w:t>
            </w:r>
            <w:r>
              <w:rPr>
                <w:rFonts w:hint="default" w:ascii="Times New Roman" w:hAnsi="Times New Roman" w:eastAsia="宋体" w:cs="Times New Roman"/>
                <w:color w:val="0000FF"/>
                <w:sz w:val="24"/>
                <w:szCs w:val="24"/>
                <w:highlight w:val="none"/>
                <w:lang w:val="en-US" w:eastAsia="zh-CN"/>
              </w:rPr>
              <w:t>新建</w:t>
            </w:r>
            <w:r>
              <w:rPr>
                <w:rFonts w:hint="eastAsia" w:ascii="Times New Roman" w:hAnsi="Times New Roman" w:eastAsia="宋体" w:cs="Times New Roman"/>
                <w:color w:val="0000FF"/>
                <w:sz w:val="24"/>
                <w:szCs w:val="24"/>
                <w:highlight w:val="none"/>
                <w:lang w:val="en-US" w:eastAsia="zh-CN"/>
              </w:rPr>
              <w:t>生化池对生活污水进行预处理，使之能满足</w:t>
            </w:r>
            <w:r>
              <w:rPr>
                <w:rFonts w:hint="eastAsia" w:ascii="Times New Roman" w:hAnsi="Times New Roman" w:eastAsia="宋体" w:cs="Times New Roman"/>
                <w:color w:val="0000FF"/>
                <w:sz w:val="24"/>
                <w:szCs w:val="24"/>
                <w:lang w:val="en-US" w:eastAsia="zh-CN"/>
              </w:rPr>
              <w:t>辰溪县污水处理厂的进水水质要求</w:t>
            </w:r>
            <w:r>
              <w:rPr>
                <w:rFonts w:hint="eastAsia" w:ascii="Times New Roman" w:hAnsi="Times New Roman" w:eastAsia="宋体" w:cs="Times New Roman"/>
                <w:color w:val="0000FF"/>
                <w:sz w:val="24"/>
                <w:szCs w:val="24"/>
                <w:highlight w:val="none"/>
                <w:lang w:val="en-US" w:eastAsia="zh-CN"/>
              </w:rPr>
              <w:t>，设计规模为10m</w:t>
            </w:r>
            <w:r>
              <w:rPr>
                <w:rFonts w:hint="eastAsia"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/d，厂区生活污水总量约4.59m</w:t>
            </w:r>
            <w:r>
              <w:rPr>
                <w:rFonts w:hint="eastAsia"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/d</w:t>
            </w:r>
            <w:r>
              <w:rPr>
                <w:rFonts w:hint="eastAsia" w:ascii="Times New Roman" w:hAnsi="Times New Roman" w:eastAsia="宋体" w:cs="Times New Roman"/>
                <w:snapToGrid w:val="0"/>
                <w:color w:val="0000FF"/>
                <w:sz w:val="24"/>
                <w:szCs w:val="24"/>
                <w:highlight w:val="none"/>
                <w:lang w:eastAsia="zh-CN"/>
              </w:rPr>
              <w:t>，</w:t>
            </w:r>
            <w:r>
              <w:rPr>
                <w:rFonts w:hint="eastAsia" w:ascii="Times New Roman" w:hAnsi="Times New Roman" w:eastAsia="宋体" w:cs="Times New Roman"/>
                <w:snapToGrid w:val="0"/>
                <w:color w:val="0000FF"/>
                <w:sz w:val="24"/>
                <w:szCs w:val="24"/>
                <w:highlight w:val="none"/>
                <w:lang w:val="en-US" w:eastAsia="zh-CN"/>
              </w:rPr>
              <w:t>拟建的生化池规模大于污水产生量，可满足生活污水的预处理需求。</w:t>
            </w:r>
          </w:p>
          <w:p>
            <w:pPr>
              <w:pStyle w:val="19"/>
              <w:numPr>
                <w:ilvl w:val="0"/>
                <w:numId w:val="5"/>
              </w:numPr>
              <w:rPr>
                <w:rFonts w:hint="default"/>
                <w:color w:val="0000FF"/>
                <w:sz w:val="24"/>
                <w:szCs w:val="24"/>
                <w:lang w:val="en-US" w:eastAsia="zh-CN"/>
              </w:rPr>
            </w:pPr>
            <w:r>
              <w:rPr>
                <w:rFonts w:hint="eastAsia"/>
                <w:color w:val="0000FF"/>
                <w:sz w:val="24"/>
                <w:szCs w:val="24"/>
                <w:lang w:val="en-US" w:eastAsia="zh-CN"/>
              </w:rPr>
              <w:t>隔油沉淀池可行性</w:t>
            </w:r>
          </w:p>
          <w:p>
            <w:pPr>
              <w:pStyle w:val="19"/>
              <w:numPr>
                <w:ilvl w:val="0"/>
                <w:numId w:val="0"/>
              </w:numPr>
              <w:ind w:firstLine="480" w:firstLineChars="200"/>
              <w:rPr>
                <w:rFonts w:hint="eastAsia" w:ascii="Times New Roman" w:hAnsi="Times New Roman" w:eastAsia="宋体" w:cs="Times New Roman"/>
                <w:color w:val="0000FF"/>
                <w:sz w:val="24"/>
                <w:szCs w:val="24"/>
                <w:highlight w:val="none"/>
                <w:lang w:val="en-US" w:eastAsia="zh-CN"/>
              </w:rPr>
            </w:pPr>
            <w:r>
              <w:rPr>
                <w:rFonts w:hint="eastAsia"/>
                <w:color w:val="0000FF"/>
                <w:sz w:val="24"/>
                <w:szCs w:val="24"/>
                <w:lang w:val="en-US" w:eastAsia="zh-CN"/>
              </w:rPr>
              <w:t>项目拟设置3个隔油沉淀池，其中1#隔油沉淀池收集堆料区和搅拌区的初期雨水以及搅拌区地面清洗废水，隔油沉淀后用于厂区洒水抑尘。该范围内的初期雨水量约</w:t>
            </w:r>
            <w:r>
              <w:rPr>
                <w:rFonts w:hint="default" w:ascii="Times New Roman" w:hAnsi="Times New Roman" w:eastAsia="宋体" w:cs="Times New Roman"/>
                <w:color w:val="0000FF"/>
                <w:sz w:val="24"/>
                <w:szCs w:val="24"/>
                <w:highlight w:val="none"/>
              </w:rPr>
              <w:t>69.65m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/次</w:t>
            </w:r>
            <w:r>
              <w:rPr>
                <w:rFonts w:hint="eastAsia" w:eastAsia="宋体" w:cs="Times New Roman"/>
                <w:color w:val="0000FF"/>
                <w:sz w:val="24"/>
                <w:szCs w:val="24"/>
                <w:highlight w:val="none"/>
                <w:lang w:val="en-US" w:eastAsia="zh-CN"/>
              </w:rPr>
              <w:t>，搅拌区地面清洗废水约2.18</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d，降雨期间一般不会冲洗地面，按最不利条件考虑，项目</w:t>
            </w:r>
            <w:r>
              <w:rPr>
                <w:rFonts w:hint="eastAsia"/>
                <w:color w:val="0000FF"/>
                <w:sz w:val="24"/>
                <w:szCs w:val="24"/>
                <w:lang w:val="en-US" w:eastAsia="zh-CN"/>
              </w:rPr>
              <w:t>堆料区和搅拌区</w:t>
            </w:r>
            <w:r>
              <w:rPr>
                <w:rFonts w:hint="eastAsia" w:ascii="Times New Roman" w:hAnsi="Times New Roman" w:eastAsia="宋体" w:cs="Times New Roman"/>
                <w:color w:val="0000FF"/>
                <w:sz w:val="24"/>
                <w:szCs w:val="24"/>
                <w:highlight w:val="none"/>
                <w:lang w:val="en-US" w:eastAsia="zh-CN"/>
              </w:rPr>
              <w:t>最大废水产生量为71.83</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d，</w:t>
            </w:r>
            <w:r>
              <w:rPr>
                <w:rFonts w:hint="eastAsia"/>
                <w:color w:val="0000FF"/>
                <w:sz w:val="24"/>
                <w:szCs w:val="24"/>
                <w:lang w:val="en-US" w:eastAsia="zh-CN"/>
              </w:rPr>
              <w:t>1#隔油沉淀池设计处理效率为100</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d，能满足该汇水面积内初期雨水隔油沉淀的要求。</w:t>
            </w:r>
          </w:p>
          <w:p>
            <w:pPr>
              <w:pStyle w:val="19"/>
              <w:numPr>
                <w:ilvl w:val="0"/>
                <w:numId w:val="0"/>
              </w:numPr>
              <w:ind w:firstLine="480" w:firstLineChars="200"/>
              <w:rPr>
                <w:rFonts w:hint="eastAsia"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2#隔油沉淀池收集运输车辆停车场的初期雨水，该区域布置有柴油储罐和加油站，初期雨水中含有一定量的石油类。该范围内的初期雨水量约33.43</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/次</w:t>
            </w:r>
            <w:r>
              <w:rPr>
                <w:rFonts w:hint="eastAsia" w:ascii="Times New Roman" w:hAnsi="Times New Roman" w:eastAsia="宋体" w:cs="Times New Roman"/>
                <w:color w:val="0000FF"/>
                <w:sz w:val="24"/>
                <w:szCs w:val="24"/>
                <w:highlight w:val="none"/>
                <w:lang w:val="en-US" w:eastAsia="zh-CN"/>
              </w:rPr>
              <w:t>，</w:t>
            </w:r>
            <w:r>
              <w:rPr>
                <w:rFonts w:hint="eastAsia"/>
                <w:color w:val="0000FF"/>
                <w:sz w:val="24"/>
                <w:szCs w:val="24"/>
                <w:lang w:val="en-US" w:eastAsia="zh-CN"/>
              </w:rPr>
              <w:t>2#隔油沉淀池设计处理效率为50</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d，能满足该汇水面积内初期雨水隔油沉淀的要求。</w:t>
            </w:r>
          </w:p>
          <w:p>
            <w:pPr>
              <w:pStyle w:val="19"/>
              <w:numPr>
                <w:ilvl w:val="0"/>
                <w:numId w:val="0"/>
              </w:numPr>
              <w:ind w:firstLine="480" w:firstLineChars="200"/>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3#隔油沉淀池将进出车辆洗车废水进行简单处理后循环使用，根据厂区原辅材料及成品运输情况，循环水量约23.74</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d，3#</w:t>
            </w:r>
            <w:r>
              <w:rPr>
                <w:rFonts w:hint="eastAsia"/>
                <w:color w:val="0000FF"/>
                <w:sz w:val="24"/>
                <w:szCs w:val="24"/>
                <w:lang w:val="en-US" w:eastAsia="zh-CN"/>
              </w:rPr>
              <w:t>隔油沉淀池设计处理效率为30</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rPr>
              <w:t>3</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d，能满足洗车废水隔油沉淀的要求。</w:t>
            </w:r>
          </w:p>
          <w:p>
            <w:pPr>
              <w:pStyle w:val="19"/>
              <w:numPr>
                <w:ilvl w:val="0"/>
                <w:numId w:val="5"/>
              </w:numPr>
              <w:rPr>
                <w:rFonts w:hint="default"/>
                <w:color w:val="0000FF"/>
                <w:sz w:val="24"/>
                <w:szCs w:val="24"/>
                <w:lang w:val="en-US" w:eastAsia="zh-CN"/>
              </w:rPr>
            </w:pPr>
            <w:r>
              <w:rPr>
                <w:rFonts w:hint="eastAsia"/>
                <w:color w:val="0000FF"/>
                <w:sz w:val="24"/>
                <w:szCs w:val="24"/>
                <w:lang w:val="en-US" w:eastAsia="zh-CN"/>
              </w:rPr>
              <w:t>三级沉淀池可行性</w:t>
            </w:r>
          </w:p>
          <w:p>
            <w:pPr>
              <w:tabs>
                <w:tab w:val="left" w:pos="1021"/>
              </w:tabs>
              <w:wordWrap/>
              <w:spacing w:line="360" w:lineRule="auto"/>
              <w:ind w:left="-61" w:leftChars="-29" w:firstLine="480" w:firstLineChars="200"/>
              <w:jc w:val="left"/>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rPr>
              <w:t>搅拌</w:t>
            </w:r>
            <w:r>
              <w:rPr>
                <w:rFonts w:hint="eastAsia" w:ascii="Times New Roman" w:hAnsi="Times New Roman" w:eastAsia="宋体" w:cs="Times New Roman"/>
                <w:color w:val="0000FF"/>
                <w:sz w:val="24"/>
                <w:szCs w:val="24"/>
                <w:highlight w:val="none"/>
                <w:lang w:val="en-US" w:eastAsia="zh-CN"/>
              </w:rPr>
              <w:t>机</w:t>
            </w:r>
            <w:r>
              <w:rPr>
                <w:rFonts w:hint="default" w:ascii="Times New Roman" w:hAnsi="Times New Roman" w:eastAsia="宋体" w:cs="Times New Roman"/>
                <w:color w:val="0000FF"/>
                <w:sz w:val="24"/>
                <w:szCs w:val="24"/>
                <w:highlight w:val="none"/>
              </w:rPr>
              <w:t>清洗废水、</w:t>
            </w:r>
            <w:r>
              <w:rPr>
                <w:rFonts w:hint="eastAsia" w:ascii="Times New Roman" w:hAnsi="Times New Roman" w:eastAsia="宋体" w:cs="Times New Roman"/>
                <w:color w:val="0000FF"/>
                <w:sz w:val="24"/>
                <w:szCs w:val="24"/>
                <w:highlight w:val="none"/>
                <w:lang w:val="en-US" w:eastAsia="zh-CN"/>
              </w:rPr>
              <w:t>罐车内壁</w:t>
            </w:r>
            <w:r>
              <w:rPr>
                <w:rFonts w:hint="default" w:ascii="Times New Roman" w:hAnsi="Times New Roman" w:eastAsia="宋体" w:cs="Times New Roman"/>
                <w:color w:val="0000FF"/>
                <w:sz w:val="24"/>
                <w:szCs w:val="24"/>
                <w:highlight w:val="none"/>
              </w:rPr>
              <w:t>清洗废水经三级沉淀池沉淀处理后回</w:t>
            </w:r>
            <w:r>
              <w:rPr>
                <w:rFonts w:hint="eastAsia" w:ascii="Times New Roman" w:hAnsi="Times New Roman" w:eastAsia="宋体" w:cs="Times New Roman"/>
                <w:color w:val="0000FF"/>
                <w:sz w:val="24"/>
                <w:szCs w:val="24"/>
                <w:highlight w:val="none"/>
                <w:lang w:val="en-US" w:eastAsia="zh-CN"/>
              </w:rPr>
              <w:t>用</w:t>
            </w:r>
            <w:r>
              <w:rPr>
                <w:rFonts w:hint="eastAsia" w:ascii="Times New Roman" w:hAnsi="Times New Roman" w:eastAsia="宋体" w:cs="Times New Roman"/>
                <w:color w:val="0000FF"/>
                <w:sz w:val="24"/>
                <w:szCs w:val="24"/>
                <w:highlight w:val="none"/>
                <w:lang w:eastAsia="zh-CN"/>
              </w:rPr>
              <w:t>，</w:t>
            </w:r>
            <w:r>
              <w:rPr>
                <w:rFonts w:hint="eastAsia" w:ascii="Times New Roman" w:hAnsi="Times New Roman" w:eastAsia="宋体" w:cs="Times New Roman"/>
                <w:color w:val="0000FF"/>
                <w:sz w:val="24"/>
                <w:szCs w:val="24"/>
                <w:highlight w:val="none"/>
                <w:lang w:val="en-US" w:eastAsia="zh-CN"/>
              </w:rPr>
              <w:t>该部分废水产生量为39.56</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/d。</w:t>
            </w:r>
            <w:r>
              <w:rPr>
                <w:rFonts w:hint="default" w:ascii="Times New Roman" w:hAnsi="Times New Roman" w:eastAsia="宋体" w:cs="Times New Roman"/>
                <w:color w:val="0000FF"/>
                <w:sz w:val="24"/>
                <w:szCs w:val="24"/>
                <w:highlight w:val="none"/>
              </w:rPr>
              <w:t>三级沉淀池</w:t>
            </w:r>
            <w:r>
              <w:rPr>
                <w:rFonts w:hint="eastAsia" w:ascii="Times New Roman" w:hAnsi="Times New Roman" w:eastAsia="宋体" w:cs="Times New Roman"/>
                <w:color w:val="0000FF"/>
                <w:sz w:val="24"/>
                <w:szCs w:val="24"/>
                <w:highlight w:val="none"/>
                <w:lang w:val="en-US" w:eastAsia="zh-CN"/>
              </w:rPr>
              <w:t>总</w:t>
            </w:r>
            <w:r>
              <w:rPr>
                <w:rFonts w:hint="default" w:ascii="Times New Roman" w:hAnsi="Times New Roman" w:eastAsia="宋体" w:cs="Times New Roman"/>
                <w:color w:val="0000FF"/>
                <w:sz w:val="24"/>
                <w:szCs w:val="24"/>
                <w:highlight w:val="none"/>
                <w:lang w:val="en-US" w:eastAsia="zh-CN"/>
              </w:rPr>
              <w:t>容积约</w:t>
            </w:r>
            <w:r>
              <w:rPr>
                <w:rFonts w:hint="eastAsia" w:ascii="Times New Roman" w:hAnsi="Times New Roman" w:eastAsia="宋体" w:cs="Times New Roman"/>
                <w:color w:val="0000FF"/>
                <w:sz w:val="24"/>
                <w:szCs w:val="24"/>
                <w:highlight w:val="none"/>
                <w:lang w:val="en-US" w:eastAsia="zh-CN"/>
              </w:rPr>
              <w:t>300</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，处理能力约100</w:t>
            </w:r>
            <w:r>
              <w:rPr>
                <w:rFonts w:hint="default" w:ascii="Times New Roman" w:hAnsi="Times New Roman" w:eastAsia="宋体" w:cs="Times New Roman"/>
                <w:color w:val="0000FF"/>
                <w:sz w:val="24"/>
                <w:szCs w:val="24"/>
                <w:highlight w:val="none"/>
              </w:rPr>
              <w:t>m</w:t>
            </w:r>
            <w:r>
              <w:rPr>
                <w:rFonts w:hint="default" w:ascii="Times New Roman" w:hAnsi="Times New Roman" w:eastAsia="宋体" w:cs="Times New Roman"/>
                <w:color w:val="0000FF"/>
                <w:sz w:val="24"/>
                <w:szCs w:val="24"/>
                <w:highlight w:val="none"/>
                <w:vertAlign w:val="superscript"/>
                <w:lang w:val="en-US" w:eastAsia="zh-CN"/>
              </w:rPr>
              <w:t>3</w:t>
            </w:r>
            <w:r>
              <w:rPr>
                <w:rFonts w:hint="eastAsia" w:ascii="Times New Roman" w:hAnsi="Times New Roman" w:eastAsia="宋体" w:cs="Times New Roman"/>
                <w:color w:val="0000FF"/>
                <w:sz w:val="24"/>
                <w:szCs w:val="24"/>
                <w:highlight w:val="none"/>
                <w:lang w:val="en-US" w:eastAsia="zh-CN"/>
              </w:rPr>
              <w:t>/d，可满足搅拌机和罐车内壁清洗废水的处理需求。</w:t>
            </w:r>
          </w:p>
          <w:p>
            <w:pPr>
              <w:numPr>
                <w:ilvl w:val="0"/>
                <w:numId w:val="3"/>
              </w:numPr>
              <w:wordWrap/>
              <w:spacing w:line="360" w:lineRule="auto"/>
              <w:ind w:left="0" w:leftChars="0" w:firstLine="480" w:firstLineChars="200"/>
              <w:jc w:val="both"/>
              <w:rPr>
                <w:rFonts w:hint="eastAsia" w:ascii="Times New Roman" w:hAnsi="Times New Roman" w:eastAsia="宋体" w:cs="Times New Roman"/>
                <w:color w:val="0000FF"/>
                <w:kern w:val="0"/>
                <w:sz w:val="24"/>
                <w:szCs w:val="24"/>
                <w:lang w:val="en-US" w:eastAsia="zh-CN"/>
              </w:rPr>
            </w:pPr>
            <w:r>
              <w:rPr>
                <w:rFonts w:hint="eastAsia" w:ascii="Times New Roman" w:hAnsi="Times New Roman" w:eastAsia="宋体" w:cs="Times New Roman"/>
                <w:bCs/>
                <w:color w:val="0000FF"/>
                <w:sz w:val="24"/>
                <w:szCs w:val="24"/>
                <w:lang w:val="en-US" w:eastAsia="zh-CN"/>
              </w:rPr>
              <w:t>依托</w:t>
            </w:r>
            <w:r>
              <w:rPr>
                <w:rFonts w:hint="eastAsia" w:ascii="Times New Roman" w:hAnsi="Times New Roman" w:eastAsia="宋体" w:cs="Times New Roman"/>
                <w:color w:val="0000FF"/>
                <w:sz w:val="24"/>
                <w:szCs w:val="24"/>
                <w:lang w:val="en-US" w:eastAsia="zh-CN"/>
              </w:rPr>
              <w:t>辰溪县污水处理厂可行性分析</w:t>
            </w:r>
          </w:p>
          <w:p>
            <w:pPr>
              <w:spacing w:line="360" w:lineRule="auto"/>
              <w:ind w:firstLine="480" w:firstLineChars="200"/>
              <w:rPr>
                <w:rFonts w:hint="eastAsia" w:ascii="Times New Roman" w:hAnsi="Times New Roman" w:eastAsia="宋体" w:cs="Times New Roman"/>
                <w:bCs/>
                <w:color w:val="0000FF"/>
                <w:sz w:val="24"/>
                <w:szCs w:val="24"/>
                <w:lang w:val="en-US" w:eastAsia="zh-CN"/>
              </w:rPr>
            </w:pPr>
            <w:r>
              <w:rPr>
                <w:rFonts w:hint="eastAsia" w:ascii="Times New Roman" w:hAnsi="Times New Roman" w:eastAsia="宋体" w:cs="Times New Roman"/>
                <w:bCs/>
                <w:color w:val="0000FF"/>
                <w:sz w:val="24"/>
                <w:lang w:val="en-US" w:eastAsia="zh-CN"/>
              </w:rPr>
              <w:t>辰溪县污水处理厂主体设施为</w:t>
            </w:r>
            <w:r>
              <w:rPr>
                <w:rFonts w:hint="default" w:ascii="Times New Roman" w:hAnsi="Times New Roman" w:eastAsia="宋体" w:cs="Times New Roman"/>
                <w:bCs/>
                <w:color w:val="0000FF"/>
                <w:sz w:val="24"/>
                <w:lang w:val="en-US" w:eastAsia="zh-CN"/>
              </w:rPr>
              <w:t>“</w:t>
            </w:r>
            <w:r>
              <w:rPr>
                <w:rFonts w:hint="eastAsia" w:ascii="Times New Roman" w:hAnsi="Times New Roman" w:eastAsia="宋体" w:cs="Times New Roman"/>
                <w:bCs/>
                <w:color w:val="0000FF"/>
                <w:sz w:val="24"/>
                <w:lang w:val="en-US" w:eastAsia="zh-CN"/>
              </w:rPr>
              <w:t>粗格栅及提升泵房</w:t>
            </w:r>
            <w:r>
              <w:rPr>
                <w:rFonts w:hint="default" w:ascii="Times New Roman" w:hAnsi="Times New Roman" w:eastAsia="宋体" w:cs="Times New Roman"/>
                <w:bCs/>
                <w:color w:val="0000FF"/>
                <w:sz w:val="24"/>
                <w:lang w:val="en-US" w:eastAsia="zh-CN"/>
              </w:rPr>
              <w:t>+</w:t>
            </w:r>
            <w:r>
              <w:rPr>
                <w:rFonts w:hint="eastAsia" w:ascii="Times New Roman" w:hAnsi="Times New Roman" w:eastAsia="宋体" w:cs="Times New Roman"/>
                <w:bCs/>
                <w:color w:val="0000FF"/>
                <w:sz w:val="24"/>
                <w:lang w:val="en-US" w:eastAsia="zh-CN"/>
              </w:rPr>
              <w:t>细格栅及沉砂池</w:t>
            </w:r>
            <w:r>
              <w:rPr>
                <w:rFonts w:hint="default" w:ascii="Times New Roman" w:hAnsi="Times New Roman" w:eastAsia="宋体" w:cs="Times New Roman"/>
                <w:bCs/>
                <w:color w:val="0000FF"/>
                <w:sz w:val="24"/>
                <w:lang w:val="en-US" w:eastAsia="zh-CN"/>
              </w:rPr>
              <w:t xml:space="preserve">+A2/O </w:t>
            </w:r>
            <w:r>
              <w:rPr>
                <w:rFonts w:hint="eastAsia" w:ascii="Times New Roman" w:hAnsi="Times New Roman" w:eastAsia="宋体" w:cs="Times New Roman"/>
                <w:bCs/>
                <w:color w:val="0000FF"/>
                <w:sz w:val="24"/>
                <w:lang w:val="en-US" w:eastAsia="zh-CN"/>
              </w:rPr>
              <w:t>生物池</w:t>
            </w:r>
            <w:r>
              <w:rPr>
                <w:rFonts w:hint="default" w:ascii="Times New Roman" w:hAnsi="Times New Roman" w:eastAsia="宋体" w:cs="Times New Roman"/>
                <w:bCs/>
                <w:color w:val="0000FF"/>
                <w:sz w:val="24"/>
                <w:lang w:val="en-US" w:eastAsia="zh-CN"/>
              </w:rPr>
              <w:t xml:space="preserve">+MBR </w:t>
            </w:r>
            <w:r>
              <w:rPr>
                <w:rFonts w:hint="eastAsia" w:ascii="Times New Roman" w:hAnsi="Times New Roman" w:eastAsia="宋体" w:cs="Times New Roman"/>
                <w:bCs/>
                <w:color w:val="0000FF"/>
                <w:sz w:val="24"/>
                <w:lang w:val="en-US" w:eastAsia="zh-CN"/>
              </w:rPr>
              <w:t>膜池</w:t>
            </w:r>
            <w:r>
              <w:rPr>
                <w:rFonts w:hint="default" w:ascii="Times New Roman" w:hAnsi="Times New Roman" w:eastAsia="宋体" w:cs="Times New Roman"/>
                <w:bCs/>
                <w:color w:val="0000FF"/>
                <w:sz w:val="24"/>
                <w:lang w:val="en-US" w:eastAsia="zh-CN"/>
              </w:rPr>
              <w:t>+</w:t>
            </w:r>
            <w:r>
              <w:rPr>
                <w:rFonts w:hint="eastAsia" w:ascii="Times New Roman" w:hAnsi="Times New Roman" w:eastAsia="宋体" w:cs="Times New Roman"/>
                <w:bCs/>
                <w:color w:val="0000FF"/>
                <w:sz w:val="24"/>
                <w:lang w:val="en-US" w:eastAsia="zh-CN"/>
              </w:rPr>
              <w:t>紫外线消毒池</w:t>
            </w:r>
            <w:r>
              <w:rPr>
                <w:rFonts w:hint="default" w:ascii="Times New Roman" w:hAnsi="Times New Roman" w:eastAsia="宋体" w:cs="Times New Roman"/>
                <w:bCs/>
                <w:color w:val="0000FF"/>
                <w:sz w:val="24"/>
                <w:lang w:val="en-US" w:eastAsia="zh-CN"/>
              </w:rPr>
              <w:t>”</w:t>
            </w:r>
            <w:r>
              <w:rPr>
                <w:rFonts w:hint="eastAsia" w:ascii="Times New Roman" w:hAnsi="Times New Roman" w:eastAsia="宋体" w:cs="Times New Roman"/>
                <w:bCs/>
                <w:color w:val="0000FF"/>
                <w:sz w:val="24"/>
                <w:lang w:val="en-US" w:eastAsia="zh-CN"/>
              </w:rPr>
              <w:t>，尾水中</w:t>
            </w:r>
            <w:r>
              <w:rPr>
                <w:rFonts w:hint="eastAsia" w:ascii="Times New Roman" w:hAnsi="Times New Roman" w:eastAsia="宋体" w:cs="Times New Roman"/>
                <w:bCs/>
                <w:color w:val="0000FF"/>
                <w:sz w:val="24"/>
                <w:szCs w:val="24"/>
                <w:lang w:val="en-US" w:eastAsia="zh-CN"/>
              </w:rPr>
              <w:t>COD和氨氮满足《湖南省城镇污水处理厂主要水污染物排放标准》（</w:t>
            </w:r>
            <w:r>
              <w:rPr>
                <w:rFonts w:hint="default" w:ascii="Times New Roman" w:hAnsi="Times New Roman" w:eastAsia="宋体" w:cs="Times New Roman"/>
                <w:bCs/>
                <w:color w:val="0000FF"/>
                <w:sz w:val="24"/>
                <w:szCs w:val="24"/>
                <w:lang w:val="en-US" w:eastAsia="zh-CN"/>
              </w:rPr>
              <w:t>DB43/T 1546-2018</w:t>
            </w:r>
            <w:r>
              <w:rPr>
                <w:rFonts w:hint="eastAsia" w:ascii="Times New Roman" w:hAnsi="Times New Roman" w:eastAsia="宋体" w:cs="Times New Roman"/>
                <w:bCs/>
                <w:color w:val="0000FF"/>
                <w:sz w:val="24"/>
                <w:szCs w:val="24"/>
                <w:lang w:val="en-US" w:eastAsia="zh-CN"/>
              </w:rPr>
              <w:t xml:space="preserve">）中表 </w:t>
            </w:r>
            <w:r>
              <w:rPr>
                <w:rFonts w:hint="default" w:ascii="Times New Roman" w:hAnsi="Times New Roman" w:eastAsia="宋体" w:cs="Times New Roman"/>
                <w:bCs/>
                <w:color w:val="0000FF"/>
                <w:sz w:val="24"/>
                <w:szCs w:val="24"/>
                <w:lang w:val="en-US" w:eastAsia="zh-CN"/>
              </w:rPr>
              <w:t xml:space="preserve">1 </w:t>
            </w:r>
            <w:r>
              <w:rPr>
                <w:rFonts w:hint="eastAsia" w:ascii="Times New Roman" w:hAnsi="Times New Roman" w:eastAsia="宋体" w:cs="Times New Roman"/>
                <w:bCs/>
                <w:color w:val="0000FF"/>
                <w:sz w:val="24"/>
                <w:szCs w:val="24"/>
                <w:lang w:val="en-US" w:eastAsia="zh-CN"/>
              </w:rPr>
              <w:t>之二级标准，其余因子满足《城镇污水处理厂污染物排放标准》</w:t>
            </w:r>
            <w:r>
              <w:rPr>
                <w:rFonts w:hint="default" w:ascii="Times New Roman" w:hAnsi="Times New Roman" w:eastAsia="宋体" w:cs="Times New Roman"/>
                <w:bCs/>
                <w:color w:val="0000FF"/>
                <w:sz w:val="24"/>
                <w:szCs w:val="24"/>
                <w:lang w:val="en-US" w:eastAsia="zh-CN"/>
              </w:rPr>
              <w:t>(GB18918-2002)</w:t>
            </w:r>
            <w:r>
              <w:rPr>
                <w:rFonts w:hint="eastAsia" w:ascii="Times New Roman" w:hAnsi="Times New Roman" w:eastAsia="宋体" w:cs="Times New Roman"/>
                <w:bCs/>
                <w:color w:val="0000FF"/>
                <w:sz w:val="24"/>
                <w:szCs w:val="24"/>
                <w:lang w:val="en-US" w:eastAsia="zh-CN"/>
              </w:rPr>
              <w:t xml:space="preserve">表 </w:t>
            </w:r>
            <w:r>
              <w:rPr>
                <w:rFonts w:hint="default" w:ascii="Times New Roman" w:hAnsi="Times New Roman" w:eastAsia="宋体" w:cs="Times New Roman"/>
                <w:bCs/>
                <w:color w:val="0000FF"/>
                <w:sz w:val="24"/>
                <w:szCs w:val="24"/>
                <w:lang w:val="en-US" w:eastAsia="zh-CN"/>
              </w:rPr>
              <w:t xml:space="preserve">1 </w:t>
            </w:r>
            <w:r>
              <w:rPr>
                <w:rFonts w:hint="eastAsia" w:ascii="Times New Roman" w:hAnsi="Times New Roman" w:eastAsia="宋体" w:cs="Times New Roman"/>
                <w:bCs/>
                <w:color w:val="0000FF"/>
                <w:sz w:val="24"/>
                <w:szCs w:val="24"/>
                <w:lang w:val="en-US" w:eastAsia="zh-CN"/>
              </w:rPr>
              <w:t xml:space="preserve">中一级 </w:t>
            </w:r>
            <w:r>
              <w:rPr>
                <w:rFonts w:hint="default" w:ascii="Times New Roman" w:hAnsi="Times New Roman" w:eastAsia="宋体" w:cs="Times New Roman"/>
                <w:bCs/>
                <w:color w:val="0000FF"/>
                <w:sz w:val="24"/>
                <w:szCs w:val="24"/>
                <w:lang w:val="en-US" w:eastAsia="zh-CN"/>
              </w:rPr>
              <w:t xml:space="preserve">A </w:t>
            </w:r>
            <w:r>
              <w:rPr>
                <w:rFonts w:hint="eastAsia" w:ascii="Times New Roman" w:hAnsi="Times New Roman" w:eastAsia="宋体" w:cs="Times New Roman"/>
                <w:bCs/>
                <w:color w:val="0000FF"/>
                <w:sz w:val="24"/>
                <w:szCs w:val="24"/>
                <w:lang w:val="en-US" w:eastAsia="zh-CN"/>
              </w:rPr>
              <w:t>标准后排入沅水。</w:t>
            </w:r>
          </w:p>
          <w:p>
            <w:pPr>
              <w:spacing w:line="360" w:lineRule="auto"/>
              <w:ind w:firstLine="480" w:firstLineChars="200"/>
              <w:rPr>
                <w:rFonts w:hint="default" w:ascii="Times New Roman" w:hAnsi="Times New Roman" w:eastAsia="宋体" w:cs="Times New Roman"/>
                <w:bCs/>
                <w:color w:val="0000FF"/>
                <w:sz w:val="24"/>
                <w:lang w:val="en-US" w:eastAsia="zh-CN"/>
              </w:rPr>
            </w:pPr>
            <w:r>
              <w:rPr>
                <w:rFonts w:hint="eastAsia" w:ascii="Times New Roman" w:hAnsi="Times New Roman" w:eastAsia="宋体" w:cs="Times New Roman"/>
                <w:bCs/>
                <w:color w:val="0000FF"/>
                <w:sz w:val="24"/>
                <w:szCs w:val="24"/>
                <w:lang w:val="en-US" w:eastAsia="zh-CN"/>
              </w:rPr>
              <w:t>该污水处理厂</w:t>
            </w:r>
            <w:r>
              <w:rPr>
                <w:rFonts w:hint="eastAsia" w:ascii="Times New Roman" w:hAnsi="Times New Roman" w:eastAsia="宋体" w:cs="Times New Roman"/>
                <w:bCs/>
                <w:color w:val="0000FF"/>
                <w:sz w:val="24"/>
                <w:lang w:val="en-US" w:eastAsia="zh-CN"/>
              </w:rPr>
              <w:t>满足服务范围为辰溪县县城，近期（</w:t>
            </w:r>
            <w:r>
              <w:rPr>
                <w:rFonts w:hint="default" w:ascii="Times New Roman" w:hAnsi="Times New Roman" w:eastAsia="宋体" w:cs="Times New Roman"/>
                <w:bCs/>
                <w:color w:val="0000FF"/>
                <w:sz w:val="24"/>
                <w:lang w:val="en-US" w:eastAsia="zh-CN"/>
              </w:rPr>
              <w:t xml:space="preserve">2025 </w:t>
            </w:r>
            <w:r>
              <w:rPr>
                <w:rFonts w:hint="eastAsia" w:ascii="Times New Roman" w:hAnsi="Times New Roman" w:eastAsia="宋体" w:cs="Times New Roman"/>
                <w:bCs/>
                <w:color w:val="0000FF"/>
                <w:sz w:val="24"/>
                <w:lang w:val="en-US" w:eastAsia="zh-CN"/>
              </w:rPr>
              <w:t xml:space="preserve">年）总规模为 </w:t>
            </w:r>
            <w:r>
              <w:rPr>
                <w:rFonts w:hint="default" w:ascii="Times New Roman" w:hAnsi="Times New Roman" w:eastAsia="宋体" w:cs="Times New Roman"/>
                <w:bCs/>
                <w:color w:val="0000FF"/>
                <w:sz w:val="24"/>
                <w:lang w:val="en-US" w:eastAsia="zh-CN"/>
              </w:rPr>
              <w:t xml:space="preserve">3.0 </w:t>
            </w:r>
            <w:r>
              <w:rPr>
                <w:rFonts w:hint="eastAsia" w:ascii="Times New Roman" w:hAnsi="Times New Roman" w:eastAsia="宋体" w:cs="Times New Roman"/>
                <w:bCs/>
                <w:color w:val="0000FF"/>
                <w:sz w:val="24"/>
                <w:lang w:val="en-US" w:eastAsia="zh-CN"/>
              </w:rPr>
              <w:t>万</w:t>
            </w:r>
            <w:r>
              <w:rPr>
                <w:rFonts w:hint="default" w:ascii="Times New Roman" w:hAnsi="Times New Roman" w:eastAsia="宋体" w:cs="Times New Roman"/>
                <w:bCs/>
                <w:color w:val="0000FF"/>
                <w:sz w:val="24"/>
                <w:lang w:val="en-US" w:eastAsia="zh-CN"/>
              </w:rPr>
              <w:t>m</w:t>
            </w:r>
            <w:r>
              <w:rPr>
                <w:rFonts w:hint="default" w:ascii="Times New Roman" w:hAnsi="Times New Roman" w:eastAsia="宋体" w:cs="Times New Roman"/>
                <w:bCs/>
                <w:color w:val="0000FF"/>
                <w:sz w:val="24"/>
                <w:vertAlign w:val="superscript"/>
                <w:lang w:val="en-US" w:eastAsia="zh-CN"/>
              </w:rPr>
              <w:t>3</w:t>
            </w:r>
            <w:r>
              <w:rPr>
                <w:rFonts w:hint="default" w:ascii="Times New Roman" w:hAnsi="Times New Roman" w:eastAsia="宋体" w:cs="Times New Roman"/>
                <w:bCs/>
                <w:color w:val="0000FF"/>
                <w:sz w:val="24"/>
                <w:lang w:val="en-US" w:eastAsia="zh-CN"/>
              </w:rPr>
              <w:t>/d</w:t>
            </w:r>
            <w:r>
              <w:rPr>
                <w:rFonts w:hint="eastAsia" w:ascii="Times New Roman" w:hAnsi="Times New Roman" w:eastAsia="宋体" w:cs="Times New Roman"/>
                <w:bCs/>
                <w:color w:val="0000FF"/>
                <w:sz w:val="24"/>
                <w:lang w:val="en-US" w:eastAsia="zh-CN"/>
              </w:rPr>
              <w:t>，远期建设总规模为</w:t>
            </w:r>
            <w:r>
              <w:rPr>
                <w:rFonts w:hint="default" w:ascii="Times New Roman" w:hAnsi="Times New Roman" w:eastAsia="宋体" w:cs="Times New Roman"/>
                <w:bCs/>
                <w:color w:val="0000FF"/>
                <w:sz w:val="24"/>
                <w:lang w:val="en-US" w:eastAsia="zh-CN"/>
              </w:rPr>
              <w:t xml:space="preserve">4.0 </w:t>
            </w:r>
            <w:r>
              <w:rPr>
                <w:rFonts w:hint="eastAsia" w:ascii="Times New Roman" w:hAnsi="Times New Roman" w:eastAsia="宋体" w:cs="Times New Roman"/>
                <w:bCs/>
                <w:color w:val="0000FF"/>
                <w:sz w:val="24"/>
                <w:lang w:val="en-US" w:eastAsia="zh-CN"/>
              </w:rPr>
              <w:t>万</w:t>
            </w:r>
            <w:r>
              <w:rPr>
                <w:rFonts w:hint="default" w:ascii="Times New Roman" w:hAnsi="Times New Roman" w:eastAsia="宋体" w:cs="Times New Roman"/>
                <w:bCs/>
                <w:color w:val="0000FF"/>
                <w:sz w:val="24"/>
                <w:lang w:val="en-US" w:eastAsia="zh-CN"/>
              </w:rPr>
              <w:t>m</w:t>
            </w:r>
            <w:r>
              <w:rPr>
                <w:rFonts w:hint="default" w:ascii="Times New Roman" w:hAnsi="Times New Roman" w:eastAsia="宋体" w:cs="Times New Roman"/>
                <w:bCs/>
                <w:color w:val="0000FF"/>
                <w:sz w:val="24"/>
                <w:vertAlign w:val="superscript"/>
                <w:lang w:val="en-US" w:eastAsia="zh-CN"/>
              </w:rPr>
              <w:t>3</w:t>
            </w:r>
            <w:r>
              <w:rPr>
                <w:rFonts w:hint="default" w:ascii="Times New Roman" w:hAnsi="Times New Roman" w:eastAsia="宋体" w:cs="Times New Roman"/>
                <w:bCs/>
                <w:color w:val="0000FF"/>
                <w:sz w:val="24"/>
                <w:lang w:val="en-US" w:eastAsia="zh-CN"/>
              </w:rPr>
              <w:t>/d</w:t>
            </w:r>
            <w:r>
              <w:rPr>
                <w:rFonts w:hint="eastAsia" w:ascii="Times New Roman" w:hAnsi="Times New Roman" w:eastAsia="宋体" w:cs="Times New Roman"/>
                <w:bCs/>
                <w:color w:val="0000FF"/>
                <w:sz w:val="24"/>
                <w:lang w:val="en-US" w:eastAsia="zh-CN"/>
              </w:rPr>
              <w:t>。目前日处理污水约2万</w:t>
            </w:r>
            <w:r>
              <w:rPr>
                <w:rFonts w:hint="default" w:ascii="Times New Roman" w:hAnsi="Times New Roman" w:eastAsia="宋体" w:cs="Times New Roman"/>
                <w:bCs/>
                <w:color w:val="0000FF"/>
                <w:sz w:val="24"/>
                <w:lang w:val="en-US" w:eastAsia="zh-CN"/>
              </w:rPr>
              <w:t>m</w:t>
            </w:r>
            <w:r>
              <w:rPr>
                <w:rFonts w:hint="default" w:ascii="Times New Roman" w:hAnsi="Times New Roman" w:eastAsia="宋体" w:cs="Times New Roman"/>
                <w:bCs/>
                <w:color w:val="0000FF"/>
                <w:sz w:val="24"/>
                <w:vertAlign w:val="superscript"/>
                <w:lang w:val="en-US" w:eastAsia="zh-CN"/>
              </w:rPr>
              <w:t>3</w:t>
            </w:r>
            <w:r>
              <w:rPr>
                <w:rFonts w:hint="default" w:ascii="Times New Roman" w:hAnsi="Times New Roman" w:eastAsia="宋体" w:cs="Times New Roman"/>
                <w:bCs/>
                <w:color w:val="0000FF"/>
                <w:sz w:val="24"/>
                <w:lang w:val="en-US" w:eastAsia="zh-CN"/>
              </w:rPr>
              <w:t>/d</w:t>
            </w:r>
            <w:r>
              <w:rPr>
                <w:rFonts w:hint="eastAsia" w:ascii="Times New Roman" w:hAnsi="Times New Roman" w:eastAsia="宋体" w:cs="Times New Roman"/>
                <w:bCs/>
                <w:color w:val="0000FF"/>
                <w:sz w:val="24"/>
                <w:lang w:val="en-US" w:eastAsia="zh-CN"/>
              </w:rPr>
              <w:t>，还有富余的处理能力，本项目生活污水产生量为4.59</w:t>
            </w:r>
            <w:r>
              <w:rPr>
                <w:rFonts w:hint="default" w:ascii="Times New Roman" w:hAnsi="Times New Roman" w:eastAsia="宋体" w:cs="Times New Roman"/>
                <w:bCs/>
                <w:color w:val="0000FF"/>
                <w:sz w:val="24"/>
                <w:lang w:val="en-US" w:eastAsia="zh-CN"/>
              </w:rPr>
              <w:t>m</w:t>
            </w:r>
            <w:r>
              <w:rPr>
                <w:rFonts w:hint="default" w:ascii="Times New Roman" w:hAnsi="Times New Roman" w:eastAsia="宋体" w:cs="Times New Roman"/>
                <w:bCs/>
                <w:color w:val="0000FF"/>
                <w:sz w:val="24"/>
                <w:vertAlign w:val="superscript"/>
                <w:lang w:val="en-US" w:eastAsia="zh-CN"/>
              </w:rPr>
              <w:t>3</w:t>
            </w:r>
            <w:r>
              <w:rPr>
                <w:rFonts w:hint="default" w:ascii="Times New Roman" w:hAnsi="Times New Roman" w:eastAsia="宋体" w:cs="Times New Roman"/>
                <w:bCs/>
                <w:color w:val="0000FF"/>
                <w:sz w:val="24"/>
                <w:lang w:val="en-US" w:eastAsia="zh-CN"/>
              </w:rPr>
              <w:t>/d</w:t>
            </w:r>
            <w:r>
              <w:rPr>
                <w:rFonts w:hint="eastAsia" w:ascii="Times New Roman" w:hAnsi="Times New Roman" w:eastAsia="宋体" w:cs="Times New Roman"/>
                <w:bCs/>
                <w:color w:val="0000FF"/>
                <w:sz w:val="24"/>
                <w:lang w:val="en-US" w:eastAsia="zh-CN"/>
              </w:rPr>
              <w:t>，远远小于其设计处理规模，且污水中各污染因子经过厂区污水治理设施预处理后满足其进水水质要求，不会产生冲击。</w:t>
            </w:r>
          </w:p>
          <w:p>
            <w:pPr>
              <w:spacing w:line="360" w:lineRule="auto"/>
              <w:ind w:firstLine="480" w:firstLineChars="200"/>
              <w:rPr>
                <w:rFonts w:hint="default" w:ascii="Times New Roman" w:hAnsi="Times New Roman" w:eastAsia="宋体" w:cs="Times New Roman"/>
                <w:color w:val="0000FF"/>
                <w:kern w:val="0"/>
                <w:sz w:val="24"/>
                <w:szCs w:val="24"/>
                <w:highlight w:val="none"/>
                <w:u w:val="none"/>
                <w:lang w:val="en-US" w:eastAsia="zh-CN"/>
              </w:rPr>
            </w:pPr>
            <w:r>
              <w:rPr>
                <w:rFonts w:hint="eastAsia" w:ascii="Times New Roman" w:hAnsi="Times New Roman" w:eastAsia="宋体" w:cs="Times New Roman"/>
                <w:color w:val="0000FF"/>
                <w:sz w:val="24"/>
                <w:szCs w:val="24"/>
                <w:lang w:val="en-US" w:eastAsia="zh-CN"/>
              </w:rPr>
              <w:t>辰溪县污水处理厂</w:t>
            </w:r>
            <w:r>
              <w:rPr>
                <w:rFonts w:hint="default" w:ascii="Times New Roman" w:hAnsi="Times New Roman" w:eastAsia="宋体" w:cs="Times New Roman"/>
                <w:color w:val="auto"/>
                <w:sz w:val="24"/>
                <w:szCs w:val="24"/>
                <w:highlight w:val="none"/>
              </w:rPr>
              <w:t>服务范围、处理工艺和处理能力等均能满足</w:t>
            </w:r>
            <w:r>
              <w:rPr>
                <w:rFonts w:hint="eastAsia"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项目的废水处理需求，</w:t>
            </w:r>
            <w:r>
              <w:rPr>
                <w:rFonts w:hint="eastAsia" w:ascii="Times New Roman" w:hAnsi="Times New Roman" w:eastAsia="宋体" w:cs="Times New Roman"/>
                <w:color w:val="auto"/>
                <w:sz w:val="24"/>
                <w:szCs w:val="24"/>
                <w:highlight w:val="none"/>
                <w:lang w:val="en-US" w:eastAsia="zh-CN"/>
              </w:rPr>
              <w:t>依托可行。</w:t>
            </w:r>
          </w:p>
          <w:p>
            <w:pPr>
              <w:numPr>
                <w:ilvl w:val="0"/>
                <w:numId w:val="3"/>
              </w:numPr>
              <w:wordWrap/>
              <w:spacing w:line="360" w:lineRule="auto"/>
              <w:ind w:left="0" w:leftChars="0" w:firstLine="480" w:firstLineChars="2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影响分析</w:t>
            </w:r>
          </w:p>
          <w:p>
            <w:pPr>
              <w:wordWrap/>
              <w:spacing w:line="360" w:lineRule="auto"/>
              <w:ind w:firstLine="480" w:firstLineChars="200"/>
              <w:jc w:val="both"/>
              <w:rPr>
                <w:rFonts w:hint="eastAsia" w:ascii="Times New Roman" w:hAnsi="Times New Roman" w:eastAsia="宋体" w:cs="Times New Roman"/>
                <w:bCs/>
                <w:color w:val="FF0000"/>
                <w:sz w:val="24"/>
                <w:szCs w:val="24"/>
                <w:lang w:val="en-US" w:eastAsia="zh-CN"/>
              </w:rPr>
            </w:pPr>
            <w:r>
              <w:rPr>
                <w:rFonts w:hint="default" w:ascii="Times New Roman" w:hAnsi="Times New Roman" w:eastAsia="宋体" w:cs="Times New Roman"/>
                <w:sz w:val="24"/>
                <w:szCs w:val="24"/>
                <w:lang w:val="en-US" w:eastAsia="zh-CN"/>
              </w:rPr>
              <w:t>本项目废水主要为</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lang w:val="en-US" w:eastAsia="zh-CN"/>
              </w:rPr>
              <w:t>清洗废水、</w:t>
            </w:r>
            <w:r>
              <w:rPr>
                <w:rFonts w:hint="eastAsia" w:ascii="Times New Roman" w:hAnsi="Times New Roman" w:eastAsia="宋体" w:cs="Times New Roman"/>
                <w:sz w:val="24"/>
                <w:szCs w:val="24"/>
                <w:lang w:val="en-US" w:eastAsia="zh-CN"/>
              </w:rPr>
              <w:t>进出车辆冲洗废水、</w:t>
            </w:r>
            <w:r>
              <w:rPr>
                <w:rFonts w:hint="default" w:ascii="Times New Roman" w:hAnsi="Times New Roman" w:eastAsia="宋体" w:cs="Times New Roman"/>
                <w:sz w:val="24"/>
                <w:szCs w:val="24"/>
                <w:lang w:val="en-US" w:eastAsia="zh-CN"/>
              </w:rPr>
              <w:t>场地清洗废水、喷雾降尘废水、生活废水和初期雨水</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。本项目采取雨污分流，</w:t>
            </w:r>
            <w:r>
              <w:rPr>
                <w:rFonts w:hint="eastAsia" w:ascii="Times New Roman" w:hAnsi="Times New Roman" w:eastAsia="宋体" w:cs="Times New Roman"/>
                <w:sz w:val="24"/>
                <w:szCs w:val="24"/>
                <w:lang w:val="en-US" w:eastAsia="zh-CN"/>
              </w:rPr>
              <w:t>初期雨水经</w:t>
            </w:r>
            <w:r>
              <w:rPr>
                <w:rFonts w:hint="eastAsia" w:ascii="Times New Roman" w:hAnsi="Times New Roman" w:eastAsia="宋体" w:cs="Times New Roman"/>
                <w:color w:val="0000FF"/>
                <w:sz w:val="24"/>
                <w:szCs w:val="24"/>
                <w:highlight w:val="none"/>
                <w:lang w:val="en-US" w:eastAsia="zh-CN"/>
              </w:rPr>
              <w:t>隔油</w:t>
            </w:r>
            <w:r>
              <w:rPr>
                <w:rFonts w:hint="default" w:ascii="Times New Roman" w:hAnsi="Times New Roman" w:eastAsia="宋体" w:cs="Times New Roman"/>
                <w:color w:val="0000FF"/>
                <w:sz w:val="24"/>
                <w:szCs w:val="24"/>
                <w:highlight w:val="none"/>
              </w:rPr>
              <w:t>沉淀池</w:t>
            </w:r>
            <w:r>
              <w:rPr>
                <w:rFonts w:hint="eastAsia" w:ascii="Times New Roman" w:hAnsi="Times New Roman" w:eastAsia="宋体" w:cs="Times New Roman"/>
                <w:color w:val="0000FF"/>
                <w:sz w:val="24"/>
                <w:szCs w:val="24"/>
                <w:highlight w:val="none"/>
                <w:lang w:val="en-US" w:eastAsia="zh-CN"/>
              </w:rPr>
              <w:t>沉淀后用于厂区内部洒水抑尘</w:t>
            </w:r>
            <w:r>
              <w:rPr>
                <w:rFonts w:hint="default" w:ascii="Times New Roman" w:hAnsi="Times New Roman" w:eastAsia="宋体" w:cs="Times New Roman"/>
                <w:color w:val="0000FF"/>
                <w:sz w:val="24"/>
                <w:szCs w:val="24"/>
                <w:highlight w:val="none"/>
              </w:rPr>
              <w:t>，不外排</w:t>
            </w:r>
            <w:r>
              <w:rPr>
                <w:rFonts w:hint="eastAsia" w:ascii="Times New Roman" w:hAnsi="Times New Roman" w:eastAsia="宋体" w:cs="Times New Roman"/>
                <w:color w:val="0000FF"/>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进出车辆冲洗废水经隔油</w:t>
            </w:r>
            <w:r>
              <w:rPr>
                <w:rFonts w:hint="default" w:ascii="Times New Roman" w:hAnsi="Times New Roman" w:eastAsia="宋体" w:cs="Times New Roman"/>
                <w:color w:val="FF0000"/>
                <w:sz w:val="24"/>
                <w:szCs w:val="24"/>
                <w:highlight w:val="none"/>
              </w:rPr>
              <w:t>沉淀池</w:t>
            </w:r>
            <w:r>
              <w:rPr>
                <w:rFonts w:hint="eastAsia" w:ascii="Times New Roman" w:hAnsi="Times New Roman" w:eastAsia="宋体" w:cs="Times New Roman"/>
                <w:color w:val="FF0000"/>
                <w:sz w:val="24"/>
                <w:szCs w:val="24"/>
                <w:highlight w:val="none"/>
                <w:lang w:val="en-US" w:eastAsia="zh-CN"/>
              </w:rPr>
              <w:t>沉淀后用于车辆冲洗</w:t>
            </w:r>
            <w:r>
              <w:rPr>
                <w:rFonts w:hint="default" w:ascii="Times New Roman" w:hAnsi="Times New Roman" w:eastAsia="宋体" w:cs="Times New Roman"/>
                <w:color w:val="FF0000"/>
                <w:sz w:val="24"/>
                <w:szCs w:val="24"/>
                <w:highlight w:val="none"/>
              </w:rPr>
              <w:t>，不外排</w:t>
            </w:r>
            <w:r>
              <w:rPr>
                <w:rFonts w:hint="eastAsia" w:ascii="Times New Roman" w:hAnsi="Times New Roman" w:eastAsia="宋体" w:cs="Times New Roman"/>
                <w:color w:val="FF0000"/>
                <w:sz w:val="24"/>
                <w:szCs w:val="24"/>
                <w:highlight w:val="none"/>
                <w:lang w:val="en-US" w:eastAsia="zh-CN"/>
              </w:rPr>
              <w:t>；</w:t>
            </w:r>
            <w:r>
              <w:rPr>
                <w:rFonts w:hint="default" w:ascii="Times New Roman" w:hAnsi="Times New Roman" w:eastAsia="宋体" w:cs="Times New Roman"/>
                <w:sz w:val="24"/>
                <w:szCs w:val="24"/>
                <w:highlight w:val="none"/>
              </w:rPr>
              <w:t>搅拌</w:t>
            </w:r>
            <w:r>
              <w:rPr>
                <w:rFonts w:hint="eastAsia" w:ascii="Times New Roman" w:hAnsi="Times New Roman" w:eastAsia="宋体" w:cs="Times New Roman"/>
                <w:sz w:val="24"/>
                <w:szCs w:val="24"/>
                <w:highlight w:val="none"/>
                <w:lang w:val="en-US" w:eastAsia="zh-CN"/>
              </w:rPr>
              <w:t>机</w:t>
            </w:r>
            <w:r>
              <w:rPr>
                <w:rFonts w:hint="default" w:ascii="Times New Roman" w:hAnsi="Times New Roman" w:eastAsia="宋体" w:cs="Times New Roman"/>
                <w:sz w:val="24"/>
                <w:szCs w:val="24"/>
                <w:highlight w:val="none"/>
              </w:rPr>
              <w:t>清洗废水、</w:t>
            </w:r>
            <w:r>
              <w:rPr>
                <w:rFonts w:hint="eastAsia" w:ascii="Times New Roman" w:hAnsi="Times New Roman" w:eastAsia="宋体" w:cs="Times New Roman"/>
                <w:sz w:val="24"/>
                <w:szCs w:val="24"/>
                <w:highlight w:val="none"/>
                <w:u w:val="none"/>
                <w:lang w:val="en-US" w:eastAsia="zh-CN"/>
              </w:rPr>
              <w:t>罐车内壁</w:t>
            </w:r>
            <w:r>
              <w:rPr>
                <w:rFonts w:hint="default" w:ascii="Times New Roman" w:hAnsi="Times New Roman" w:eastAsia="宋体" w:cs="Times New Roman"/>
                <w:sz w:val="24"/>
                <w:szCs w:val="24"/>
                <w:highlight w:val="none"/>
              </w:rPr>
              <w:t>清洗废水经三级沉淀池沉淀处理后回用于生产；</w:t>
            </w:r>
            <w:r>
              <w:rPr>
                <w:rFonts w:hint="default" w:ascii="Times New Roman" w:hAnsi="Times New Roman" w:eastAsia="宋体" w:cs="Times New Roman"/>
                <w:sz w:val="24"/>
                <w:szCs w:val="24"/>
                <w:lang w:val="en-US" w:eastAsia="zh-CN"/>
              </w:rPr>
              <w:t>场地清洗废水收集后经隔油沉淀池处理后循环回用于场地清洗，不外排；喷雾降尘用水全部蒸发损耗，无废水产生或外排；食堂废水经隔油池处理后和其它生活污水</w:t>
            </w:r>
            <w:r>
              <w:rPr>
                <w:rFonts w:hint="eastAsia" w:ascii="Times New Roman" w:hAnsi="Times New Roman" w:eastAsia="宋体" w:cs="Times New Roman"/>
                <w:bCs/>
                <w:color w:val="FF0000"/>
                <w:sz w:val="24"/>
                <w:szCs w:val="24"/>
                <w:lang w:val="en-US" w:eastAsia="zh-CN"/>
              </w:rPr>
              <w:t>经生化池收集处理后接入</w:t>
            </w:r>
            <w:r>
              <w:rPr>
                <w:rFonts w:hint="eastAsia" w:ascii="Times New Roman" w:hAnsi="Times New Roman" w:eastAsia="宋体" w:cs="Times New Roman"/>
                <w:color w:val="0000FF"/>
                <w:sz w:val="24"/>
                <w:szCs w:val="24"/>
                <w:lang w:val="en-US" w:eastAsia="zh-CN"/>
              </w:rPr>
              <w:t>辰溪县污水处理厂</w:t>
            </w:r>
            <w:r>
              <w:rPr>
                <w:rFonts w:hint="eastAsia" w:ascii="Times New Roman" w:hAnsi="Times New Roman" w:cs="Times New Roman"/>
                <w:bCs/>
                <w:color w:val="FF0000"/>
                <w:sz w:val="24"/>
                <w:szCs w:val="24"/>
                <w:lang w:val="en-US" w:eastAsia="zh-CN"/>
              </w:rPr>
              <w:t>。</w:t>
            </w:r>
          </w:p>
          <w:p>
            <w:pPr>
              <w:wordWrap/>
              <w:spacing w:line="360" w:lineRule="auto"/>
              <w:ind w:firstLine="480" w:firstLineChars="2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综上，</w:t>
            </w:r>
            <w:r>
              <w:rPr>
                <w:rFonts w:hint="eastAsia" w:ascii="Times New Roman" w:hAnsi="Times New Roman" w:eastAsia="宋体" w:cs="Times New Roman"/>
                <w:kern w:val="0"/>
                <w:sz w:val="24"/>
                <w:szCs w:val="24"/>
                <w:lang w:val="en-US" w:eastAsia="zh-CN"/>
              </w:rPr>
              <w:t>项目生产废水不外排，生活污水进入</w:t>
            </w:r>
            <w:r>
              <w:rPr>
                <w:rFonts w:hint="eastAsia" w:ascii="Times New Roman" w:hAnsi="Times New Roman" w:eastAsia="宋体" w:cs="Times New Roman"/>
                <w:color w:val="0000FF"/>
                <w:sz w:val="24"/>
                <w:szCs w:val="24"/>
                <w:lang w:val="en-US" w:eastAsia="zh-CN"/>
              </w:rPr>
              <w:t>辰溪县污水处理厂进行深度处理，其尾水出水水质满足《湖南省城镇污水处理厂主要水污染物排放标准》（DB43/T 1546-2018）中表 1 中二级标准与《城镇污水处理厂污染物排放标准》(GB18918-2002)表 1 中一级 A 标准</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kern w:val="0"/>
                <w:sz w:val="24"/>
                <w:szCs w:val="24"/>
              </w:rPr>
              <w:t>对地表水环境影响较小。</w:t>
            </w:r>
          </w:p>
          <w:p>
            <w:pPr>
              <w:wordWrap/>
              <w:spacing w:line="360" w:lineRule="auto"/>
              <w:ind w:firstLine="480" w:firstLineChars="200"/>
              <w:jc w:val="both"/>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、污水排放口基本情况</w:t>
            </w:r>
          </w:p>
          <w:p>
            <w:pPr>
              <w:keepNext/>
              <w:keepLines/>
              <w:spacing w:line="460" w:lineRule="exact"/>
              <w:ind w:firstLine="48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kern w:val="0"/>
                <w:sz w:val="24"/>
                <w:szCs w:val="24"/>
              </w:rPr>
              <w:t>项目</w:t>
            </w:r>
            <w:r>
              <w:rPr>
                <w:rFonts w:hint="eastAsia" w:ascii="Times New Roman" w:hAnsi="Times New Roman" w:eastAsia="宋体" w:cs="Times New Roman"/>
                <w:kern w:val="0"/>
                <w:sz w:val="24"/>
                <w:szCs w:val="24"/>
                <w:lang w:val="en-US" w:eastAsia="zh-CN"/>
              </w:rPr>
              <w:t>生产废水与初期雨水不外排，生活污水排放信息如下：</w:t>
            </w:r>
          </w:p>
        </w:tc>
      </w:tr>
    </w:tbl>
    <w:p>
      <w:pPr>
        <w:pStyle w:val="3"/>
        <w:keepLines/>
        <w:overflowPunct/>
        <w:snapToGrid/>
        <w:spacing w:before="0" w:after="0" w:line="360" w:lineRule="auto"/>
        <w:ind w:left="0" w:firstLine="0"/>
        <w:jc w:val="both"/>
        <w:outlineLvl w:val="9"/>
        <w:rPr>
          <w:rFonts w:hint="default" w:ascii="Times New Roman" w:hAnsi="Times New Roman" w:eastAsia="宋体" w:cs="Times New Roman"/>
          <w:b w:val="0"/>
          <w:color w:val="auto"/>
          <w:lang w:val="en-US" w:eastAsia="zh-CN"/>
        </w:rPr>
        <w:sectPr>
          <w:pgSz w:w="11906" w:h="16839"/>
          <w:pgMar w:top="400" w:right="1017" w:bottom="1014" w:left="1299" w:header="0" w:footer="854"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宋体" w:cs="Times New Roman"/>
          <w:b w:val="0"/>
          <w:color w:val="auto"/>
          <w:lang w:val="en-US" w:eastAsia="zh-CN"/>
        </w:rPr>
        <w:t xml:space="preserve">               </w:t>
      </w:r>
    </w:p>
    <w:p>
      <w:pPr>
        <w:keepNext/>
        <w:keepLines/>
        <w:spacing w:line="240" w:lineRule="auto"/>
        <w:ind w:firstLine="422" w:firstLineChars="200"/>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表4-</w:t>
      </w:r>
      <w:r>
        <w:rPr>
          <w:rFonts w:hint="eastAsia" w:ascii="Times New Roman" w:hAnsi="Times New Roman" w:eastAsia="宋体" w:cs="Times New Roman"/>
          <w:b/>
          <w:bCs/>
          <w:color w:val="0000FF"/>
          <w:sz w:val="21"/>
          <w:szCs w:val="21"/>
          <w:lang w:val="en-US" w:eastAsia="zh-CN"/>
        </w:rPr>
        <w:t>7</w:t>
      </w:r>
      <w:r>
        <w:rPr>
          <w:rFonts w:hint="default" w:ascii="Times New Roman" w:hAnsi="Times New Roman" w:eastAsia="宋体" w:cs="Times New Roman"/>
          <w:b/>
          <w:bCs/>
          <w:color w:val="0000FF"/>
          <w:sz w:val="21"/>
          <w:szCs w:val="21"/>
        </w:rPr>
        <w:t xml:space="preserve">  废水类别、污染物及污染治理设施信息表</w:t>
      </w:r>
    </w:p>
    <w:tbl>
      <w:tblPr>
        <w:tblStyle w:val="15"/>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51" w:type="dxa"/>
          <w:bottom w:w="0" w:type="dxa"/>
          <w:right w:w="51" w:type="dxa"/>
        </w:tblCellMar>
      </w:tblPr>
      <w:tblGrid>
        <w:gridCol w:w="811"/>
        <w:gridCol w:w="1768"/>
        <w:gridCol w:w="1833"/>
        <w:gridCol w:w="1762"/>
        <w:gridCol w:w="2368"/>
        <w:gridCol w:w="1078"/>
        <w:gridCol w:w="1479"/>
        <w:gridCol w:w="1268"/>
        <w:gridCol w:w="951"/>
        <w:gridCol w:w="1125"/>
        <w:gridCol w:w="10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cantSplit/>
          <w:trHeight w:val="283" w:hRule="atLeast"/>
          <w:jc w:val="center"/>
        </w:trPr>
        <w:tc>
          <w:tcPr>
            <w:tcW w:w="261"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序号</w:t>
            </w:r>
          </w:p>
        </w:tc>
        <w:tc>
          <w:tcPr>
            <w:tcW w:w="569"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废水类别</w:t>
            </w:r>
          </w:p>
        </w:tc>
        <w:tc>
          <w:tcPr>
            <w:tcW w:w="590"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污染物种类</w:t>
            </w:r>
          </w:p>
        </w:tc>
        <w:tc>
          <w:tcPr>
            <w:tcW w:w="567"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排放去向</w:t>
            </w:r>
          </w:p>
        </w:tc>
        <w:tc>
          <w:tcPr>
            <w:tcW w:w="762"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排放规律</w:t>
            </w:r>
          </w:p>
        </w:tc>
        <w:tc>
          <w:tcPr>
            <w:tcW w:w="1231" w:type="pct"/>
            <w:gridSpan w:val="3"/>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污染治理</w:t>
            </w:r>
          </w:p>
        </w:tc>
        <w:tc>
          <w:tcPr>
            <w:tcW w:w="306"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排放口</w:t>
            </w:r>
          </w:p>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编号</w:t>
            </w:r>
          </w:p>
        </w:tc>
        <w:tc>
          <w:tcPr>
            <w:tcW w:w="362"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排放口设置是否符合要求</w:t>
            </w:r>
          </w:p>
        </w:tc>
        <w:tc>
          <w:tcPr>
            <w:tcW w:w="347" w:type="pct"/>
            <w:vMerge w:val="restar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排放口</w:t>
            </w:r>
          </w:p>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cantSplit/>
          <w:trHeight w:val="283" w:hRule="atLeast"/>
          <w:jc w:val="center"/>
        </w:trPr>
        <w:tc>
          <w:tcPr>
            <w:tcW w:w="261"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c>
          <w:tcPr>
            <w:tcW w:w="569"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c>
          <w:tcPr>
            <w:tcW w:w="590"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c>
          <w:tcPr>
            <w:tcW w:w="567"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c>
          <w:tcPr>
            <w:tcW w:w="762"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c>
          <w:tcPr>
            <w:tcW w:w="347" w:type="pc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污染治理设施编号</w:t>
            </w:r>
          </w:p>
        </w:tc>
        <w:tc>
          <w:tcPr>
            <w:tcW w:w="476" w:type="pc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污染治理设施名称</w:t>
            </w:r>
          </w:p>
        </w:tc>
        <w:tc>
          <w:tcPr>
            <w:tcW w:w="407" w:type="pct"/>
            <w:noWrap w:val="0"/>
            <w:vAlign w:val="center"/>
          </w:tcPr>
          <w:p>
            <w:pPr>
              <w:spacing w:line="240" w:lineRule="auto"/>
              <w:jc w:val="center"/>
              <w:rPr>
                <w:rFonts w:hint="default" w:ascii="Times New Roman" w:hAnsi="Times New Roman" w:eastAsia="宋体" w:cs="Times New Roman"/>
                <w:b/>
                <w:bCs/>
                <w:color w:val="0000FF"/>
                <w:sz w:val="21"/>
                <w:szCs w:val="21"/>
              </w:rPr>
            </w:pPr>
            <w:r>
              <w:rPr>
                <w:rFonts w:hint="default" w:ascii="Times New Roman" w:hAnsi="Times New Roman" w:eastAsia="宋体" w:cs="Times New Roman"/>
                <w:b/>
                <w:bCs/>
                <w:color w:val="0000FF"/>
                <w:sz w:val="21"/>
                <w:szCs w:val="21"/>
              </w:rPr>
              <w:t>污染治理设施工艺</w:t>
            </w:r>
          </w:p>
        </w:tc>
        <w:tc>
          <w:tcPr>
            <w:tcW w:w="306"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c>
          <w:tcPr>
            <w:tcW w:w="362"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c>
          <w:tcPr>
            <w:tcW w:w="347" w:type="pct"/>
            <w:vMerge w:val="continue"/>
            <w:noWrap w:val="0"/>
            <w:vAlign w:val="center"/>
          </w:tcPr>
          <w:p>
            <w:pPr>
              <w:widowControl/>
              <w:spacing w:line="240" w:lineRule="auto"/>
              <w:jc w:val="left"/>
              <w:rPr>
                <w:rFonts w:hint="default" w:ascii="Times New Roman" w:hAnsi="Times New Roman" w:eastAsia="宋体" w:cs="Times New Roman"/>
                <w:color w:val="0000FF"/>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cantSplit/>
          <w:trHeight w:val="427" w:hRule="atLeast"/>
          <w:jc w:val="center"/>
        </w:trPr>
        <w:tc>
          <w:tcPr>
            <w:tcW w:w="261"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1</w:t>
            </w:r>
          </w:p>
        </w:tc>
        <w:tc>
          <w:tcPr>
            <w:tcW w:w="569"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生活污水</w:t>
            </w:r>
          </w:p>
        </w:tc>
        <w:tc>
          <w:tcPr>
            <w:tcW w:w="590"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pH、COD、SS、BOD</w:t>
            </w:r>
            <w:r>
              <w:rPr>
                <w:rFonts w:hint="default" w:ascii="Times New Roman" w:hAnsi="Times New Roman" w:eastAsia="宋体" w:cs="Times New Roman"/>
                <w:color w:val="0000FF"/>
                <w:sz w:val="21"/>
                <w:szCs w:val="21"/>
                <w:vertAlign w:val="subscript"/>
              </w:rPr>
              <w:t>5</w:t>
            </w:r>
            <w:r>
              <w:rPr>
                <w:rFonts w:hint="default" w:ascii="Times New Roman" w:hAnsi="Times New Roman" w:eastAsia="宋体" w:cs="Times New Roman"/>
                <w:color w:val="0000FF"/>
                <w:sz w:val="21"/>
                <w:szCs w:val="21"/>
              </w:rPr>
              <w:t>、氨氮</w:t>
            </w:r>
            <w:r>
              <w:rPr>
                <w:rFonts w:hint="default" w:ascii="Times New Roman" w:hAnsi="Times New Roman" w:eastAsia="宋体" w:cs="Times New Roman"/>
                <w:color w:val="0000FF"/>
                <w:sz w:val="21"/>
                <w:szCs w:val="21"/>
                <w:lang w:eastAsia="zh-CN"/>
              </w:rPr>
              <w:t>、</w:t>
            </w:r>
            <w:r>
              <w:rPr>
                <w:rFonts w:hint="default" w:ascii="Times New Roman" w:hAnsi="Times New Roman" w:eastAsia="宋体" w:cs="Times New Roman"/>
                <w:color w:val="0000FF"/>
                <w:sz w:val="21"/>
                <w:szCs w:val="21"/>
                <w:lang w:val="en-US" w:eastAsia="zh-CN"/>
              </w:rPr>
              <w:t>动植物油</w:t>
            </w:r>
          </w:p>
        </w:tc>
        <w:tc>
          <w:tcPr>
            <w:tcW w:w="567" w:type="pct"/>
            <w:noWrap w:val="0"/>
            <w:vAlign w:val="center"/>
          </w:tcPr>
          <w:p>
            <w:pPr>
              <w:spacing w:line="240" w:lineRule="auto"/>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辰溪县污水处理厂</w:t>
            </w:r>
          </w:p>
        </w:tc>
        <w:tc>
          <w:tcPr>
            <w:tcW w:w="762" w:type="pct"/>
            <w:noWrap w:val="0"/>
            <w:vAlign w:val="center"/>
          </w:tcPr>
          <w:p>
            <w:pPr>
              <w:spacing w:line="240" w:lineRule="auto"/>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rPr>
              <w:t>间断排放，排放期间流量不稳定且无规律，但不属于冲击型排放</w:t>
            </w:r>
          </w:p>
        </w:tc>
        <w:tc>
          <w:tcPr>
            <w:tcW w:w="34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476"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生化池</w:t>
            </w:r>
          </w:p>
        </w:tc>
        <w:tc>
          <w:tcPr>
            <w:tcW w:w="40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厌氧、沉淀</w:t>
            </w:r>
          </w:p>
        </w:tc>
        <w:tc>
          <w:tcPr>
            <w:tcW w:w="306" w:type="pct"/>
            <w:noWrap w:val="0"/>
            <w:vAlign w:val="center"/>
          </w:tcPr>
          <w:p>
            <w:pPr>
              <w:spacing w:line="240" w:lineRule="auto"/>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rPr>
              <w:t>DW001</w:t>
            </w:r>
          </w:p>
        </w:tc>
        <w:tc>
          <w:tcPr>
            <w:tcW w:w="362" w:type="pct"/>
            <w:noWrap w:val="0"/>
            <w:vAlign w:val="center"/>
          </w:tcPr>
          <w:p>
            <w:pPr>
              <w:spacing w:line="240" w:lineRule="auto"/>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rPr>
              <w:t>是</w:t>
            </w:r>
          </w:p>
        </w:tc>
        <w:tc>
          <w:tcPr>
            <w:tcW w:w="347" w:type="pct"/>
            <w:noWrap w:val="0"/>
            <w:vAlign w:val="center"/>
          </w:tcPr>
          <w:p>
            <w:pPr>
              <w:spacing w:line="240" w:lineRule="auto"/>
              <w:jc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rPr>
              <w:t>企业总排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cantSplit/>
          <w:trHeight w:val="283" w:hRule="atLeast"/>
          <w:jc w:val="center"/>
        </w:trPr>
        <w:tc>
          <w:tcPr>
            <w:tcW w:w="261"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2</w:t>
            </w:r>
          </w:p>
        </w:tc>
        <w:tc>
          <w:tcPr>
            <w:tcW w:w="569"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堆场及搅拌区</w:t>
            </w:r>
            <w:r>
              <w:rPr>
                <w:rFonts w:hint="default" w:ascii="Times New Roman" w:hAnsi="Times New Roman" w:eastAsia="宋体" w:cs="Times New Roman"/>
                <w:color w:val="0000FF"/>
                <w:sz w:val="21"/>
                <w:szCs w:val="21"/>
              </w:rPr>
              <w:t>初期雨水、</w:t>
            </w:r>
            <w:r>
              <w:rPr>
                <w:rFonts w:hint="default" w:ascii="Times New Roman" w:hAnsi="Times New Roman" w:eastAsia="宋体" w:cs="Times New Roman"/>
                <w:color w:val="0000FF"/>
                <w:sz w:val="21"/>
                <w:szCs w:val="21"/>
                <w:lang w:val="en-US" w:eastAsia="zh-CN"/>
              </w:rPr>
              <w:t>搅拌区地面清洗废水</w:t>
            </w:r>
          </w:p>
        </w:tc>
        <w:tc>
          <w:tcPr>
            <w:tcW w:w="590"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SS、石油类</w:t>
            </w:r>
          </w:p>
        </w:tc>
        <w:tc>
          <w:tcPr>
            <w:tcW w:w="56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不排放</w:t>
            </w:r>
          </w:p>
        </w:tc>
        <w:tc>
          <w:tcPr>
            <w:tcW w:w="762"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476"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lang w:val="en-US" w:eastAsia="zh-CN"/>
              </w:rPr>
              <w:t>1#隔油</w:t>
            </w:r>
            <w:r>
              <w:rPr>
                <w:rFonts w:hint="default" w:ascii="Times New Roman" w:hAnsi="Times New Roman" w:eastAsia="宋体" w:cs="Times New Roman"/>
                <w:color w:val="0000FF"/>
                <w:sz w:val="21"/>
                <w:szCs w:val="21"/>
              </w:rPr>
              <w:t>沉淀池</w:t>
            </w:r>
          </w:p>
        </w:tc>
        <w:tc>
          <w:tcPr>
            <w:tcW w:w="40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沉淀、隔油</w:t>
            </w:r>
          </w:p>
        </w:tc>
        <w:tc>
          <w:tcPr>
            <w:tcW w:w="306"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362"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不排放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cantSplit/>
          <w:trHeight w:val="283" w:hRule="atLeast"/>
          <w:jc w:val="center"/>
        </w:trPr>
        <w:tc>
          <w:tcPr>
            <w:tcW w:w="261"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3</w:t>
            </w:r>
          </w:p>
        </w:tc>
        <w:tc>
          <w:tcPr>
            <w:tcW w:w="569"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停车场初期雨水</w:t>
            </w:r>
          </w:p>
        </w:tc>
        <w:tc>
          <w:tcPr>
            <w:tcW w:w="590"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SS、石油类</w:t>
            </w:r>
          </w:p>
        </w:tc>
        <w:tc>
          <w:tcPr>
            <w:tcW w:w="56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不排放</w:t>
            </w:r>
          </w:p>
        </w:tc>
        <w:tc>
          <w:tcPr>
            <w:tcW w:w="762"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476"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lang w:val="en-US" w:eastAsia="zh-CN"/>
              </w:rPr>
              <w:t>2#隔油</w:t>
            </w:r>
            <w:r>
              <w:rPr>
                <w:rFonts w:hint="default" w:ascii="Times New Roman" w:hAnsi="Times New Roman" w:eastAsia="宋体" w:cs="Times New Roman"/>
                <w:color w:val="0000FF"/>
                <w:sz w:val="21"/>
                <w:szCs w:val="21"/>
              </w:rPr>
              <w:t>沉淀池</w:t>
            </w:r>
          </w:p>
        </w:tc>
        <w:tc>
          <w:tcPr>
            <w:tcW w:w="407"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沉淀、隔油</w:t>
            </w:r>
          </w:p>
        </w:tc>
        <w:tc>
          <w:tcPr>
            <w:tcW w:w="306"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w:t>
            </w:r>
          </w:p>
        </w:tc>
        <w:tc>
          <w:tcPr>
            <w:tcW w:w="362"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不排放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cantSplit/>
          <w:trHeight w:val="283" w:hRule="atLeast"/>
          <w:jc w:val="center"/>
        </w:trPr>
        <w:tc>
          <w:tcPr>
            <w:tcW w:w="261"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4</w:t>
            </w:r>
          </w:p>
        </w:tc>
        <w:tc>
          <w:tcPr>
            <w:tcW w:w="569"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lang w:val="en-US" w:eastAsia="zh-CN"/>
              </w:rPr>
              <w:t>进出</w:t>
            </w:r>
            <w:r>
              <w:rPr>
                <w:rFonts w:hint="default" w:ascii="Times New Roman" w:hAnsi="Times New Roman" w:eastAsia="宋体" w:cs="Times New Roman"/>
                <w:color w:val="0000FF"/>
                <w:sz w:val="21"/>
                <w:szCs w:val="21"/>
              </w:rPr>
              <w:t>车辆冲洗水</w:t>
            </w:r>
          </w:p>
        </w:tc>
        <w:tc>
          <w:tcPr>
            <w:tcW w:w="590"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SS、石油类</w:t>
            </w:r>
          </w:p>
        </w:tc>
        <w:tc>
          <w:tcPr>
            <w:tcW w:w="56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不排放</w:t>
            </w:r>
          </w:p>
        </w:tc>
        <w:tc>
          <w:tcPr>
            <w:tcW w:w="762"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476"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lang w:val="en-US" w:eastAsia="zh-CN"/>
              </w:rPr>
              <w:t>3#隔油</w:t>
            </w:r>
            <w:r>
              <w:rPr>
                <w:rFonts w:hint="default" w:ascii="Times New Roman" w:hAnsi="Times New Roman" w:eastAsia="宋体" w:cs="Times New Roman"/>
                <w:color w:val="0000FF"/>
                <w:sz w:val="21"/>
                <w:szCs w:val="21"/>
              </w:rPr>
              <w:t>沉淀池</w:t>
            </w:r>
          </w:p>
        </w:tc>
        <w:tc>
          <w:tcPr>
            <w:tcW w:w="407"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沉淀、隔油</w:t>
            </w:r>
          </w:p>
        </w:tc>
        <w:tc>
          <w:tcPr>
            <w:tcW w:w="306"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w:t>
            </w:r>
          </w:p>
        </w:tc>
        <w:tc>
          <w:tcPr>
            <w:tcW w:w="362"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不排放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cantSplit/>
          <w:trHeight w:val="283" w:hRule="atLeast"/>
          <w:jc w:val="center"/>
        </w:trPr>
        <w:tc>
          <w:tcPr>
            <w:tcW w:w="261"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lang w:val="en-US" w:eastAsia="zh-CN"/>
              </w:rPr>
              <w:t>5</w:t>
            </w:r>
          </w:p>
        </w:tc>
        <w:tc>
          <w:tcPr>
            <w:tcW w:w="569"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罐车</w:t>
            </w:r>
            <w:r>
              <w:rPr>
                <w:rFonts w:hint="default" w:ascii="Times New Roman" w:hAnsi="Times New Roman" w:eastAsia="宋体" w:cs="Times New Roman"/>
                <w:color w:val="0000FF"/>
                <w:sz w:val="21"/>
                <w:szCs w:val="21"/>
                <w:lang w:val="en-US" w:eastAsia="zh-CN"/>
              </w:rPr>
              <w:t>内壁清洗废水、搅拌</w:t>
            </w:r>
            <w:r>
              <w:rPr>
                <w:rFonts w:hint="eastAsia" w:ascii="Times New Roman" w:hAnsi="Times New Roman" w:eastAsia="宋体" w:cs="Times New Roman"/>
                <w:color w:val="0000FF"/>
                <w:sz w:val="21"/>
                <w:szCs w:val="21"/>
                <w:lang w:val="en-US" w:eastAsia="zh-CN"/>
              </w:rPr>
              <w:t>机</w:t>
            </w:r>
            <w:r>
              <w:rPr>
                <w:rFonts w:hint="default" w:ascii="Times New Roman" w:hAnsi="Times New Roman" w:eastAsia="宋体" w:cs="Times New Roman"/>
                <w:color w:val="0000FF"/>
                <w:sz w:val="21"/>
                <w:szCs w:val="21"/>
                <w:lang w:val="en-US" w:eastAsia="zh-CN"/>
              </w:rPr>
              <w:t>清洗废水</w:t>
            </w:r>
          </w:p>
        </w:tc>
        <w:tc>
          <w:tcPr>
            <w:tcW w:w="590"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SS</w:t>
            </w:r>
          </w:p>
        </w:tc>
        <w:tc>
          <w:tcPr>
            <w:tcW w:w="56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不排放</w:t>
            </w:r>
          </w:p>
        </w:tc>
        <w:tc>
          <w:tcPr>
            <w:tcW w:w="762"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w:t>
            </w:r>
          </w:p>
        </w:tc>
        <w:tc>
          <w:tcPr>
            <w:tcW w:w="476"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lang w:val="en-US" w:eastAsia="zh-CN"/>
              </w:rPr>
              <w:t>三级</w:t>
            </w:r>
            <w:r>
              <w:rPr>
                <w:rFonts w:hint="default" w:ascii="Times New Roman" w:hAnsi="Times New Roman" w:eastAsia="宋体" w:cs="Times New Roman"/>
                <w:color w:val="0000FF"/>
                <w:sz w:val="21"/>
                <w:szCs w:val="21"/>
              </w:rPr>
              <w:t>沉淀池</w:t>
            </w:r>
          </w:p>
        </w:tc>
        <w:tc>
          <w:tcPr>
            <w:tcW w:w="407"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沉淀、隔油</w:t>
            </w:r>
          </w:p>
        </w:tc>
        <w:tc>
          <w:tcPr>
            <w:tcW w:w="306"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w:t>
            </w:r>
          </w:p>
        </w:tc>
        <w:tc>
          <w:tcPr>
            <w:tcW w:w="362"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w:t>
            </w:r>
          </w:p>
        </w:tc>
        <w:tc>
          <w:tcPr>
            <w:tcW w:w="347"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rPr>
            </w:pPr>
            <w:r>
              <w:rPr>
                <w:rFonts w:hint="default" w:ascii="Times New Roman" w:hAnsi="Times New Roman" w:eastAsia="宋体" w:cs="Times New Roman"/>
                <w:color w:val="0000FF"/>
                <w:sz w:val="21"/>
                <w:szCs w:val="21"/>
              </w:rPr>
              <w:t>不排放</w:t>
            </w:r>
          </w:p>
        </w:tc>
      </w:tr>
    </w:tbl>
    <w:p>
      <w:pPr>
        <w:keepNext/>
        <w:keepLines/>
        <w:spacing w:line="460" w:lineRule="exact"/>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表4-</w:t>
      </w:r>
      <w:r>
        <w:rPr>
          <w:rFonts w:hint="eastAsia" w:ascii="Times New Roman" w:hAnsi="Times New Roman" w:eastAsia="宋体" w:cs="Times New Roman"/>
          <w:b/>
          <w:bCs/>
          <w:color w:val="0000FF"/>
          <w:szCs w:val="21"/>
          <w:lang w:val="en-US" w:eastAsia="zh-CN"/>
        </w:rPr>
        <w:t>8</w:t>
      </w:r>
      <w:r>
        <w:rPr>
          <w:rFonts w:hint="default" w:ascii="Times New Roman" w:hAnsi="Times New Roman" w:eastAsia="宋体" w:cs="Times New Roman"/>
          <w:b/>
          <w:bCs/>
          <w:color w:val="0000FF"/>
          <w:szCs w:val="21"/>
        </w:rPr>
        <w:t xml:space="preserve">  间接排放口基本情况表</w:t>
      </w:r>
    </w:p>
    <w:tbl>
      <w:tblPr>
        <w:tblStyle w:val="15"/>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51" w:type="dxa"/>
          <w:bottom w:w="28" w:type="dxa"/>
          <w:right w:w="51" w:type="dxa"/>
        </w:tblCellMar>
      </w:tblPr>
      <w:tblGrid>
        <w:gridCol w:w="565"/>
        <w:gridCol w:w="978"/>
        <w:gridCol w:w="1388"/>
        <w:gridCol w:w="1407"/>
        <w:gridCol w:w="1295"/>
        <w:gridCol w:w="1270"/>
        <w:gridCol w:w="2361"/>
        <w:gridCol w:w="1050"/>
        <w:gridCol w:w="863"/>
        <w:gridCol w:w="1464"/>
        <w:gridCol w:w="2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1" w:type="dxa"/>
            <w:bottom w:w="28" w:type="dxa"/>
            <w:right w:w="51" w:type="dxa"/>
          </w:tblCellMar>
        </w:tblPrEx>
        <w:trPr>
          <w:trHeight w:val="283" w:hRule="atLeast"/>
        </w:trPr>
        <w:tc>
          <w:tcPr>
            <w:tcW w:w="182" w:type="pct"/>
            <w:vMerge w:val="restar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序号</w:t>
            </w:r>
          </w:p>
        </w:tc>
        <w:tc>
          <w:tcPr>
            <w:tcW w:w="315" w:type="pct"/>
            <w:vMerge w:val="restart"/>
            <w:noWrap w:val="0"/>
            <w:vAlign w:val="center"/>
          </w:tcPr>
          <w:p>
            <w:pPr>
              <w:jc w:val="center"/>
              <w:rPr>
                <w:rFonts w:hint="default" w:ascii="Times New Roman" w:hAnsi="Times New Roman" w:eastAsia="宋体" w:cs="Times New Roman"/>
                <w:b/>
                <w:bCs/>
                <w:color w:val="0000FF"/>
                <w:szCs w:val="21"/>
                <w:lang w:bidi="ar"/>
              </w:rPr>
            </w:pPr>
            <w:r>
              <w:rPr>
                <w:rFonts w:hint="default" w:ascii="Times New Roman" w:hAnsi="Times New Roman" w:eastAsia="宋体" w:cs="Times New Roman"/>
                <w:b/>
                <w:bCs/>
                <w:color w:val="0000FF"/>
                <w:szCs w:val="21"/>
                <w:lang w:bidi="ar"/>
              </w:rPr>
              <w:t>排放口</w:t>
            </w:r>
          </w:p>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编号</w:t>
            </w:r>
          </w:p>
        </w:tc>
        <w:tc>
          <w:tcPr>
            <w:tcW w:w="900" w:type="pct"/>
            <w:gridSpan w:val="2"/>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排放口地理坐标</w:t>
            </w:r>
          </w:p>
        </w:tc>
        <w:tc>
          <w:tcPr>
            <w:tcW w:w="417" w:type="pct"/>
            <w:vMerge w:val="restart"/>
            <w:noWrap w:val="0"/>
            <w:vAlign w:val="center"/>
          </w:tcPr>
          <w:p>
            <w:pPr>
              <w:jc w:val="center"/>
              <w:rPr>
                <w:rFonts w:hint="default" w:ascii="Times New Roman" w:hAnsi="Times New Roman" w:eastAsia="宋体" w:cs="Times New Roman"/>
                <w:b/>
                <w:bCs/>
                <w:color w:val="0000FF"/>
                <w:szCs w:val="21"/>
                <w:lang w:eastAsia="zh-CN"/>
              </w:rPr>
            </w:pPr>
            <w:r>
              <w:rPr>
                <w:rFonts w:hint="default" w:ascii="Times New Roman" w:hAnsi="Times New Roman" w:eastAsia="宋体" w:cs="Times New Roman"/>
                <w:b/>
                <w:bCs/>
                <w:color w:val="0000FF"/>
                <w:szCs w:val="21"/>
                <w:lang w:bidi="ar"/>
              </w:rPr>
              <w:t>废水排放量/</w:t>
            </w:r>
            <w:r>
              <w:rPr>
                <w:rFonts w:hint="default" w:ascii="Times New Roman" w:hAnsi="Times New Roman" w:eastAsia="宋体" w:cs="Times New Roman"/>
                <w:b/>
                <w:bCs/>
                <w:color w:val="0000FF"/>
                <w:szCs w:val="21"/>
                <w:lang w:eastAsia="zh-CN" w:bidi="ar"/>
              </w:rPr>
              <w:t>(</w:t>
            </w:r>
            <w:r>
              <w:rPr>
                <w:rFonts w:hint="default" w:ascii="Times New Roman" w:hAnsi="Times New Roman" w:eastAsia="宋体" w:cs="Times New Roman"/>
                <w:b/>
                <w:bCs/>
                <w:color w:val="0000FF"/>
                <w:szCs w:val="21"/>
                <w:lang w:bidi="ar"/>
              </w:rPr>
              <w:t>t/a</w:t>
            </w:r>
            <w:r>
              <w:rPr>
                <w:rFonts w:hint="default" w:ascii="Times New Roman" w:hAnsi="Times New Roman" w:eastAsia="宋体" w:cs="Times New Roman"/>
                <w:b/>
                <w:bCs/>
                <w:color w:val="0000FF"/>
                <w:szCs w:val="21"/>
                <w:lang w:eastAsia="zh-CN" w:bidi="ar"/>
              </w:rPr>
              <w:t>)</w:t>
            </w:r>
          </w:p>
        </w:tc>
        <w:tc>
          <w:tcPr>
            <w:tcW w:w="409" w:type="pct"/>
            <w:vMerge w:val="restar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排放去向</w:t>
            </w:r>
          </w:p>
        </w:tc>
        <w:tc>
          <w:tcPr>
            <w:tcW w:w="760" w:type="pct"/>
            <w:vMerge w:val="restar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排放规律</w:t>
            </w:r>
          </w:p>
        </w:tc>
        <w:tc>
          <w:tcPr>
            <w:tcW w:w="338" w:type="pct"/>
            <w:vMerge w:val="restar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间歇排放时段</w:t>
            </w:r>
          </w:p>
        </w:tc>
        <w:tc>
          <w:tcPr>
            <w:tcW w:w="1676" w:type="pct"/>
            <w:gridSpan w:val="3"/>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受纳污水处理厂信息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1" w:type="dxa"/>
            <w:bottom w:w="28" w:type="dxa"/>
            <w:right w:w="51" w:type="dxa"/>
          </w:tblCellMar>
        </w:tblPrEx>
        <w:trPr>
          <w:trHeight w:val="283" w:hRule="atLeast"/>
        </w:trPr>
        <w:tc>
          <w:tcPr>
            <w:tcW w:w="182" w:type="pct"/>
            <w:vMerge w:val="continue"/>
            <w:noWrap w:val="0"/>
            <w:vAlign w:val="center"/>
          </w:tcPr>
          <w:p>
            <w:pPr>
              <w:rPr>
                <w:rFonts w:hint="default" w:ascii="Times New Roman" w:hAnsi="Times New Roman" w:eastAsia="宋体" w:cs="Times New Roman"/>
                <w:b/>
                <w:bCs/>
                <w:color w:val="0000FF"/>
                <w:szCs w:val="21"/>
              </w:rPr>
            </w:pPr>
          </w:p>
        </w:tc>
        <w:tc>
          <w:tcPr>
            <w:tcW w:w="315" w:type="pct"/>
            <w:vMerge w:val="continue"/>
            <w:noWrap w:val="0"/>
            <w:vAlign w:val="center"/>
          </w:tcPr>
          <w:p>
            <w:pPr>
              <w:rPr>
                <w:rFonts w:hint="default" w:ascii="Times New Roman" w:hAnsi="Times New Roman" w:eastAsia="宋体" w:cs="Times New Roman"/>
                <w:b/>
                <w:bCs/>
                <w:color w:val="0000FF"/>
                <w:szCs w:val="21"/>
              </w:rPr>
            </w:pPr>
          </w:p>
        </w:tc>
        <w:tc>
          <w:tcPr>
            <w:tcW w:w="447" w:type="pc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经度</w:t>
            </w:r>
          </w:p>
        </w:tc>
        <w:tc>
          <w:tcPr>
            <w:tcW w:w="452" w:type="pc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纬度</w:t>
            </w:r>
          </w:p>
        </w:tc>
        <w:tc>
          <w:tcPr>
            <w:tcW w:w="417" w:type="pct"/>
            <w:vMerge w:val="continue"/>
            <w:noWrap w:val="0"/>
            <w:vAlign w:val="center"/>
          </w:tcPr>
          <w:p>
            <w:pPr>
              <w:rPr>
                <w:rFonts w:hint="default" w:ascii="Times New Roman" w:hAnsi="Times New Roman" w:eastAsia="宋体" w:cs="Times New Roman"/>
                <w:b/>
                <w:bCs/>
                <w:color w:val="0000FF"/>
                <w:szCs w:val="21"/>
              </w:rPr>
            </w:pPr>
          </w:p>
        </w:tc>
        <w:tc>
          <w:tcPr>
            <w:tcW w:w="409" w:type="pct"/>
            <w:vMerge w:val="continue"/>
            <w:noWrap w:val="0"/>
            <w:vAlign w:val="center"/>
          </w:tcPr>
          <w:p>
            <w:pPr>
              <w:rPr>
                <w:rFonts w:hint="default" w:ascii="Times New Roman" w:hAnsi="Times New Roman" w:eastAsia="宋体" w:cs="Times New Roman"/>
                <w:b/>
                <w:bCs/>
                <w:color w:val="0000FF"/>
                <w:szCs w:val="21"/>
              </w:rPr>
            </w:pPr>
          </w:p>
        </w:tc>
        <w:tc>
          <w:tcPr>
            <w:tcW w:w="760" w:type="pct"/>
            <w:vMerge w:val="continue"/>
            <w:noWrap w:val="0"/>
            <w:vAlign w:val="center"/>
          </w:tcPr>
          <w:p>
            <w:pPr>
              <w:rPr>
                <w:rFonts w:hint="default" w:ascii="Times New Roman" w:hAnsi="Times New Roman" w:eastAsia="宋体" w:cs="Times New Roman"/>
                <w:b/>
                <w:bCs/>
                <w:color w:val="0000FF"/>
                <w:szCs w:val="21"/>
              </w:rPr>
            </w:pPr>
          </w:p>
        </w:tc>
        <w:tc>
          <w:tcPr>
            <w:tcW w:w="338" w:type="pct"/>
            <w:vMerge w:val="continue"/>
            <w:noWrap w:val="0"/>
            <w:vAlign w:val="center"/>
          </w:tcPr>
          <w:p>
            <w:pPr>
              <w:rPr>
                <w:rFonts w:hint="default" w:ascii="Times New Roman" w:hAnsi="Times New Roman" w:eastAsia="宋体" w:cs="Times New Roman"/>
                <w:b/>
                <w:bCs/>
                <w:color w:val="0000FF"/>
                <w:szCs w:val="21"/>
              </w:rPr>
            </w:pPr>
          </w:p>
        </w:tc>
        <w:tc>
          <w:tcPr>
            <w:tcW w:w="278" w:type="pc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名称</w:t>
            </w:r>
          </w:p>
        </w:tc>
        <w:tc>
          <w:tcPr>
            <w:tcW w:w="471" w:type="pc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污染物种类</w:t>
            </w:r>
          </w:p>
        </w:tc>
        <w:tc>
          <w:tcPr>
            <w:tcW w:w="925" w:type="pct"/>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lang w:bidi="ar"/>
              </w:rPr>
              <w:t>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51" w:type="dxa"/>
            <w:bottom w:w="28" w:type="dxa"/>
            <w:right w:w="51" w:type="dxa"/>
          </w:tblCellMar>
        </w:tblPrEx>
        <w:trPr>
          <w:trHeight w:val="283" w:hRule="atLeast"/>
        </w:trPr>
        <w:tc>
          <w:tcPr>
            <w:tcW w:w="182" w:type="pct"/>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lang w:bidi="ar"/>
              </w:rPr>
              <w:t>1</w:t>
            </w:r>
          </w:p>
        </w:tc>
        <w:tc>
          <w:tcPr>
            <w:tcW w:w="315" w:type="pct"/>
            <w:noWrap w:val="0"/>
            <w:vAlign w:val="center"/>
          </w:tcPr>
          <w:p>
            <w:pPr>
              <w:jc w:val="center"/>
              <w:rPr>
                <w:rFonts w:hint="default" w:ascii="Times New Roman" w:hAnsi="Times New Roman" w:eastAsia="宋体" w:cs="Times New Roman"/>
                <w:color w:val="0000FF"/>
                <w:szCs w:val="21"/>
                <w:lang w:bidi="ar"/>
              </w:rPr>
            </w:pPr>
            <w:r>
              <w:rPr>
                <w:rFonts w:hint="default" w:ascii="Times New Roman" w:hAnsi="Times New Roman" w:eastAsia="宋体" w:cs="Times New Roman"/>
                <w:color w:val="0000FF"/>
                <w:szCs w:val="21"/>
              </w:rPr>
              <w:t>DW001</w:t>
            </w:r>
          </w:p>
        </w:tc>
        <w:tc>
          <w:tcPr>
            <w:tcW w:w="44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Cs w:val="21"/>
              </w:rPr>
            </w:pPr>
            <w:r>
              <w:rPr>
                <w:rFonts w:hint="default" w:ascii="Times New Roman" w:hAnsi="Times New Roman" w:eastAsia="宋体" w:cs="Times New Roman"/>
                <w:i w:val="0"/>
                <w:iCs w:val="0"/>
                <w:snapToGrid w:val="0"/>
                <w:color w:val="0000FF"/>
                <w:kern w:val="0"/>
                <w:sz w:val="21"/>
                <w:szCs w:val="21"/>
                <w:u w:val="none"/>
                <w:lang w:val="en-US" w:eastAsia="zh-CN" w:bidi="ar"/>
              </w:rPr>
              <w:t>110.21340072</w:t>
            </w:r>
          </w:p>
        </w:tc>
        <w:tc>
          <w:tcPr>
            <w:tcW w:w="45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28.04265804</w:t>
            </w:r>
          </w:p>
        </w:tc>
        <w:tc>
          <w:tcPr>
            <w:tcW w:w="4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FF"/>
                <w:kern w:val="0"/>
                <w:sz w:val="21"/>
                <w:szCs w:val="21"/>
                <w:u w:val="none"/>
                <w:lang w:val="en-US" w:eastAsia="zh-CN" w:bidi="ar"/>
              </w:rPr>
            </w:pPr>
            <w:r>
              <w:rPr>
                <w:rFonts w:hint="default" w:ascii="Times New Roman" w:hAnsi="Times New Roman" w:eastAsia="宋体" w:cs="Times New Roman"/>
                <w:i w:val="0"/>
                <w:iCs w:val="0"/>
                <w:snapToGrid w:val="0"/>
                <w:color w:val="0000FF"/>
                <w:kern w:val="0"/>
                <w:sz w:val="21"/>
                <w:szCs w:val="21"/>
                <w:u w:val="none"/>
                <w:lang w:val="en-US" w:eastAsia="zh-CN" w:bidi="ar"/>
              </w:rPr>
              <w:t>1514.7</w:t>
            </w:r>
          </w:p>
        </w:tc>
        <w:tc>
          <w:tcPr>
            <w:tcW w:w="409" w:type="pct"/>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城市污水处理厂</w:t>
            </w:r>
          </w:p>
        </w:tc>
        <w:tc>
          <w:tcPr>
            <w:tcW w:w="760" w:type="pct"/>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间断排放，排放期间流量不稳定且无规律，但不属于冲击型排放</w:t>
            </w:r>
          </w:p>
        </w:tc>
        <w:tc>
          <w:tcPr>
            <w:tcW w:w="338" w:type="pct"/>
            <w:noWrap w:val="0"/>
            <w:vAlign w:val="center"/>
          </w:tcPr>
          <w:p>
            <w:pPr>
              <w:jc w:val="center"/>
              <w:rPr>
                <w:rFonts w:hint="default" w:ascii="Times New Roman" w:hAnsi="Times New Roman" w:eastAsia="宋体" w:cs="Times New Roman"/>
                <w:color w:val="0000FF"/>
                <w:szCs w:val="21"/>
                <w:lang w:bidi="ar"/>
              </w:rPr>
            </w:pPr>
            <w:r>
              <w:rPr>
                <w:rFonts w:hint="default" w:ascii="Times New Roman" w:hAnsi="Times New Roman" w:eastAsia="宋体" w:cs="Times New Roman"/>
                <w:color w:val="0000FF"/>
                <w:szCs w:val="21"/>
                <w:lang w:bidi="ar"/>
              </w:rPr>
              <w:t>24h/d</w:t>
            </w:r>
          </w:p>
        </w:tc>
        <w:tc>
          <w:tcPr>
            <w:tcW w:w="278" w:type="pct"/>
            <w:noWrap w:val="0"/>
            <w:vAlign w:val="center"/>
          </w:tcPr>
          <w:p>
            <w:pPr>
              <w:jc w:val="center"/>
              <w:rPr>
                <w:rFonts w:hint="default" w:ascii="Times New Roman" w:hAnsi="Times New Roman" w:eastAsia="宋体" w:cs="Times New Roman"/>
                <w:color w:val="0000FF"/>
                <w:szCs w:val="21"/>
                <w:lang w:bidi="ar"/>
              </w:rPr>
            </w:pPr>
            <w:r>
              <w:rPr>
                <w:rFonts w:hint="default" w:ascii="Times New Roman" w:hAnsi="Times New Roman" w:eastAsia="宋体" w:cs="Times New Roman"/>
                <w:color w:val="0000FF"/>
                <w:szCs w:val="21"/>
                <w:lang w:val="en-US" w:eastAsia="zh-CN" w:bidi="ar"/>
              </w:rPr>
              <w:t>辰溪县污水处理厂</w:t>
            </w:r>
          </w:p>
        </w:tc>
        <w:tc>
          <w:tcPr>
            <w:tcW w:w="471" w:type="pct"/>
            <w:noWrap w:val="0"/>
            <w:vAlign w:val="center"/>
          </w:tcPr>
          <w:p>
            <w:pPr>
              <w:spacing w:line="240" w:lineRule="auto"/>
              <w:jc w:val="center"/>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21"/>
                <w:szCs w:val="21"/>
              </w:rPr>
              <w:t>pH、COD、BOD</w:t>
            </w:r>
            <w:r>
              <w:rPr>
                <w:rFonts w:hint="default" w:ascii="Times New Roman" w:hAnsi="Times New Roman" w:eastAsia="宋体" w:cs="Times New Roman"/>
                <w:color w:val="0000FF"/>
                <w:sz w:val="21"/>
                <w:szCs w:val="21"/>
                <w:vertAlign w:val="subscript"/>
              </w:rPr>
              <w:t>5</w:t>
            </w:r>
            <w:r>
              <w:rPr>
                <w:rFonts w:hint="default" w:ascii="Times New Roman" w:hAnsi="Times New Roman" w:eastAsia="宋体" w:cs="Times New Roman"/>
                <w:color w:val="0000FF"/>
                <w:sz w:val="21"/>
                <w:szCs w:val="21"/>
              </w:rPr>
              <w:t>、SS、氨氮</w:t>
            </w:r>
            <w:r>
              <w:rPr>
                <w:rFonts w:hint="default" w:ascii="Times New Roman" w:hAnsi="Times New Roman" w:eastAsia="宋体" w:cs="Times New Roman"/>
                <w:color w:val="0000FF"/>
                <w:sz w:val="21"/>
                <w:szCs w:val="21"/>
                <w:lang w:eastAsia="zh-CN"/>
              </w:rPr>
              <w:t>、</w:t>
            </w:r>
            <w:r>
              <w:rPr>
                <w:rFonts w:hint="default" w:ascii="Times New Roman" w:hAnsi="Times New Roman" w:eastAsia="宋体" w:cs="Times New Roman"/>
                <w:color w:val="0000FF"/>
                <w:sz w:val="21"/>
                <w:szCs w:val="21"/>
                <w:lang w:val="en-US" w:eastAsia="zh-CN"/>
              </w:rPr>
              <w:t>动植物油</w:t>
            </w:r>
          </w:p>
        </w:tc>
        <w:tc>
          <w:tcPr>
            <w:tcW w:w="925" w:type="pct"/>
            <w:noWrap w:val="0"/>
            <w:vAlign w:val="center"/>
          </w:tcPr>
          <w:p>
            <w:pPr>
              <w:pStyle w:val="11"/>
              <w:spacing w:line="240" w:lineRule="auto"/>
              <w:rPr>
                <w:rFonts w:hint="default" w:ascii="Times New Roman" w:hAnsi="Times New Roman" w:eastAsia="宋体" w:cs="Times New Roman"/>
                <w:color w:val="0000FF"/>
                <w:sz w:val="21"/>
                <w:szCs w:val="21"/>
                <w:lang w:val="en-US" w:eastAsia="zh-CN"/>
              </w:rPr>
            </w:pPr>
            <w:r>
              <w:rPr>
                <w:rFonts w:hint="default" w:ascii="Times New Roman" w:hAnsi="Times New Roman" w:eastAsia="宋体" w:cs="Times New Roman"/>
                <w:bCs/>
                <w:color w:val="0000FF"/>
                <w:sz w:val="21"/>
                <w:szCs w:val="21"/>
                <w:lang w:val="en-US" w:eastAsia="zh-CN"/>
              </w:rPr>
              <w:t>COD和氨氮满足《湖南省城镇污水处理厂主要水污染物排放标准》（DB43/T 1546-2018）中表 1 之二级标准，其余因子满足《城镇污水处理厂污染物排放标准》(GB18918-2002)表 1 中一级 A 标准</w:t>
            </w:r>
          </w:p>
        </w:tc>
      </w:tr>
    </w:tbl>
    <w:p>
      <w:pPr>
        <w:rPr>
          <w:rFonts w:hint="default"/>
          <w:lang w:val="en-US" w:eastAsia="zh-CN"/>
        </w:rPr>
        <w:sectPr>
          <w:pgSz w:w="16839" w:h="11906" w:orient="landscape"/>
          <w:pgMar w:top="1299" w:right="400" w:bottom="1017" w:left="1014" w:header="0" w:footer="854" w:gutter="0"/>
          <w:pgBorders>
            <w:top w:val="none" w:sz="0" w:space="0"/>
            <w:left w:val="none" w:sz="0" w:space="0"/>
            <w:bottom w:val="none" w:sz="0" w:space="0"/>
            <w:right w:val="none" w:sz="0" w:space="0"/>
          </w:pgBorders>
          <w:pgNumType w:fmt="decimal"/>
          <w:cols w:space="720" w:num="1"/>
        </w:sectPr>
      </w:pPr>
    </w:p>
    <w:tbl>
      <w:tblPr>
        <w:tblStyle w:val="15"/>
        <w:tblW w:w="89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1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754" w:type="dxa"/>
            <w:noWrap w:val="0"/>
            <w:tcMar>
              <w:left w:w="28" w:type="dxa"/>
              <w:right w:w="28" w:type="dxa"/>
            </w:tcMar>
            <w:vAlign w:val="center"/>
          </w:tcPr>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运营</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期环</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境影</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响和</w:t>
            </w:r>
          </w:p>
          <w:p>
            <w:pPr>
              <w:pStyle w:val="24"/>
              <w:ind w:left="0" w:leftChars="0" w:firstLine="0" w:firstLine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保护</w:t>
            </w:r>
          </w:p>
          <w:p>
            <w:pPr>
              <w:pStyle w:val="24"/>
              <w:ind w:left="0" w:leftChars="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sz w:val="24"/>
                <w:lang w:val="en-US" w:eastAsia="zh-CN"/>
              </w:rPr>
              <w:t>措施</w:t>
            </w:r>
          </w:p>
        </w:tc>
        <w:tc>
          <w:tcPr>
            <w:tcW w:w="8157" w:type="dxa"/>
            <w:noWrap w:val="0"/>
            <w:vAlign w:val="top"/>
          </w:tcPr>
          <w:p>
            <w:pPr>
              <w:numPr>
                <w:ilvl w:val="0"/>
                <w:numId w:val="0"/>
              </w:numPr>
              <w:wordWrap/>
              <w:spacing w:line="360" w:lineRule="auto"/>
              <w:ind w:leftChars="200"/>
              <w:jc w:val="both"/>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监测要求</w:t>
            </w:r>
          </w:p>
          <w:p>
            <w:pPr>
              <w:wordWrap/>
              <w:spacing w:line="360" w:lineRule="auto"/>
              <w:ind w:firstLine="480" w:firstLineChars="200"/>
              <w:jc w:val="both"/>
              <w:rPr>
                <w:rFonts w:hint="default" w:ascii="Times New Roman" w:hAnsi="Times New Roman" w:eastAsia="宋体" w:cs="Times New Roman"/>
                <w:color w:val="0000FF"/>
                <w:sz w:val="24"/>
                <w:szCs w:val="24"/>
                <w:lang w:eastAsia="zh-CN"/>
              </w:rPr>
            </w:pPr>
            <w:r>
              <w:rPr>
                <w:rFonts w:hint="default" w:ascii="Times New Roman" w:hAnsi="Times New Roman" w:eastAsia="宋体" w:cs="Times New Roman"/>
                <w:color w:val="0000FF"/>
                <w:kern w:val="0"/>
                <w:sz w:val="24"/>
                <w:szCs w:val="24"/>
                <w:lang w:eastAsia="zh-CN"/>
              </w:rPr>
              <w:t>根据《固定污染源排污许可分类管理名录(2019年版)》，本项目排污许可管理类别为“简化管理”，根据</w:t>
            </w:r>
            <w:r>
              <w:rPr>
                <w:rFonts w:hint="eastAsia" w:ascii="Times New Roman" w:hAnsi="Times New Roman" w:eastAsia="宋体" w:cs="Times New Roman"/>
                <w:color w:val="0000FF"/>
                <w:kern w:val="0"/>
                <w:sz w:val="24"/>
                <w:szCs w:val="24"/>
                <w:lang w:val="en-US" w:eastAsia="zh-CN"/>
              </w:rPr>
              <w:t>《排污许可证申请与核发技术规范 总则》（HJ 942)</w:t>
            </w:r>
            <w:r>
              <w:rPr>
                <w:rFonts w:hint="default" w:ascii="Times New Roman" w:hAnsi="Times New Roman" w:eastAsia="宋体" w:cs="Times New Roman"/>
                <w:color w:val="0000FF"/>
                <w:kern w:val="0"/>
                <w:sz w:val="24"/>
                <w:szCs w:val="24"/>
                <w:lang w:eastAsia="zh-CN"/>
              </w:rPr>
              <w:t>的监测频</w:t>
            </w:r>
            <w:r>
              <w:rPr>
                <w:rFonts w:hint="default" w:ascii="Times New Roman" w:hAnsi="Times New Roman" w:eastAsia="宋体" w:cs="Times New Roman"/>
                <w:color w:val="0000FF"/>
                <w:sz w:val="24"/>
                <w:szCs w:val="24"/>
                <w:lang w:eastAsia="zh-CN"/>
              </w:rPr>
              <w:t>次要求</w:t>
            </w:r>
            <w:r>
              <w:rPr>
                <w:rFonts w:hint="default" w:ascii="Times New Roman" w:hAnsi="Times New Roman" w:eastAsia="宋体" w:cs="Times New Roman"/>
                <w:color w:val="0000FF"/>
                <w:sz w:val="24"/>
                <w:szCs w:val="24"/>
                <w:lang w:val="en-US" w:eastAsia="zh-CN"/>
              </w:rPr>
              <w:t>以及辰溪县污水处理厂进水水质要求</w:t>
            </w:r>
            <w:r>
              <w:rPr>
                <w:rFonts w:hint="default" w:ascii="Times New Roman" w:hAnsi="Times New Roman" w:eastAsia="宋体" w:cs="Times New Roman"/>
                <w:color w:val="0000FF"/>
                <w:sz w:val="24"/>
                <w:szCs w:val="24"/>
                <w:lang w:eastAsia="zh-CN"/>
              </w:rPr>
              <w:t>，监测计划如下：</w:t>
            </w:r>
          </w:p>
          <w:p>
            <w:pPr>
              <w:keepNext/>
              <w:keepLines/>
              <w:spacing w:line="460" w:lineRule="exact"/>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表4-</w:t>
            </w:r>
            <w:r>
              <w:rPr>
                <w:rFonts w:hint="eastAsia" w:ascii="Times New Roman" w:hAnsi="Times New Roman" w:eastAsia="宋体" w:cs="Times New Roman"/>
                <w:b/>
                <w:bCs/>
                <w:color w:val="0000FF"/>
                <w:szCs w:val="21"/>
                <w:lang w:val="en-US" w:eastAsia="zh-CN"/>
              </w:rPr>
              <w:t>9</w:t>
            </w:r>
            <w:r>
              <w:rPr>
                <w:rFonts w:hint="default" w:ascii="Times New Roman" w:hAnsi="Times New Roman" w:eastAsia="宋体" w:cs="Times New Roman"/>
                <w:b/>
                <w:bCs/>
                <w:color w:val="0000FF"/>
                <w:szCs w:val="21"/>
              </w:rPr>
              <w:t xml:space="preserve">  废水监测计划表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7"/>
              <w:gridCol w:w="1005"/>
              <w:gridCol w:w="2749"/>
              <w:gridCol w:w="976"/>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类别</w:t>
                  </w:r>
                </w:p>
              </w:tc>
              <w:tc>
                <w:tcPr>
                  <w:tcW w:w="6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监测点位</w:t>
                  </w:r>
                </w:p>
              </w:tc>
              <w:tc>
                <w:tcPr>
                  <w:tcW w:w="17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监测项目</w:t>
                  </w:r>
                </w:p>
              </w:tc>
              <w:tc>
                <w:tcPr>
                  <w:tcW w:w="6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监测频率</w:t>
                  </w:r>
                </w:p>
              </w:tc>
              <w:tc>
                <w:tcPr>
                  <w:tcW w:w="1682"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b/>
                      <w:bCs/>
                      <w:color w:val="0000FF"/>
                      <w:szCs w:val="21"/>
                    </w:rPr>
                  </w:pPr>
                  <w:r>
                    <w:rPr>
                      <w:rFonts w:hint="default" w:ascii="Times New Roman" w:hAnsi="Times New Roman" w:eastAsia="宋体" w:cs="Times New Roman"/>
                      <w:b/>
                      <w:bCs/>
                      <w:color w:val="0000FF"/>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32"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废水</w:t>
                  </w:r>
                </w:p>
              </w:tc>
              <w:tc>
                <w:tcPr>
                  <w:tcW w:w="6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生化池排放口</w:t>
                  </w:r>
                </w:p>
              </w:tc>
              <w:tc>
                <w:tcPr>
                  <w:tcW w:w="17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流量、pH、COD、BOD</w:t>
                  </w:r>
                  <w:r>
                    <w:rPr>
                      <w:rFonts w:hint="default" w:ascii="Times New Roman" w:hAnsi="Times New Roman" w:eastAsia="宋体" w:cs="Times New Roman"/>
                      <w:color w:val="0000FF"/>
                      <w:szCs w:val="21"/>
                      <w:vertAlign w:val="subscript"/>
                    </w:rPr>
                    <w:t>5</w:t>
                  </w:r>
                  <w:r>
                    <w:rPr>
                      <w:rFonts w:hint="default" w:ascii="Times New Roman" w:hAnsi="Times New Roman" w:eastAsia="宋体" w:cs="Times New Roman"/>
                      <w:color w:val="0000FF"/>
                      <w:szCs w:val="21"/>
                    </w:rPr>
                    <w:t>、SS、NH</w:t>
                  </w:r>
                  <w:r>
                    <w:rPr>
                      <w:rFonts w:hint="default" w:ascii="Times New Roman" w:hAnsi="Times New Roman" w:eastAsia="宋体" w:cs="Times New Roman"/>
                      <w:color w:val="0000FF"/>
                      <w:szCs w:val="21"/>
                      <w:vertAlign w:val="subscript"/>
                    </w:rPr>
                    <w:t>3</w:t>
                  </w:r>
                  <w:r>
                    <w:rPr>
                      <w:rFonts w:hint="default" w:ascii="Times New Roman" w:hAnsi="Times New Roman" w:eastAsia="宋体" w:cs="Times New Roman"/>
                      <w:color w:val="0000FF"/>
                      <w:szCs w:val="21"/>
                    </w:rPr>
                    <w:t>-N、总磷</w:t>
                  </w:r>
                </w:p>
              </w:tc>
              <w:tc>
                <w:tcPr>
                  <w:tcW w:w="6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1次/年</w:t>
                  </w:r>
                </w:p>
              </w:tc>
              <w:tc>
                <w:tcPr>
                  <w:tcW w:w="16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lang w:val="en-US" w:eastAsia="zh-CN"/>
                    </w:rPr>
                    <w:t>辰溪县污水处理厂进水水质</w:t>
                  </w:r>
                </w:p>
              </w:tc>
            </w:tr>
          </w:tbl>
          <w:p>
            <w:pPr>
              <w:pStyle w:val="5"/>
              <w:spacing w:line="360" w:lineRule="auto"/>
              <w:outlineLvl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4.2.3噪声</w:t>
            </w:r>
          </w:p>
          <w:p>
            <w:pPr>
              <w:pStyle w:val="24"/>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1、噪声源强</w:t>
            </w:r>
          </w:p>
          <w:p>
            <w:pPr>
              <w:wordWrap/>
              <w:spacing w:line="360" w:lineRule="auto"/>
              <w:ind w:firstLine="480" w:firstLineChars="200"/>
              <w:jc w:val="both"/>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本项目噪声源主要为搅拌</w:t>
            </w:r>
            <w:r>
              <w:rPr>
                <w:rFonts w:hint="eastAsia" w:ascii="Times New Roman" w:hAnsi="Times New Roman" w:eastAsia="宋体" w:cs="Times New Roman"/>
                <w:kern w:val="0"/>
                <w:sz w:val="24"/>
                <w:szCs w:val="24"/>
                <w:lang w:val="en-US" w:eastAsia="zh-CN"/>
              </w:rPr>
              <w:t>机</w:t>
            </w:r>
            <w:r>
              <w:rPr>
                <w:rFonts w:hint="default" w:ascii="Times New Roman" w:hAnsi="Times New Roman" w:eastAsia="宋体" w:cs="Times New Roman"/>
                <w:kern w:val="0"/>
                <w:sz w:val="24"/>
                <w:szCs w:val="24"/>
              </w:rPr>
              <w:t>、皮带输送机、</w:t>
            </w:r>
            <w:r>
              <w:rPr>
                <w:rFonts w:hint="default" w:ascii="Times New Roman" w:hAnsi="Times New Roman" w:eastAsia="宋体" w:cs="Times New Roman"/>
                <w:kern w:val="0"/>
                <w:sz w:val="24"/>
                <w:szCs w:val="24"/>
                <w:lang w:val="en-US" w:eastAsia="zh-CN"/>
              </w:rPr>
              <w:t>运输车辆</w:t>
            </w:r>
            <w:r>
              <w:rPr>
                <w:rFonts w:hint="default" w:ascii="Times New Roman" w:hAnsi="Times New Roman" w:eastAsia="宋体" w:cs="Times New Roman"/>
                <w:kern w:val="0"/>
                <w:sz w:val="24"/>
                <w:szCs w:val="24"/>
              </w:rPr>
              <w:t>等生产设备的运行噪声，大部分机械动力设备声源为连续排放，声级范围在70~</w:t>
            </w:r>
            <w:r>
              <w:rPr>
                <w:rFonts w:hint="default" w:ascii="Times New Roman" w:hAnsi="Times New Roman" w:eastAsia="宋体" w:cs="Times New Roman"/>
                <w:kern w:val="0"/>
                <w:sz w:val="24"/>
                <w:szCs w:val="24"/>
                <w:lang w:val="en-US" w:eastAsia="zh-CN"/>
              </w:rPr>
              <w:t>85</w:t>
            </w:r>
            <w:r>
              <w:rPr>
                <w:rFonts w:hint="default" w:ascii="Times New Roman" w:hAnsi="Times New Roman" w:eastAsia="宋体" w:cs="Times New Roman"/>
                <w:kern w:val="0"/>
                <w:sz w:val="24"/>
                <w:szCs w:val="24"/>
              </w:rPr>
              <w:t>dB</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A</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之间。根据参考相关资料及</w:t>
            </w:r>
            <w:r>
              <w:rPr>
                <w:rFonts w:hint="default" w:ascii="Times New Roman" w:hAnsi="Times New Roman" w:eastAsia="宋体" w:cs="Times New Roman"/>
                <w:color w:val="000000"/>
                <w:kern w:val="0"/>
                <w:sz w:val="24"/>
                <w:szCs w:val="24"/>
                <w:lang w:val="en-US" w:eastAsia="zh-CN" w:bidi="ar"/>
              </w:rPr>
              <w:t>同类型混凝土生产线的调查</w:t>
            </w:r>
            <w:r>
              <w:rPr>
                <w:rFonts w:hint="default" w:ascii="Times New Roman" w:hAnsi="Times New Roman" w:eastAsia="宋体" w:cs="Times New Roman"/>
                <w:kern w:val="0"/>
                <w:sz w:val="24"/>
                <w:szCs w:val="24"/>
              </w:rPr>
              <w:t>，项目噪声设备源强及经过治理措施后的噪声源强详见下表</w:t>
            </w:r>
            <w:r>
              <w:rPr>
                <w:rFonts w:hint="eastAsia" w:ascii="Times New Roman" w:hAnsi="Times New Roman" w:eastAsia="宋体" w:cs="Times New Roman"/>
                <w:kern w:val="0"/>
                <w:sz w:val="24"/>
                <w:szCs w:val="24"/>
                <w:lang w:eastAsia="zh-CN"/>
              </w:rPr>
              <w:t>：</w:t>
            </w:r>
          </w:p>
          <w:p>
            <w:pPr>
              <w:wordWrap/>
              <w:spacing w:line="240"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w:t>
            </w:r>
            <w:r>
              <w:rPr>
                <w:rFonts w:hint="default" w:ascii="Times New Roman" w:hAnsi="Times New Roman" w:eastAsia="宋体" w:cs="Times New Roman"/>
                <w:b/>
                <w:kern w:val="0"/>
                <w:sz w:val="21"/>
                <w:szCs w:val="21"/>
                <w:lang w:val="en-US" w:eastAsia="zh-CN"/>
              </w:rPr>
              <w:t>4-</w:t>
            </w:r>
            <w:r>
              <w:rPr>
                <w:rFonts w:hint="eastAsia" w:ascii="Times New Roman" w:hAnsi="Times New Roman" w:eastAsia="宋体" w:cs="Times New Roman"/>
                <w:b/>
                <w:kern w:val="0"/>
                <w:sz w:val="21"/>
                <w:szCs w:val="21"/>
                <w:lang w:val="en-US" w:eastAsia="zh-CN"/>
              </w:rPr>
              <w:t>10</w:t>
            </w:r>
            <w:r>
              <w:rPr>
                <w:rFonts w:hint="default" w:ascii="Times New Roman" w:hAnsi="Times New Roman" w:eastAsia="宋体" w:cs="Times New Roman"/>
                <w:b/>
                <w:kern w:val="0"/>
                <w:sz w:val="21"/>
                <w:szCs w:val="21"/>
                <w:lang w:val="en-US" w:eastAsia="zh-CN"/>
              </w:rPr>
              <w:t xml:space="preserve">  </w:t>
            </w:r>
            <w:r>
              <w:rPr>
                <w:rFonts w:hint="default" w:ascii="Times New Roman" w:hAnsi="Times New Roman" w:eastAsia="宋体" w:cs="Times New Roman"/>
                <w:b/>
                <w:kern w:val="0"/>
                <w:sz w:val="21"/>
                <w:szCs w:val="21"/>
              </w:rPr>
              <w:t>项目设备噪声一览表  单位：</w:t>
            </w:r>
            <w:r>
              <w:rPr>
                <w:rFonts w:hint="default" w:ascii="Times New Roman" w:hAnsi="Times New Roman" w:eastAsia="宋体" w:cs="Times New Roman"/>
                <w:b/>
                <w:bCs/>
                <w:sz w:val="21"/>
                <w:szCs w:val="21"/>
              </w:rPr>
              <w:t>dB（A）</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721"/>
              <w:gridCol w:w="797"/>
              <w:gridCol w:w="1325"/>
              <w:gridCol w:w="1857"/>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412" w:type="pct"/>
                  <w:noWrap w:val="0"/>
                  <w:vAlign w:val="top"/>
                </w:tcPr>
                <w:p>
                  <w:pPr>
                    <w:wordWrap/>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084" w:type="pct"/>
                  <w:tcBorders>
                    <w:right w:val="single" w:color="auto" w:sz="4" w:space="0"/>
                  </w:tcBorders>
                  <w:noWrap w:val="0"/>
                  <w:vAlign w:val="top"/>
                </w:tcPr>
                <w:p>
                  <w:pPr>
                    <w:wordWrap/>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噪声源</w:t>
                  </w:r>
                </w:p>
              </w:tc>
              <w:tc>
                <w:tcPr>
                  <w:tcW w:w="502" w:type="pct"/>
                  <w:tcBorders>
                    <w:left w:val="single" w:color="auto" w:sz="4" w:space="0"/>
                  </w:tcBorders>
                  <w:noWrap w:val="0"/>
                  <w:vAlign w:val="top"/>
                </w:tcPr>
                <w:p>
                  <w:pPr>
                    <w:wordWrap/>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835" w:type="pct"/>
                  <w:noWrap w:val="0"/>
                  <w:vAlign w:val="top"/>
                </w:tcPr>
                <w:p>
                  <w:pPr>
                    <w:wordWrap/>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噪声源强</w:t>
                  </w:r>
                </w:p>
              </w:tc>
              <w:tc>
                <w:tcPr>
                  <w:tcW w:w="1170" w:type="pct"/>
                  <w:noWrap w:val="0"/>
                  <w:vAlign w:val="center"/>
                </w:tcPr>
                <w:p>
                  <w:pPr>
                    <w:wordWrap/>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治理措施</w:t>
                  </w:r>
                </w:p>
              </w:tc>
              <w:tc>
                <w:tcPr>
                  <w:tcW w:w="993" w:type="pct"/>
                  <w:noWrap w:val="0"/>
                  <w:vAlign w:val="center"/>
                </w:tcPr>
                <w:p>
                  <w:pPr>
                    <w:wordWrap/>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治理后噪声值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412"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1084" w:type="pct"/>
                  <w:tcBorders>
                    <w:right w:val="single" w:color="auto" w:sz="4" w:space="0"/>
                  </w:tcBorders>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搅拌机</w:t>
                  </w:r>
                </w:p>
              </w:tc>
              <w:tc>
                <w:tcPr>
                  <w:tcW w:w="502" w:type="pct"/>
                  <w:tcBorders>
                    <w:left w:val="single" w:color="auto" w:sz="4" w:space="0"/>
                  </w:tcBorders>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2台</w:t>
                  </w:r>
                </w:p>
              </w:tc>
              <w:tc>
                <w:tcPr>
                  <w:tcW w:w="83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80~85</w:t>
                  </w:r>
                </w:p>
              </w:tc>
              <w:tc>
                <w:tcPr>
                  <w:tcW w:w="1170" w:type="pct"/>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减振、消声等</w:t>
                  </w:r>
                </w:p>
              </w:tc>
              <w:tc>
                <w:tcPr>
                  <w:tcW w:w="993" w:type="pct"/>
                  <w:noWrap w:val="0"/>
                  <w:vAlign w:val="center"/>
                </w:tcPr>
                <w:p>
                  <w:pPr>
                    <w:wordWrap/>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412"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w:t>
                  </w:r>
                </w:p>
              </w:tc>
              <w:tc>
                <w:tcPr>
                  <w:tcW w:w="1084" w:type="pct"/>
                  <w:noWrap w:val="0"/>
                  <w:vAlign w:val="center"/>
                </w:tcPr>
                <w:p>
                  <w:pPr>
                    <w:tabs>
                      <w:tab w:val="left" w:pos="1755"/>
                    </w:tabs>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皮带输送机</w:t>
                  </w:r>
                </w:p>
              </w:tc>
              <w:tc>
                <w:tcPr>
                  <w:tcW w:w="502" w:type="pct"/>
                  <w:noWrap w:val="0"/>
                  <w:vAlign w:val="center"/>
                </w:tcPr>
                <w:p>
                  <w:pPr>
                    <w:tabs>
                      <w:tab w:val="left" w:pos="1755"/>
                    </w:tabs>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2套</w:t>
                  </w:r>
                </w:p>
              </w:tc>
              <w:tc>
                <w:tcPr>
                  <w:tcW w:w="835" w:type="pct"/>
                  <w:noWrap w:val="0"/>
                  <w:vAlign w:val="center"/>
                </w:tcPr>
                <w:p>
                  <w:pPr>
                    <w:wordWrap/>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80~85</w:t>
                  </w:r>
                </w:p>
              </w:tc>
              <w:tc>
                <w:tcPr>
                  <w:tcW w:w="1170" w:type="pct"/>
                  <w:noWrap w:val="0"/>
                  <w:vAlign w:val="center"/>
                </w:tcPr>
                <w:p>
                  <w:pPr>
                    <w:wordWrap/>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减振、消声等</w:t>
                  </w:r>
                </w:p>
              </w:tc>
              <w:tc>
                <w:tcPr>
                  <w:tcW w:w="993" w:type="pct"/>
                  <w:noWrap w:val="0"/>
                  <w:vAlign w:val="center"/>
                </w:tcPr>
                <w:p>
                  <w:pPr>
                    <w:wordWrap/>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412" w:type="pct"/>
                  <w:noWrap w:val="0"/>
                  <w:vAlign w:val="center"/>
                </w:tcPr>
                <w:p>
                  <w:pPr>
                    <w:wordWrap/>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w:t>
                  </w:r>
                </w:p>
              </w:tc>
              <w:tc>
                <w:tcPr>
                  <w:tcW w:w="1084" w:type="pct"/>
                  <w:noWrap w:val="0"/>
                  <w:vAlign w:val="center"/>
                </w:tcPr>
                <w:p>
                  <w:pPr>
                    <w:tabs>
                      <w:tab w:val="left" w:pos="1755"/>
                    </w:tabs>
                    <w:wordWrap/>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砂石分离机</w:t>
                  </w:r>
                </w:p>
              </w:tc>
              <w:tc>
                <w:tcPr>
                  <w:tcW w:w="502" w:type="pct"/>
                  <w:noWrap w:val="0"/>
                  <w:vAlign w:val="center"/>
                </w:tcPr>
                <w:p>
                  <w:pPr>
                    <w:tabs>
                      <w:tab w:val="left" w:pos="1755"/>
                    </w:tabs>
                    <w:wordWrap/>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835" w:type="pct"/>
                  <w:noWrap w:val="0"/>
                  <w:vAlign w:val="center"/>
                </w:tcPr>
                <w:p>
                  <w:pPr>
                    <w:wordWrap/>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rPr>
                    <w:t>80~85</w:t>
                  </w:r>
                </w:p>
              </w:tc>
              <w:tc>
                <w:tcPr>
                  <w:tcW w:w="1170"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减振、消声等</w:t>
                  </w:r>
                </w:p>
              </w:tc>
              <w:tc>
                <w:tcPr>
                  <w:tcW w:w="993"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412" w:type="pct"/>
                  <w:noWrap w:val="0"/>
                  <w:vAlign w:val="center"/>
                </w:tcPr>
                <w:p>
                  <w:pPr>
                    <w:wordWrap/>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w:t>
                  </w:r>
                </w:p>
              </w:tc>
              <w:tc>
                <w:tcPr>
                  <w:tcW w:w="1084" w:type="pct"/>
                  <w:noWrap w:val="0"/>
                  <w:vAlign w:val="center"/>
                </w:tcPr>
                <w:p>
                  <w:pPr>
                    <w:tabs>
                      <w:tab w:val="left" w:pos="1755"/>
                    </w:tabs>
                    <w:wordWrap/>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原料运输车</w:t>
                  </w:r>
                </w:p>
              </w:tc>
              <w:tc>
                <w:tcPr>
                  <w:tcW w:w="502" w:type="pct"/>
                  <w:noWrap w:val="0"/>
                  <w:vAlign w:val="center"/>
                </w:tcPr>
                <w:p>
                  <w:pPr>
                    <w:tabs>
                      <w:tab w:val="left" w:pos="1755"/>
                    </w:tabs>
                    <w:wordWrap/>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4辆</w:t>
                  </w:r>
                </w:p>
              </w:tc>
              <w:tc>
                <w:tcPr>
                  <w:tcW w:w="835" w:type="pct"/>
                  <w:noWrap w:val="0"/>
                  <w:vAlign w:val="center"/>
                </w:tcPr>
                <w:p>
                  <w:pPr>
                    <w:wordWrap/>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70~75</w:t>
                  </w:r>
                </w:p>
              </w:tc>
              <w:tc>
                <w:tcPr>
                  <w:tcW w:w="1170"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控制速度行车等</w:t>
                  </w:r>
                </w:p>
              </w:tc>
              <w:tc>
                <w:tcPr>
                  <w:tcW w:w="993"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412" w:type="pct"/>
                  <w:noWrap w:val="0"/>
                  <w:vAlign w:val="center"/>
                </w:tcPr>
                <w:p>
                  <w:pPr>
                    <w:wordWrap/>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5</w:t>
                  </w:r>
                </w:p>
              </w:tc>
              <w:tc>
                <w:tcPr>
                  <w:tcW w:w="1084" w:type="pct"/>
                  <w:noWrap w:val="0"/>
                  <w:vAlign w:val="center"/>
                </w:tcPr>
                <w:p>
                  <w:pPr>
                    <w:tabs>
                      <w:tab w:val="left" w:pos="1755"/>
                    </w:tabs>
                    <w:wordWrap/>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搅拌运输车</w:t>
                  </w:r>
                </w:p>
              </w:tc>
              <w:tc>
                <w:tcPr>
                  <w:tcW w:w="502" w:type="pct"/>
                  <w:noWrap w:val="0"/>
                  <w:vAlign w:val="center"/>
                </w:tcPr>
                <w:p>
                  <w:pPr>
                    <w:tabs>
                      <w:tab w:val="left" w:pos="1755"/>
                    </w:tabs>
                    <w:wordWrap/>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20辆</w:t>
                  </w:r>
                </w:p>
              </w:tc>
              <w:tc>
                <w:tcPr>
                  <w:tcW w:w="835" w:type="pct"/>
                  <w:noWrap w:val="0"/>
                  <w:vAlign w:val="center"/>
                </w:tcPr>
                <w:p>
                  <w:pPr>
                    <w:wordWrap/>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70~75</w:t>
                  </w:r>
                </w:p>
              </w:tc>
              <w:tc>
                <w:tcPr>
                  <w:tcW w:w="1170"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控制速度行车等</w:t>
                  </w:r>
                </w:p>
              </w:tc>
              <w:tc>
                <w:tcPr>
                  <w:tcW w:w="993"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412" w:type="pct"/>
                  <w:noWrap w:val="0"/>
                  <w:vAlign w:val="center"/>
                </w:tcPr>
                <w:p>
                  <w:pPr>
                    <w:wordWrap/>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6</w:t>
                  </w:r>
                </w:p>
              </w:tc>
              <w:tc>
                <w:tcPr>
                  <w:tcW w:w="1084" w:type="pct"/>
                  <w:noWrap w:val="0"/>
                  <w:vAlign w:val="center"/>
                </w:tcPr>
                <w:p>
                  <w:pPr>
                    <w:wordWrap/>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铲车</w:t>
                  </w:r>
                </w:p>
              </w:tc>
              <w:tc>
                <w:tcPr>
                  <w:tcW w:w="502" w:type="pct"/>
                  <w:noWrap w:val="0"/>
                  <w:vAlign w:val="center"/>
                </w:tcPr>
                <w:p>
                  <w:pPr>
                    <w:wordWrap/>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台</w:t>
                  </w:r>
                </w:p>
              </w:tc>
              <w:tc>
                <w:tcPr>
                  <w:tcW w:w="835" w:type="pct"/>
                  <w:noWrap w:val="0"/>
                  <w:vAlign w:val="center"/>
                </w:tcPr>
                <w:p>
                  <w:pPr>
                    <w:wordWrap/>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70~75</w:t>
                  </w:r>
                </w:p>
              </w:tc>
              <w:tc>
                <w:tcPr>
                  <w:tcW w:w="1170"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控制速度行车等</w:t>
                  </w:r>
                </w:p>
              </w:tc>
              <w:tc>
                <w:tcPr>
                  <w:tcW w:w="993" w:type="pct"/>
                  <w:noWrap w:val="0"/>
                  <w:vAlign w:val="center"/>
                </w:tcPr>
                <w:p>
                  <w:pPr>
                    <w:wordWrap/>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65</w:t>
                  </w:r>
                </w:p>
              </w:tc>
            </w:tr>
          </w:tbl>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2、声环境影响分析</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（1）噪声预防措施</w:t>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噪声污染防治途径有三个源头控制、传播途径控制及受声处控制，其中源头控制是一种积极隔声方法，就是将声源产生的噪声大幅度削减，不使之向外传给环境。本项目最近敏感点为北面</w:t>
            </w:r>
            <w:r>
              <w:rPr>
                <w:rFonts w:hint="default" w:ascii="Times New Roman" w:hAnsi="Times New Roman" w:eastAsia="宋体" w:cs="Times New Roman"/>
                <w:color w:val="000000"/>
                <w:sz w:val="24"/>
                <w:szCs w:val="24"/>
                <w:highlight w:val="none"/>
                <w:lang w:val="en-US" w:eastAsia="zh-CN"/>
              </w:rPr>
              <w:t>160</w:t>
            </w:r>
            <w:r>
              <w:rPr>
                <w:rFonts w:hint="default" w:ascii="Times New Roman" w:hAnsi="Times New Roman" w:eastAsia="宋体" w:cs="Times New Roman"/>
                <w:color w:val="000000"/>
                <w:sz w:val="24"/>
                <w:szCs w:val="24"/>
                <w:highlight w:val="none"/>
              </w:rPr>
              <w:t>m</w:t>
            </w:r>
            <w:r>
              <w:rPr>
                <w:rFonts w:hint="default" w:ascii="Times New Roman" w:hAnsi="Times New Roman" w:eastAsia="宋体" w:cs="Times New Roman"/>
                <w:color w:val="000000"/>
                <w:sz w:val="24"/>
                <w:szCs w:val="24"/>
                <w:highlight w:val="none"/>
                <w:lang w:val="en-US" w:eastAsia="zh-CN"/>
              </w:rPr>
              <w:t>的民房</w:t>
            </w:r>
            <w:r>
              <w:rPr>
                <w:rFonts w:hint="default" w:ascii="Times New Roman" w:hAnsi="Times New Roman" w:eastAsia="宋体" w:cs="Times New Roman"/>
                <w:color w:val="000000"/>
                <w:sz w:val="24"/>
                <w:szCs w:val="24"/>
                <w:highlight w:val="none"/>
              </w:rPr>
              <w:t>，生产噪声对敏感点影响较低，故厂区噪声防治主要采取源头控制，使项目厂界满足《工业企业厂界环境噪声排放标准》（GB12348-2008）中的2类标准。</w:t>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源头控制措施：本项目振动污染源属于稳态振动，厂区生产工艺主要为混凝土搅拌（搅拌楼高10m以上），振动产生源强较低且远离地面，为了减少和控制振动的传递，拟通过安装弹性元件或减振器，阻尼减振，同时设备基座及脚架安装软垫（橡胶）及阻尼钢板，减少共振产生。</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（2）噪声预测模式</w:t>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根据本项目的噪声排放特点、结合本项目周边的环境状况</w:t>
            </w:r>
            <w:r>
              <w:rPr>
                <w:rFonts w:hint="eastAsia" w:ascii="Times New Roman" w:hAnsi="Times New Roman" w:eastAsia="宋体" w:cs="Times New Roman"/>
                <w:color w:val="000000"/>
                <w:sz w:val="24"/>
                <w:szCs w:val="24"/>
                <w:highlight w:val="none"/>
                <w:lang w:val="en-US" w:eastAsia="zh-CN"/>
              </w:rPr>
              <w:t>与</w:t>
            </w:r>
            <w:r>
              <w:rPr>
                <w:rFonts w:hint="default" w:ascii="Times New Roman" w:hAnsi="Times New Roman" w:eastAsia="宋体" w:cs="Times New Roman"/>
                <w:color w:val="000000"/>
                <w:sz w:val="24"/>
                <w:szCs w:val="24"/>
                <w:highlight w:val="none"/>
              </w:rPr>
              <w:t>《环境影响评价技术导则 声环境》（HJ2.4-2009）的要求，本次评价采用点声源距离衰减模式对项目营运期厂界噪声进行预测，预测公式如下：</w:t>
            </w:r>
          </w:p>
          <w:p>
            <w:pPr>
              <w:pStyle w:val="24"/>
              <w:spacing w:line="360" w:lineRule="auto"/>
              <w:ind w:firstLine="40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drawing>
                <wp:inline distT="0" distB="0" distL="114300" distR="114300">
                  <wp:extent cx="3218815" cy="604520"/>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1"/>
                          <a:stretch>
                            <a:fillRect/>
                          </a:stretch>
                        </pic:blipFill>
                        <pic:spPr>
                          <a:xfrm>
                            <a:off x="0" y="0"/>
                            <a:ext cx="3218815" cy="604520"/>
                          </a:xfrm>
                          <a:prstGeom prst="rect">
                            <a:avLst/>
                          </a:prstGeom>
                          <a:noFill/>
                          <a:ln>
                            <a:noFill/>
                          </a:ln>
                        </pic:spPr>
                      </pic:pic>
                    </a:graphicData>
                  </a:graphic>
                </wp:inline>
              </w:drawing>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式中：L</w:t>
            </w:r>
            <w:r>
              <w:rPr>
                <w:rFonts w:hint="default" w:ascii="Times New Roman" w:hAnsi="Times New Roman" w:eastAsia="宋体" w:cs="Times New Roman"/>
                <w:color w:val="000000"/>
                <w:sz w:val="24"/>
                <w:szCs w:val="24"/>
                <w:highlight w:val="none"/>
                <w:vertAlign w:val="subscript"/>
              </w:rPr>
              <w:t>2</w:t>
            </w:r>
            <w:r>
              <w:rPr>
                <w:rFonts w:hint="default" w:ascii="Times New Roman" w:hAnsi="Times New Roman" w:eastAsia="宋体" w:cs="Times New Roman"/>
                <w:color w:val="000000"/>
                <w:sz w:val="24"/>
                <w:szCs w:val="24"/>
                <w:highlight w:val="none"/>
              </w:rPr>
              <w:t>—预测点的等效声级，dB（A）；</w:t>
            </w:r>
          </w:p>
          <w:p>
            <w:pPr>
              <w:pStyle w:val="24"/>
              <w:spacing w:line="360" w:lineRule="auto"/>
              <w:ind w:firstLine="1200" w:firstLineChars="5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L</w:t>
            </w:r>
            <w:r>
              <w:rPr>
                <w:rFonts w:hint="default" w:ascii="Times New Roman" w:hAnsi="Times New Roman" w:eastAsia="宋体" w:cs="Times New Roman"/>
                <w:color w:val="000000"/>
                <w:sz w:val="24"/>
                <w:szCs w:val="24"/>
                <w:highlight w:val="none"/>
                <w:vertAlign w:val="subscript"/>
              </w:rPr>
              <w:t>1</w:t>
            </w:r>
            <w:r>
              <w:rPr>
                <w:rFonts w:hint="default" w:ascii="Times New Roman" w:hAnsi="Times New Roman" w:eastAsia="宋体" w:cs="Times New Roman"/>
                <w:color w:val="000000"/>
                <w:sz w:val="24"/>
                <w:szCs w:val="24"/>
                <w:highlight w:val="none"/>
              </w:rPr>
              <w:t>—声源某一参考位置处的已知声级，dB（A）；</w:t>
            </w:r>
          </w:p>
          <w:p>
            <w:pPr>
              <w:pStyle w:val="24"/>
              <w:spacing w:line="360" w:lineRule="auto"/>
              <w:ind w:firstLine="1200" w:firstLineChars="5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OL—衰减量，本项目取20dB（A）；</w:t>
            </w:r>
          </w:p>
          <w:p>
            <w:pPr>
              <w:pStyle w:val="24"/>
              <w:spacing w:line="360" w:lineRule="auto"/>
              <w:ind w:firstLine="1200" w:firstLineChars="5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r</w:t>
            </w:r>
            <w:r>
              <w:rPr>
                <w:rFonts w:hint="default" w:ascii="Times New Roman" w:hAnsi="Times New Roman" w:eastAsia="宋体" w:cs="Times New Roman"/>
                <w:color w:val="000000"/>
                <w:sz w:val="24"/>
                <w:szCs w:val="24"/>
                <w:highlight w:val="none"/>
                <w:vertAlign w:val="subscript"/>
              </w:rPr>
              <w:t>2</w:t>
            </w:r>
            <w:r>
              <w:rPr>
                <w:rFonts w:hint="default" w:ascii="Times New Roman" w:hAnsi="Times New Roman" w:eastAsia="宋体" w:cs="Times New Roman"/>
                <w:color w:val="000000"/>
                <w:sz w:val="24"/>
                <w:szCs w:val="24"/>
                <w:highlight w:val="none"/>
              </w:rPr>
              <w:t>—预测点距声源的距离，m；</w:t>
            </w:r>
          </w:p>
          <w:p>
            <w:pPr>
              <w:pStyle w:val="24"/>
              <w:spacing w:line="360" w:lineRule="auto"/>
              <w:ind w:firstLine="1200" w:firstLineChars="5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r</w:t>
            </w:r>
            <w:r>
              <w:rPr>
                <w:rFonts w:hint="default" w:ascii="Times New Roman" w:hAnsi="Times New Roman" w:eastAsia="宋体" w:cs="Times New Roman"/>
                <w:color w:val="000000"/>
                <w:sz w:val="24"/>
                <w:szCs w:val="24"/>
                <w:highlight w:val="none"/>
                <w:vertAlign w:val="subscript"/>
              </w:rPr>
              <w:t>1</w:t>
            </w:r>
            <w:r>
              <w:rPr>
                <w:rFonts w:hint="default" w:ascii="Times New Roman" w:hAnsi="Times New Roman" w:eastAsia="宋体" w:cs="Times New Roman"/>
                <w:color w:val="000000"/>
                <w:sz w:val="24"/>
                <w:szCs w:val="24"/>
                <w:highlight w:val="none"/>
              </w:rPr>
              <w:t>—声源某一参考位置处距声源的距离，m；</w:t>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各种因素引起的衰减量，包括选用低噪声设备、定期维护、厂房隔声、合理布局、空气吸收等引起的衰减量，本项目取20dB（A）。</w:t>
            </w:r>
          </w:p>
          <w:p>
            <w:pPr>
              <w:pStyle w:val="24"/>
              <w:spacing w:line="360" w:lineRule="auto"/>
              <w:ind w:firstLine="48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object>
                <v:shape id="_x0000_i1027" o:spt="75" type="#_x0000_t75" style="height:36.75pt;width:144pt;" o:ole="t" filled="f" o:preferrelative="t" stroked="f" coordsize="21600,21600">
                  <v:path/>
                  <v:fill on="f" focussize="0,0"/>
                  <v:stroke on="f"/>
                  <v:imagedata r:id="rId23" o:title=""/>
                  <o:lock v:ext="edit" aspectratio="t"/>
                  <w10:wrap type="none"/>
                  <w10:anchorlock/>
                </v:shape>
                <o:OLEObject Type="Embed" ProgID="Equation.3" ShapeID="_x0000_i1027" DrawAspect="Content" ObjectID="_1468075727" r:id="rId22">
                  <o:LockedField>false</o:LockedField>
                </o:OLEObject>
              </w:object>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对两个以上多个声源同时存在时，其预测点总声压级采用下面公式：</w:t>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式中：Leq—预测点的总等效声级，dB（A）；</w:t>
            </w:r>
          </w:p>
          <w:p>
            <w:pPr>
              <w:pStyle w:val="24"/>
              <w:spacing w:line="360" w:lineRule="auto"/>
              <w:ind w:firstLine="1200" w:firstLineChars="5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Li—第i个声源对预测点的声级影响，dB（A）。</w:t>
            </w:r>
          </w:p>
          <w:p>
            <w:pPr>
              <w:pStyle w:val="24"/>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本项目拟采取消声、减振、厂房隔声、合理布局和设备定期维护等措施来降低本项目的噪声影响。考虑最不利因素，本项目噪声预测时所有噪声源强均取最大值，厂房隔声、消声、减震等降噪措施效果取</w:t>
            </w:r>
            <w:r>
              <w:rPr>
                <w:rFonts w:hint="default" w:ascii="Times New Roman" w:hAnsi="Times New Roman" w:eastAsia="宋体" w:cs="Times New Roman"/>
                <w:color w:val="000000"/>
                <w:sz w:val="24"/>
                <w:szCs w:val="24"/>
                <w:highlight w:val="none"/>
                <w:lang w:val="en-US" w:eastAsia="zh-CN"/>
              </w:rPr>
              <w:t>10</w:t>
            </w:r>
            <w:r>
              <w:rPr>
                <w:rFonts w:hint="default" w:ascii="Times New Roman" w:hAnsi="Times New Roman" w:eastAsia="宋体" w:cs="Times New Roman"/>
                <w:color w:val="000000"/>
                <w:sz w:val="24"/>
                <w:szCs w:val="24"/>
                <w:highlight w:val="none"/>
              </w:rPr>
              <w:t>dB（A），本项目生产噪声在场界处噪声预测值见表4-</w:t>
            </w:r>
            <w:r>
              <w:rPr>
                <w:rFonts w:hint="eastAsia" w:ascii="Times New Roman" w:hAnsi="Times New Roman" w:eastAsia="宋体" w:cs="Times New Roman"/>
                <w:color w:val="000000"/>
                <w:sz w:val="24"/>
                <w:szCs w:val="24"/>
                <w:highlight w:val="none"/>
                <w:lang w:val="en-US" w:eastAsia="zh-CN"/>
              </w:rPr>
              <w:t>11</w:t>
            </w:r>
            <w:r>
              <w:rPr>
                <w:rFonts w:hint="default" w:ascii="Times New Roman" w:hAnsi="Times New Roman" w:eastAsia="宋体" w:cs="Times New Roman"/>
                <w:color w:val="000000"/>
                <w:sz w:val="24"/>
                <w:szCs w:val="24"/>
                <w:highlight w:val="none"/>
              </w:rPr>
              <w:t>。</w:t>
            </w:r>
          </w:p>
          <w:p>
            <w:pPr>
              <w:pStyle w:val="25"/>
              <w:spacing w:line="24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eastAsia" w:ascii="Times New Roman" w:hAnsi="Times New Roman" w:eastAsia="宋体" w:cs="Times New Roman"/>
                <w:b/>
                <w:bCs/>
                <w:sz w:val="21"/>
                <w:szCs w:val="21"/>
                <w:highlight w:val="none"/>
                <w:lang w:val="en-US" w:eastAsia="zh-CN"/>
              </w:rPr>
              <w:t xml:space="preserve">11 </w:t>
            </w:r>
            <w:r>
              <w:rPr>
                <w:rFonts w:hint="default" w:ascii="Times New Roman" w:hAnsi="Times New Roman" w:eastAsia="宋体" w:cs="Times New Roman"/>
                <w:b/>
                <w:bCs/>
                <w:sz w:val="21"/>
                <w:szCs w:val="21"/>
                <w:highlight w:val="none"/>
              </w:rPr>
              <w:t xml:space="preserve"> 项目边界噪声贡献值单位：dB（A）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686"/>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noWrap w:val="0"/>
                  <w:vAlign w:val="center"/>
                </w:tcPr>
                <w:p>
                  <w:pPr>
                    <w:widowControl w:val="0"/>
                    <w:spacing w:line="240" w:lineRule="auto"/>
                    <w:jc w:val="center"/>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napToGrid w:val="0"/>
                      <w:color w:val="000000"/>
                      <w:kern w:val="0"/>
                      <w:sz w:val="21"/>
                      <w:szCs w:val="21"/>
                      <w:lang w:val="en-US" w:eastAsia="zh-CN"/>
                    </w:rPr>
                    <w:t>主要噪声源</w:t>
                  </w:r>
                </w:p>
              </w:tc>
              <w:tc>
                <w:tcPr>
                  <w:tcW w:w="1686" w:type="dxa"/>
                  <w:noWrap w:val="0"/>
                  <w:vAlign w:val="center"/>
                </w:tcPr>
                <w:p>
                  <w:pPr>
                    <w:widowControl w:val="0"/>
                    <w:spacing w:line="240" w:lineRule="auto"/>
                    <w:jc w:val="center"/>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z w:val="21"/>
                      <w:szCs w:val="21"/>
                      <w:lang w:val="en-US" w:eastAsia="zh-CN"/>
                    </w:rPr>
                    <w:t>项目</w:t>
                  </w:r>
                </w:p>
              </w:tc>
              <w:tc>
                <w:tcPr>
                  <w:tcW w:w="1060" w:type="dxa"/>
                  <w:noWrap w:val="0"/>
                  <w:vAlign w:val="center"/>
                </w:tcPr>
                <w:p>
                  <w:pPr>
                    <w:widowControl w:val="0"/>
                    <w:spacing w:line="240" w:lineRule="auto"/>
                    <w:jc w:val="center"/>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z w:val="21"/>
                      <w:szCs w:val="21"/>
                      <w:lang w:val="en-US" w:eastAsia="zh-CN"/>
                    </w:rPr>
                    <w:t>东侧厂界</w:t>
                  </w:r>
                </w:p>
              </w:tc>
              <w:tc>
                <w:tcPr>
                  <w:tcW w:w="1060" w:type="dxa"/>
                  <w:noWrap w:val="0"/>
                  <w:vAlign w:val="center"/>
                </w:tcPr>
                <w:p>
                  <w:pPr>
                    <w:widowControl w:val="0"/>
                    <w:spacing w:line="240" w:lineRule="auto"/>
                    <w:jc w:val="center"/>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z w:val="21"/>
                      <w:szCs w:val="21"/>
                      <w:lang w:val="en-US" w:eastAsia="zh-CN"/>
                    </w:rPr>
                    <w:t>东侧厂界</w:t>
                  </w:r>
                </w:p>
              </w:tc>
              <w:tc>
                <w:tcPr>
                  <w:tcW w:w="1060" w:type="dxa"/>
                  <w:noWrap w:val="0"/>
                  <w:vAlign w:val="center"/>
                </w:tcPr>
                <w:p>
                  <w:pPr>
                    <w:widowControl w:val="0"/>
                    <w:spacing w:line="240" w:lineRule="auto"/>
                    <w:jc w:val="center"/>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z w:val="21"/>
                      <w:szCs w:val="21"/>
                      <w:lang w:val="en-US" w:eastAsia="zh-CN"/>
                    </w:rPr>
                    <w:t>东侧厂界</w:t>
                  </w:r>
                </w:p>
              </w:tc>
              <w:tc>
                <w:tcPr>
                  <w:tcW w:w="1060" w:type="dxa"/>
                  <w:noWrap w:val="0"/>
                  <w:vAlign w:val="center"/>
                </w:tcPr>
                <w:p>
                  <w:pPr>
                    <w:widowControl w:val="0"/>
                    <w:spacing w:line="240" w:lineRule="auto"/>
                    <w:jc w:val="center"/>
                    <w:rPr>
                      <w:rFonts w:hint="default" w:ascii="Times New Roman" w:hAnsi="Times New Roman" w:eastAsia="宋体" w:cs="Times New Roman"/>
                      <w:b/>
                      <w:bCs/>
                      <w:snapToGrid w:val="0"/>
                      <w:color w:val="000000"/>
                      <w:kern w:val="0"/>
                      <w:sz w:val="21"/>
                      <w:szCs w:val="21"/>
                      <w:lang w:val="en-US" w:eastAsia="zh-CN"/>
                    </w:rPr>
                  </w:pPr>
                  <w:r>
                    <w:rPr>
                      <w:rFonts w:hint="default" w:ascii="Times New Roman" w:hAnsi="Times New Roman" w:eastAsia="宋体" w:cs="Times New Roman"/>
                      <w:b/>
                      <w:bCs/>
                      <w:sz w:val="21"/>
                      <w:szCs w:val="21"/>
                      <w:lang w:val="en-US" w:eastAsia="zh-CN"/>
                    </w:rPr>
                    <w:t>东侧厂界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Merge w:val="restart"/>
                  <w:noWrap w:val="0"/>
                  <w:vAlign w:val="center"/>
                </w:tcPr>
                <w:p>
                  <w:pPr>
                    <w:widowControl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混凝土作业区内</w:t>
                  </w:r>
                </w:p>
              </w:tc>
              <w:tc>
                <w:tcPr>
                  <w:tcW w:w="1686" w:type="dxa"/>
                  <w:noWrap w:val="0"/>
                  <w:vAlign w:val="center"/>
                </w:tcPr>
                <w:p>
                  <w:pPr>
                    <w:widowControl w:val="0"/>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距离：m</w:t>
                  </w:r>
                </w:p>
              </w:tc>
              <w:tc>
                <w:tcPr>
                  <w:tcW w:w="1060" w:type="dxa"/>
                  <w:noWrap w:val="0"/>
                  <w:vAlign w:val="center"/>
                </w:tcPr>
                <w:p>
                  <w:pPr>
                    <w:widowControl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34</w:t>
                  </w:r>
                </w:p>
              </w:tc>
              <w:tc>
                <w:tcPr>
                  <w:tcW w:w="1060" w:type="dxa"/>
                  <w:noWrap w:val="0"/>
                  <w:vAlign w:val="center"/>
                </w:tcPr>
                <w:p>
                  <w:pPr>
                    <w:widowControl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1060" w:type="dxa"/>
                  <w:noWrap w:val="0"/>
                  <w:vAlign w:val="center"/>
                </w:tcPr>
                <w:p>
                  <w:pPr>
                    <w:widowControl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37</w:t>
                  </w:r>
                </w:p>
              </w:tc>
              <w:tc>
                <w:tcPr>
                  <w:tcW w:w="1060" w:type="dxa"/>
                  <w:noWrap w:val="0"/>
                  <w:vAlign w:val="center"/>
                </w:tcPr>
                <w:p>
                  <w:pPr>
                    <w:widowControl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Merge w:val="continue"/>
                  <w:noWrap w:val="0"/>
                  <w:vAlign w:val="center"/>
                </w:tcPr>
                <w:p>
                  <w:pPr>
                    <w:widowControl w:val="0"/>
                    <w:spacing w:line="240" w:lineRule="auto"/>
                    <w:jc w:val="center"/>
                    <w:rPr>
                      <w:rFonts w:hint="default" w:ascii="Times New Roman" w:hAnsi="Times New Roman" w:eastAsia="宋体" w:cs="Times New Roman"/>
                      <w:sz w:val="21"/>
                      <w:szCs w:val="21"/>
                      <w:lang w:val="en-US" w:eastAsia="zh-CN"/>
                    </w:rPr>
                  </w:pPr>
                </w:p>
              </w:tc>
              <w:tc>
                <w:tcPr>
                  <w:tcW w:w="1686" w:type="dxa"/>
                  <w:noWrap w:val="0"/>
                  <w:vAlign w:val="center"/>
                </w:tcPr>
                <w:p>
                  <w:pPr>
                    <w:widowControl w:val="0"/>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厂界噪声贡献值</w:t>
                  </w:r>
                </w:p>
              </w:tc>
              <w:tc>
                <w:tcPr>
                  <w:tcW w:w="1060" w:type="dxa"/>
                  <w:noWrap w:val="0"/>
                  <w:vAlign w:val="center"/>
                </w:tcPr>
                <w:p>
                  <w:pPr>
                    <w:widowControl w:val="0"/>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53.16</w:t>
                  </w:r>
                </w:p>
              </w:tc>
              <w:tc>
                <w:tcPr>
                  <w:tcW w:w="1060" w:type="dxa"/>
                  <w:noWrap w:val="0"/>
                  <w:vAlign w:val="center"/>
                </w:tcPr>
                <w:p>
                  <w:pPr>
                    <w:widowControl w:val="0"/>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54.24</w:t>
                  </w:r>
                </w:p>
              </w:tc>
              <w:tc>
                <w:tcPr>
                  <w:tcW w:w="1060" w:type="dxa"/>
                  <w:noWrap w:val="0"/>
                  <w:vAlign w:val="center"/>
                </w:tcPr>
                <w:p>
                  <w:pPr>
                    <w:widowControl w:val="0"/>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52.42</w:t>
                  </w:r>
                </w:p>
              </w:tc>
              <w:tc>
                <w:tcPr>
                  <w:tcW w:w="1060" w:type="dxa"/>
                  <w:noWrap w:val="0"/>
                  <w:vAlign w:val="center"/>
                </w:tcPr>
                <w:p>
                  <w:pPr>
                    <w:widowControl w:val="0"/>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46.28</w:t>
                  </w:r>
                </w:p>
              </w:tc>
            </w:tr>
          </w:tbl>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项目不在夜间生产，由上表结果可知，本项目运营期边界噪声昼间的贡献值均满足《工业企业厂界环境噪声排放标准》（GB12348</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2008）的2类标准，对周边环境影响小。</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3、</w:t>
            </w:r>
            <w:r>
              <w:rPr>
                <w:rFonts w:hint="default" w:ascii="Times New Roman" w:hAnsi="Times New Roman" w:eastAsia="宋体" w:cs="Times New Roman"/>
                <w:color w:val="0000FF"/>
                <w:sz w:val="24"/>
                <w:szCs w:val="24"/>
                <w:highlight w:val="none"/>
                <w:lang w:val="en-US" w:eastAsia="zh-CN"/>
              </w:rPr>
              <w:t>对运输沿线的环境影响分析</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根据调查，</w:t>
            </w:r>
            <w:r>
              <w:rPr>
                <w:rFonts w:hint="eastAsia" w:ascii="Times New Roman" w:hAnsi="Times New Roman" w:eastAsia="宋体" w:cs="Times New Roman"/>
                <w:color w:val="0000FF"/>
                <w:sz w:val="24"/>
                <w:szCs w:val="24"/>
                <w:highlight w:val="none"/>
                <w:lang w:val="en-US" w:eastAsia="zh-CN"/>
              </w:rPr>
              <w:t>606乡道</w:t>
            </w:r>
            <w:r>
              <w:rPr>
                <w:rFonts w:hint="default" w:ascii="Times New Roman" w:hAnsi="Times New Roman" w:eastAsia="宋体" w:cs="Times New Roman"/>
                <w:color w:val="0000FF"/>
                <w:sz w:val="24"/>
                <w:szCs w:val="24"/>
                <w:highlight w:val="none"/>
                <w:lang w:val="en-US" w:eastAsia="zh-CN"/>
              </w:rPr>
              <w:t>两侧范围内分布有</w:t>
            </w:r>
            <w:r>
              <w:rPr>
                <w:rFonts w:hint="eastAsia" w:ascii="Times New Roman" w:hAnsi="Times New Roman" w:eastAsia="宋体" w:cs="Times New Roman"/>
                <w:color w:val="0000FF"/>
                <w:sz w:val="24"/>
                <w:szCs w:val="24"/>
                <w:highlight w:val="none"/>
                <w:lang w:val="en-US" w:eastAsia="zh-CN"/>
              </w:rPr>
              <w:t>零星民房，且在606乡乡道与S250省道交界处有一个敬老院（城郊敬老院）</w:t>
            </w:r>
            <w:r>
              <w:rPr>
                <w:rFonts w:hint="default" w:ascii="Times New Roman" w:hAnsi="Times New Roman" w:eastAsia="宋体" w:cs="Times New Roman"/>
                <w:color w:val="0000FF"/>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根据项目工程特征，项目原辅材料及成品运输量较大，项目主要运输道路为项目</w:t>
            </w:r>
            <w:r>
              <w:rPr>
                <w:rFonts w:hint="eastAsia" w:ascii="Times New Roman" w:hAnsi="Times New Roman" w:eastAsia="宋体" w:cs="Times New Roman"/>
                <w:color w:val="0000FF"/>
                <w:sz w:val="24"/>
                <w:szCs w:val="24"/>
                <w:highlight w:val="none"/>
                <w:lang w:val="en-US" w:eastAsia="zh-CN"/>
              </w:rPr>
              <w:t>西南</w:t>
            </w:r>
            <w:r>
              <w:rPr>
                <w:rFonts w:hint="default" w:ascii="Times New Roman" w:hAnsi="Times New Roman" w:eastAsia="宋体" w:cs="Times New Roman"/>
                <w:color w:val="0000FF"/>
                <w:sz w:val="24"/>
                <w:szCs w:val="24"/>
                <w:highlight w:val="none"/>
                <w:lang w:val="en-US" w:eastAsia="zh-CN"/>
              </w:rPr>
              <w:t>侧的</w:t>
            </w:r>
            <w:r>
              <w:rPr>
                <w:rFonts w:hint="eastAsia" w:ascii="Times New Roman" w:hAnsi="Times New Roman" w:eastAsia="宋体" w:cs="Times New Roman"/>
                <w:color w:val="0000FF"/>
                <w:sz w:val="24"/>
                <w:szCs w:val="24"/>
                <w:highlight w:val="none"/>
                <w:lang w:val="en-US" w:eastAsia="zh-CN"/>
              </w:rPr>
              <w:t>606乡道</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运输车辆</w:t>
            </w:r>
            <w:r>
              <w:rPr>
                <w:rFonts w:hint="default" w:ascii="Times New Roman" w:hAnsi="Times New Roman" w:eastAsia="宋体" w:cs="Times New Roman"/>
                <w:color w:val="0000FF"/>
                <w:sz w:val="24"/>
                <w:szCs w:val="24"/>
                <w:highlight w:val="none"/>
                <w:lang w:val="en-US" w:eastAsia="zh-CN"/>
              </w:rPr>
              <w:t>通过该道路</w:t>
            </w:r>
            <w:r>
              <w:rPr>
                <w:rFonts w:hint="eastAsia" w:ascii="Times New Roman" w:hAnsi="Times New Roman" w:eastAsia="宋体" w:cs="Times New Roman"/>
                <w:color w:val="0000FF"/>
                <w:sz w:val="24"/>
                <w:szCs w:val="24"/>
                <w:highlight w:val="none"/>
                <w:lang w:val="en-US" w:eastAsia="zh-CN"/>
              </w:rPr>
              <w:t>连接S250</w:t>
            </w:r>
            <w:r>
              <w:rPr>
                <w:rFonts w:hint="default" w:ascii="Times New Roman" w:hAnsi="Times New Roman" w:eastAsia="宋体" w:cs="Times New Roman"/>
                <w:color w:val="0000FF"/>
                <w:sz w:val="24"/>
                <w:szCs w:val="24"/>
                <w:highlight w:val="none"/>
                <w:lang w:val="en-US" w:eastAsia="zh-CN"/>
              </w:rPr>
              <w:t xml:space="preserve">省道。 </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项目原辅材料及成品运输车辆噪声源强在</w:t>
            </w:r>
            <w:r>
              <w:rPr>
                <w:rFonts w:hint="eastAsia" w:ascii="Times New Roman" w:hAnsi="Times New Roman" w:eastAsia="宋体" w:cs="Times New Roman"/>
                <w:color w:val="0000FF"/>
                <w:sz w:val="24"/>
                <w:szCs w:val="24"/>
                <w:highlight w:val="none"/>
                <w:lang w:val="en-US" w:eastAsia="zh-CN"/>
              </w:rPr>
              <w:t>70</w:t>
            </w:r>
            <w:r>
              <w:rPr>
                <w:rFonts w:hint="default" w:ascii="Times New Roman" w:hAnsi="Times New Roman" w:eastAsia="宋体" w:cs="Times New Roman"/>
                <w:color w:val="0000FF"/>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75</w:t>
            </w:r>
            <w:r>
              <w:rPr>
                <w:rFonts w:hint="default" w:ascii="Times New Roman" w:hAnsi="Times New Roman" w:eastAsia="宋体" w:cs="Times New Roman"/>
                <w:color w:val="0000FF"/>
                <w:sz w:val="24"/>
                <w:szCs w:val="24"/>
                <w:highlight w:val="none"/>
                <w:lang w:val="en-US" w:eastAsia="zh-CN"/>
              </w:rPr>
              <w:t>dB(A)之间（本次环评取</w:t>
            </w:r>
            <w:r>
              <w:rPr>
                <w:rFonts w:hint="eastAsia" w:ascii="Times New Roman" w:hAnsi="Times New Roman" w:eastAsia="宋体" w:cs="Times New Roman"/>
                <w:color w:val="0000FF"/>
                <w:sz w:val="24"/>
                <w:szCs w:val="24"/>
                <w:highlight w:val="none"/>
                <w:lang w:val="en-US" w:eastAsia="zh-CN"/>
              </w:rPr>
              <w:t>75</w:t>
            </w:r>
            <w:r>
              <w:rPr>
                <w:rFonts w:hint="default" w:ascii="Times New Roman" w:hAnsi="Times New Roman" w:eastAsia="宋体" w:cs="Times New Roman"/>
                <w:color w:val="0000FF"/>
                <w:sz w:val="24"/>
                <w:szCs w:val="24"/>
                <w:highlight w:val="none"/>
                <w:lang w:val="en-US" w:eastAsia="zh-CN"/>
              </w:rPr>
              <w:t xml:space="preserve"> dB(A)），考虑到项目运输量较大，评价采用有限长线声源衰减模式预测交通噪声对沿线居民环境的影响。预测公式如下：</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Lp(r)= Lp(r</w:t>
            </w:r>
            <w:r>
              <w:rPr>
                <w:rFonts w:hint="default" w:ascii="Times New Roman" w:hAnsi="Times New Roman" w:eastAsia="宋体" w:cs="Times New Roman"/>
                <w:color w:val="0000FF"/>
                <w:sz w:val="24"/>
                <w:szCs w:val="24"/>
                <w:highlight w:val="none"/>
                <w:vertAlign w:val="subscript"/>
                <w:lang w:val="en-US" w:eastAsia="zh-CN"/>
              </w:rPr>
              <w:t>0</w:t>
            </w:r>
            <w:r>
              <w:rPr>
                <w:rFonts w:hint="default" w:ascii="Times New Roman" w:hAnsi="Times New Roman" w:eastAsia="宋体" w:cs="Times New Roman"/>
                <w:color w:val="0000FF"/>
                <w:sz w:val="24"/>
                <w:szCs w:val="24"/>
                <w:highlight w:val="none"/>
                <w:lang w:val="en-US" w:eastAsia="zh-CN"/>
              </w:rPr>
              <w:t>)-15lg( r/r</w:t>
            </w:r>
            <w:r>
              <w:rPr>
                <w:rFonts w:hint="default" w:ascii="Times New Roman" w:hAnsi="Times New Roman" w:eastAsia="宋体" w:cs="Times New Roman"/>
                <w:color w:val="0000FF"/>
                <w:sz w:val="24"/>
                <w:szCs w:val="24"/>
                <w:highlight w:val="none"/>
                <w:vertAlign w:val="subscript"/>
                <w:lang w:val="en-US" w:eastAsia="zh-CN"/>
              </w:rPr>
              <w:t>0</w:t>
            </w:r>
            <w:r>
              <w:rPr>
                <w:rFonts w:hint="default" w:ascii="Times New Roman" w:hAnsi="Times New Roman" w:eastAsia="宋体" w:cs="Times New Roman"/>
                <w:color w:val="0000FF"/>
                <w:sz w:val="24"/>
                <w:szCs w:val="24"/>
                <w:highlight w:val="none"/>
                <w:lang w:val="en-US" w:eastAsia="zh-CN"/>
              </w:rPr>
              <w:t xml:space="preserve">)  </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式中：Lp(r)、Lp(r</w:t>
            </w:r>
            <w:r>
              <w:rPr>
                <w:rFonts w:hint="default" w:ascii="Times New Roman" w:hAnsi="Times New Roman" w:eastAsia="宋体" w:cs="Times New Roman"/>
                <w:color w:val="0000FF"/>
                <w:sz w:val="24"/>
                <w:szCs w:val="24"/>
                <w:highlight w:val="none"/>
                <w:vertAlign w:val="subscript"/>
                <w:lang w:val="en-US" w:eastAsia="zh-CN"/>
              </w:rPr>
              <w:t>0</w:t>
            </w:r>
            <w:r>
              <w:rPr>
                <w:rFonts w:hint="default" w:ascii="Times New Roman" w:hAnsi="Times New Roman" w:eastAsia="宋体" w:cs="Times New Roman"/>
                <w:color w:val="0000FF"/>
                <w:sz w:val="24"/>
                <w:szCs w:val="24"/>
                <w:highlight w:val="none"/>
                <w:lang w:val="en-US" w:eastAsia="zh-CN"/>
              </w:rPr>
              <w:t>)——预测点r、r</w:t>
            </w:r>
            <w:r>
              <w:rPr>
                <w:rFonts w:hint="default" w:ascii="Times New Roman" w:hAnsi="Times New Roman" w:eastAsia="宋体" w:cs="Times New Roman"/>
                <w:color w:val="0000FF"/>
                <w:sz w:val="24"/>
                <w:szCs w:val="24"/>
                <w:highlight w:val="none"/>
                <w:vertAlign w:val="subscript"/>
                <w:lang w:val="en-US" w:eastAsia="zh-CN"/>
              </w:rPr>
              <w:t xml:space="preserve">0 </w:t>
            </w:r>
            <w:r>
              <w:rPr>
                <w:rFonts w:hint="default" w:ascii="Times New Roman" w:hAnsi="Times New Roman" w:eastAsia="宋体" w:cs="Times New Roman"/>
                <w:color w:val="0000FF"/>
                <w:sz w:val="24"/>
                <w:szCs w:val="24"/>
                <w:highlight w:val="none"/>
                <w:lang w:val="en-US" w:eastAsia="zh-CN"/>
              </w:rPr>
              <w:t xml:space="preserve">处的声压级； </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预测结果见表</w:t>
            </w:r>
            <w:r>
              <w:rPr>
                <w:rFonts w:hint="eastAsia" w:ascii="Times New Roman" w:hAnsi="Times New Roman" w:eastAsia="宋体" w:cs="Times New Roman"/>
                <w:color w:val="0000FF"/>
                <w:sz w:val="24"/>
                <w:szCs w:val="24"/>
                <w:highlight w:val="none"/>
                <w:lang w:val="en-US" w:eastAsia="zh-CN"/>
              </w:rPr>
              <w:t>4-:10</w:t>
            </w:r>
            <w:r>
              <w:rPr>
                <w:rFonts w:hint="default" w:ascii="Times New Roman" w:hAnsi="Times New Roman" w:eastAsia="宋体" w:cs="Times New Roman"/>
                <w:color w:val="0000FF"/>
                <w:sz w:val="24"/>
                <w:szCs w:val="24"/>
                <w:highlight w:val="none"/>
                <w:lang w:val="en-US" w:eastAsia="zh-CN"/>
              </w:rPr>
              <w:t>。</w:t>
            </w:r>
          </w:p>
          <w:p>
            <w:pPr>
              <w:spacing w:line="240" w:lineRule="auto"/>
              <w:ind w:firstLine="422" w:firstLineChars="200"/>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表</w:t>
            </w:r>
            <w:r>
              <w:rPr>
                <w:rFonts w:hint="eastAsia" w:ascii="Times New Roman" w:hAnsi="Times New Roman" w:eastAsia="宋体" w:cs="Times New Roman"/>
                <w:b/>
                <w:bCs/>
                <w:color w:val="0000FF"/>
                <w:sz w:val="21"/>
                <w:szCs w:val="21"/>
                <w:highlight w:val="none"/>
                <w:lang w:val="en-US" w:eastAsia="zh-CN"/>
              </w:rPr>
              <w:t>4-12</w:t>
            </w:r>
            <w:r>
              <w:rPr>
                <w:rFonts w:hint="default" w:ascii="Times New Roman" w:hAnsi="Times New Roman" w:eastAsia="宋体" w:cs="Times New Roman"/>
                <w:b/>
                <w:bCs/>
                <w:color w:val="0000FF"/>
                <w:sz w:val="21"/>
                <w:szCs w:val="21"/>
                <w:highlight w:val="none"/>
                <w:lang w:val="en-US" w:eastAsia="zh-CN"/>
              </w:rPr>
              <w:t xml:space="preserve">    项目运输道路交通噪声衰减预测结果    单位：dB(A)</w:t>
            </w:r>
          </w:p>
          <w:tbl>
            <w:tblPr>
              <w:tblStyle w:val="15"/>
              <w:tblW w:w="4996"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621"/>
              <w:gridCol w:w="621"/>
              <w:gridCol w:w="622"/>
              <w:gridCol w:w="622"/>
              <w:gridCol w:w="622"/>
              <w:gridCol w:w="622"/>
              <w:gridCol w:w="622"/>
              <w:gridCol w:w="622"/>
              <w:gridCol w:w="6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459" w:type="pct"/>
                  <w:noWrap w:val="0"/>
                  <w:vAlign w:val="top"/>
                  <mc:AlternateContent>
                    <mc:Choice Requires="wpsCustomData">
                      <wpsCustomData:diagonals>
                        <wpsCustomData:diagonal from="30000" to="10000">
                          <wpsCustomData:border w:val="single" w:color="auto" w:sz="8" w:space="0"/>
                        </wpsCustomData:diagonal>
                      </wpsCustomData:diagonals>
                    </mc:Choice>
                  </mc:AlternateContent>
                </w:tcPr>
                <w:p>
                  <w:pPr>
                    <w:spacing w:line="240" w:lineRule="auto"/>
                    <w:jc w:val="center"/>
                    <w:rPr>
                      <w:rFonts w:hint="default" w:ascii="Times New Roman" w:hAnsi="Times New Roman" w:eastAsia="宋体" w:cs="Times New Roman"/>
                      <w:b/>
                      <w:bCs/>
                      <w:color w:val="0000FF"/>
                      <w:sz w:val="21"/>
                      <w:szCs w:val="21"/>
                      <w:highlight w:val="none"/>
                      <w:lang w:val="en-US" w:eastAsia="zh-CN"/>
                    </w:rPr>
                  </w:pPr>
                </w:p>
                <w:p>
                  <w:pPr>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噪声值</w:t>
                  </w:r>
                </w:p>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距离（m）</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20</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40</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60</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80</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100</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120</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160</w:t>
                  </w:r>
                </w:p>
              </w:tc>
              <w:tc>
                <w:tcPr>
                  <w:tcW w:w="392"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200</w:t>
                  </w:r>
                </w:p>
              </w:tc>
              <w:tc>
                <w:tcPr>
                  <w:tcW w:w="396" w:type="pct"/>
                  <w:noWrap w:val="0"/>
                  <w:vAlign w:val="center"/>
                </w:tcPr>
                <w:p>
                  <w:pPr>
                    <w:spacing w:line="240" w:lineRule="auto"/>
                    <w:jc w:val="center"/>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459" w:type="pct"/>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val="en-US" w:eastAsia="zh-CN"/>
                    </w:rPr>
                    <w:t>84</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66</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61</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59</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57</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55</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54</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52</w:t>
                  </w:r>
                </w:p>
              </w:tc>
              <w:tc>
                <w:tcPr>
                  <w:tcW w:w="622"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51</w:t>
                  </w:r>
                </w:p>
              </w:tc>
              <w:tc>
                <w:tcPr>
                  <w:tcW w:w="628" w:type="dxa"/>
                  <w:noWrap w:val="0"/>
                  <w:vAlign w:val="center"/>
                </w:tcPr>
                <w:p>
                  <w:pPr>
                    <w:spacing w:line="240" w:lineRule="auto"/>
                    <w:jc w:val="center"/>
                    <w:rPr>
                      <w:rFonts w:hint="default" w:ascii="Times New Roman" w:hAnsi="Times New Roman" w:eastAsia="宋体" w:cs="Times New Roman"/>
                      <w:color w:val="0000FF"/>
                      <w:sz w:val="21"/>
                      <w:szCs w:val="21"/>
                      <w:highlight w:val="none"/>
                      <w:lang w:val="en-US" w:eastAsia="zh-CN"/>
                    </w:rPr>
                  </w:pPr>
                  <w:r>
                    <w:rPr>
                      <w:rFonts w:hint="eastAsia" w:ascii="Times New Roman" w:hAnsi="Times New Roman" w:eastAsia="宋体" w:cs="Times New Roman"/>
                      <w:color w:val="0000FF"/>
                      <w:sz w:val="21"/>
                      <w:szCs w:val="21"/>
                      <w:highlight w:val="none"/>
                      <w:lang w:val="en-US" w:eastAsia="zh-CN"/>
                    </w:rPr>
                    <w:t>48</w:t>
                  </w:r>
                </w:p>
              </w:tc>
            </w:tr>
          </w:tbl>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根据</w:t>
            </w:r>
            <w:r>
              <w:rPr>
                <w:rFonts w:hint="eastAsia" w:ascii="Times New Roman" w:hAnsi="Times New Roman" w:eastAsia="宋体" w:cs="Times New Roman"/>
                <w:color w:val="0000FF"/>
                <w:sz w:val="24"/>
                <w:szCs w:val="24"/>
                <w:highlight w:val="none"/>
                <w:lang w:val="en-US" w:eastAsia="zh-CN"/>
              </w:rPr>
              <w:t>上表</w:t>
            </w:r>
            <w:r>
              <w:rPr>
                <w:rFonts w:hint="default" w:ascii="Times New Roman" w:hAnsi="Times New Roman" w:eastAsia="宋体" w:cs="Times New Roman"/>
                <w:color w:val="0000FF"/>
                <w:sz w:val="24"/>
                <w:szCs w:val="24"/>
                <w:highlight w:val="none"/>
                <w:lang w:val="en-US" w:eastAsia="zh-CN"/>
              </w:rPr>
              <w:t>可知，项目原辅材料及成品运输过程中交通噪声对沿线居民</w:t>
            </w:r>
            <w:r>
              <w:rPr>
                <w:rFonts w:hint="eastAsia" w:ascii="Times New Roman" w:hAnsi="Times New Roman" w:eastAsia="宋体" w:cs="Times New Roman"/>
                <w:color w:val="0000FF"/>
                <w:sz w:val="24"/>
                <w:szCs w:val="24"/>
                <w:highlight w:val="none"/>
                <w:lang w:val="en-US" w:eastAsia="zh-CN"/>
              </w:rPr>
              <w:t>等</w:t>
            </w:r>
            <w:r>
              <w:rPr>
                <w:rFonts w:hint="default" w:ascii="Times New Roman" w:hAnsi="Times New Roman" w:eastAsia="宋体" w:cs="Times New Roman"/>
                <w:color w:val="0000FF"/>
                <w:sz w:val="24"/>
                <w:szCs w:val="24"/>
                <w:highlight w:val="none"/>
                <w:lang w:val="en-US" w:eastAsia="zh-CN"/>
              </w:rPr>
              <w:t>产生一定的影响。</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 xml:space="preserve">为尽量减轻运营期运输扬尘和噪声对道路沿线敏感点的影响，建设单位应采取以下措施： </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①</w:t>
            </w:r>
            <w:r>
              <w:rPr>
                <w:rFonts w:hint="default" w:ascii="Times New Roman" w:hAnsi="Times New Roman" w:eastAsia="宋体" w:cs="Times New Roman"/>
                <w:color w:val="0000FF"/>
                <w:sz w:val="24"/>
                <w:szCs w:val="24"/>
                <w:highlight w:val="none"/>
                <w:lang w:val="en-US" w:eastAsia="zh-CN"/>
              </w:rPr>
              <w:t>运输时段应选择在非休息时段进行，以最大程度降</w:t>
            </w:r>
            <w:r>
              <w:rPr>
                <w:rFonts w:hint="eastAsia" w:ascii="Times New Roman" w:hAnsi="Times New Roman" w:eastAsia="宋体" w:cs="Times New Roman"/>
                <w:color w:val="0000FF"/>
                <w:sz w:val="24"/>
                <w:szCs w:val="24"/>
                <w:highlight w:val="none"/>
                <w:lang w:val="en-US" w:eastAsia="zh-CN"/>
              </w:rPr>
              <w:t>低</w:t>
            </w:r>
            <w:r>
              <w:rPr>
                <w:rFonts w:hint="default" w:ascii="Times New Roman" w:hAnsi="Times New Roman" w:eastAsia="宋体" w:cs="Times New Roman"/>
                <w:color w:val="0000FF"/>
                <w:sz w:val="24"/>
                <w:szCs w:val="24"/>
                <w:highlight w:val="none"/>
                <w:lang w:val="en-US" w:eastAsia="zh-CN"/>
              </w:rPr>
              <w:t xml:space="preserve">运输对沿途经过的环境敏感目标的影响； </w:t>
            </w:r>
          </w:p>
          <w:p>
            <w:pPr>
              <w:spacing w:line="360" w:lineRule="auto"/>
              <w:ind w:firstLine="480" w:firstLineChars="200"/>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②</w:t>
            </w:r>
            <w:r>
              <w:rPr>
                <w:rFonts w:hint="default" w:ascii="Times New Roman" w:hAnsi="Times New Roman" w:eastAsia="宋体" w:cs="Times New Roman"/>
                <w:color w:val="0000FF"/>
                <w:sz w:val="24"/>
                <w:szCs w:val="24"/>
                <w:highlight w:val="none"/>
                <w:lang w:val="en-US" w:eastAsia="zh-CN"/>
              </w:rPr>
              <w:t>加强运输管理，运输车辆在途径</w:t>
            </w:r>
            <w:r>
              <w:rPr>
                <w:rFonts w:hint="eastAsia" w:ascii="Times New Roman" w:hAnsi="Times New Roman" w:eastAsia="宋体" w:cs="Times New Roman"/>
                <w:color w:val="0000FF"/>
                <w:sz w:val="24"/>
                <w:szCs w:val="24"/>
                <w:highlight w:val="none"/>
                <w:lang w:val="en-US" w:eastAsia="zh-CN"/>
              </w:rPr>
              <w:t>敬老院等</w:t>
            </w:r>
            <w:r>
              <w:rPr>
                <w:rFonts w:hint="default" w:ascii="Times New Roman" w:hAnsi="Times New Roman" w:eastAsia="宋体" w:cs="Times New Roman"/>
                <w:color w:val="0000FF"/>
                <w:sz w:val="24"/>
                <w:szCs w:val="24"/>
                <w:highlight w:val="none"/>
                <w:lang w:val="en-US" w:eastAsia="zh-CN"/>
              </w:rPr>
              <w:t>敏感点附近时应减速行驶，禁止使用高音喇叭。</w:t>
            </w:r>
          </w:p>
          <w:p>
            <w:pPr>
              <w:spacing w:line="360" w:lineRule="auto"/>
              <w:ind w:firstLine="480" w:firstLineChars="200"/>
              <w:rPr>
                <w:rFonts w:hint="eastAsia" w:ascii="Times New Roman" w:hAnsi="Times New Roman" w:eastAsia="宋体" w:cs="Times New Roman"/>
                <w:color w:val="0000FF"/>
                <w:sz w:val="24"/>
                <w:szCs w:val="24"/>
                <w:highlight w:val="none"/>
                <w:lang w:val="en-US" w:eastAsia="zh-CN"/>
              </w:rPr>
            </w:pPr>
            <w:r>
              <w:rPr>
                <w:rFonts w:hint="default" w:ascii="Times New Roman" w:hAnsi="Times New Roman" w:eastAsia="宋体" w:cs="Times New Roman"/>
                <w:color w:val="0000FF"/>
                <w:sz w:val="24"/>
                <w:szCs w:val="24"/>
                <w:highlight w:val="none"/>
                <w:lang w:val="en-US" w:eastAsia="zh-CN"/>
              </w:rPr>
              <w:t>在采取上述措施后，可将项目</w:t>
            </w:r>
            <w:r>
              <w:rPr>
                <w:rFonts w:hint="eastAsia" w:ascii="Times New Roman" w:hAnsi="Times New Roman" w:eastAsia="宋体" w:cs="Times New Roman"/>
                <w:color w:val="0000FF"/>
                <w:sz w:val="24"/>
                <w:szCs w:val="24"/>
                <w:highlight w:val="none"/>
                <w:lang w:val="en-US" w:eastAsia="zh-CN"/>
              </w:rPr>
              <w:t>施工期</w:t>
            </w:r>
            <w:r>
              <w:rPr>
                <w:rFonts w:hint="default" w:ascii="Times New Roman" w:hAnsi="Times New Roman" w:eastAsia="宋体" w:cs="Times New Roman"/>
                <w:color w:val="0000FF"/>
                <w:sz w:val="24"/>
                <w:szCs w:val="24"/>
                <w:highlight w:val="none"/>
                <w:lang w:val="en-US" w:eastAsia="zh-CN"/>
              </w:rPr>
              <w:t>运输车辆产生的噪声降低到最低程度，减小对沿线居民的影响。</w:t>
            </w:r>
          </w:p>
          <w:p>
            <w:pPr>
              <w:numPr>
                <w:ilvl w:val="0"/>
                <w:numId w:val="0"/>
              </w:numPr>
              <w:spacing w:line="360" w:lineRule="auto"/>
              <w:ind w:leftChars="200"/>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en-US" w:eastAsia="zh-CN"/>
              </w:rPr>
              <w:t>声环境影响评价自查表</w:t>
            </w:r>
          </w:p>
          <w:p>
            <w:pPr>
              <w:spacing w:line="240" w:lineRule="auto"/>
              <w:jc w:val="center"/>
              <w:rPr>
                <w:rFonts w:hint="default" w:ascii="Times New Roman" w:hAnsi="Times New Roman" w:cs="Times New Roman" w:eastAsiaTheme="minorEastAsia"/>
                <w:b/>
                <w:color w:val="auto"/>
                <w:kern w:val="2"/>
                <w:sz w:val="21"/>
                <w:szCs w:val="21"/>
                <w:highlight w:val="none"/>
                <w:lang w:val="en-US" w:eastAsia="zh-CN" w:bidi="ar-SA"/>
              </w:rPr>
            </w:pPr>
            <w:r>
              <w:rPr>
                <w:rFonts w:hint="default" w:ascii="Times New Roman" w:hAnsi="Times New Roman" w:cs="Times New Roman" w:eastAsiaTheme="minorEastAsia"/>
                <w:b/>
                <w:color w:val="auto"/>
                <w:kern w:val="2"/>
                <w:sz w:val="21"/>
                <w:szCs w:val="21"/>
                <w:highlight w:val="none"/>
                <w:lang w:val="en-US" w:eastAsia="zh-CN" w:bidi="ar-SA"/>
              </w:rPr>
              <w:t>表4-</w:t>
            </w:r>
            <w:r>
              <w:rPr>
                <w:rFonts w:hint="eastAsia" w:ascii="Times New Roman" w:hAnsi="Times New Roman" w:cs="Times New Roman" w:eastAsiaTheme="minorEastAsia"/>
                <w:b/>
                <w:color w:val="auto"/>
                <w:kern w:val="2"/>
                <w:sz w:val="21"/>
                <w:szCs w:val="21"/>
                <w:highlight w:val="none"/>
                <w:lang w:val="en-US" w:eastAsia="zh-CN" w:bidi="ar-SA"/>
              </w:rPr>
              <w:t>13</w:t>
            </w:r>
            <w:r>
              <w:rPr>
                <w:rFonts w:hint="default" w:ascii="Times New Roman" w:hAnsi="Times New Roman" w:cs="Times New Roman" w:eastAsiaTheme="minorEastAsia"/>
                <w:b/>
                <w:color w:val="auto"/>
                <w:kern w:val="2"/>
                <w:sz w:val="21"/>
                <w:szCs w:val="21"/>
                <w:highlight w:val="none"/>
                <w:lang w:val="en-US" w:eastAsia="zh-CN" w:bidi="ar-SA"/>
              </w:rPr>
              <w:t xml:space="preserve">  声环境影响评价自查表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03"/>
              <w:gridCol w:w="1085"/>
              <w:gridCol w:w="517"/>
              <w:gridCol w:w="333"/>
              <w:gridCol w:w="30"/>
              <w:gridCol w:w="863"/>
              <w:gridCol w:w="888"/>
              <w:gridCol w:w="186"/>
              <w:gridCol w:w="254"/>
              <w:gridCol w:w="499"/>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工作内容</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评价等级与范围</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评价等级</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40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一级□           二级□         三级</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评价范围</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200 m</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大于200 m□           小于200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评价因子</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评价因子</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等效连续A声级</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最大A声级□  计权等效连续感觉噪声级□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评价标准</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评价标准</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国家标准</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地方标准□     国外标准□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现状评价</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环境功能区</w:t>
                  </w:r>
                </w:p>
              </w:tc>
              <w:tc>
                <w:tcPr>
                  <w:tcW w:w="68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0类区□</w:t>
                  </w:r>
                </w:p>
              </w:tc>
              <w:tc>
                <w:tcPr>
                  <w:tcW w:w="53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1类区□</w:t>
                  </w:r>
                </w:p>
              </w:tc>
              <w:tc>
                <w:tcPr>
                  <w:tcW w:w="56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7"/>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2类区□</w:t>
                  </w:r>
                </w:p>
              </w:tc>
              <w:tc>
                <w:tcPr>
                  <w:tcW w:w="56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3类区</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p>
              </w:tc>
              <w:tc>
                <w:tcPr>
                  <w:tcW w:w="592"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4a类区□</w:t>
                  </w:r>
                </w:p>
              </w:tc>
              <w:tc>
                <w:tcPr>
                  <w:tcW w:w="68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4b类区□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评价年度</w:t>
                  </w:r>
                </w:p>
              </w:tc>
              <w:tc>
                <w:tcPr>
                  <w:tcW w:w="101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初期</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p>
              </w:tc>
              <w:tc>
                <w:tcPr>
                  <w:tcW w:w="773"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近期□</w:t>
                  </w:r>
                </w:p>
              </w:tc>
              <w:tc>
                <w:tcPr>
                  <w:tcW w:w="837"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中期□</w:t>
                  </w:r>
                </w:p>
              </w:tc>
              <w:tc>
                <w:tcPr>
                  <w:tcW w:w="997"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7"/>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现状调查方法</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现场实测法</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现场实测加模型计算法□   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现状评价</w:t>
                  </w:r>
                </w:p>
              </w:tc>
              <w:tc>
                <w:tcPr>
                  <w:tcW w:w="101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达标百分比</w:t>
                  </w:r>
                </w:p>
              </w:tc>
              <w:tc>
                <w:tcPr>
                  <w:tcW w:w="2608" w:type="pct"/>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67"/>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噪声源调查</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噪声源调查方法</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现场实测</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已有资料□      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声环境影响预测与评价</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预测模型</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导则推荐模型</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预测范围</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200 m</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大于200 m□           小于200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预测因子</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等效连续A声级</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最大A声级□  计权等效连续感觉噪声级□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厂界噪声贡献值</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达标</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声环境保护目标处噪声值</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达标</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环境监测计划</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排放监测</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厂界监测</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固定位置监测□ 自动监测□ 手动监测</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 xml:space="preserve"> 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声环境保护目标处噪声监测</w:t>
                  </w:r>
                </w:p>
              </w:tc>
              <w:tc>
                <w:tcPr>
                  <w:tcW w:w="1239"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监测因子：（     ）</w:t>
                  </w:r>
                </w:p>
              </w:tc>
              <w:tc>
                <w:tcPr>
                  <w:tcW w:w="1221"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7"/>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监测点位数（     ）</w:t>
                  </w:r>
                </w:p>
              </w:tc>
              <w:tc>
                <w:tcPr>
                  <w:tcW w:w="1157"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2"/>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无监测</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2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评价结论</w:t>
                  </w:r>
                </w:p>
              </w:tc>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环境影响</w:t>
                  </w:r>
                </w:p>
              </w:tc>
              <w:tc>
                <w:tcPr>
                  <w:tcW w:w="3618" w:type="pct"/>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可行</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color w:val="auto"/>
                      <w:sz w:val="21"/>
                      <w:szCs w:val="21"/>
                      <w:highlight w:val="none"/>
                    </w:rPr>
                    <w:instrText xml:space="preserve"> EQ \o\ac(</w:instrText>
                  </w:r>
                  <w:r>
                    <w:rPr>
                      <w:rFonts w:hint="default" w:ascii="Times New Roman" w:hAnsi="Times New Roman" w:cs="Times New Roman" w:eastAsiaTheme="minorEastAsia"/>
                      <w:color w:val="auto"/>
                      <w:position w:val="-4"/>
                      <w:sz w:val="31"/>
                      <w:szCs w:val="21"/>
                      <w:highlight w:val="none"/>
                    </w:rPr>
                    <w:instrText xml:space="preserve">□</w:instrText>
                  </w:r>
                  <w:r>
                    <w:rPr>
                      <w:rFonts w:hint="default" w:ascii="Times New Roman" w:hAnsi="Times New Roman" w:cs="Times New Roman" w:eastAsiaTheme="minorEastAsia"/>
                      <w:color w:val="auto"/>
                      <w:position w:val="0"/>
                      <w:sz w:val="21"/>
                      <w:szCs w:val="21"/>
                      <w:highlight w:val="none"/>
                    </w:rPr>
                    <w:instrText xml:space="preserve">,√)</w:instrTex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color w:val="auto"/>
                      <w:sz w:val="21"/>
                      <w:szCs w:val="21"/>
                      <w:highlight w:val="none"/>
                    </w:rPr>
                    <w:t>；不可行□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Style w:val="44"/>
                      <w:rFonts w:hint="default" w:ascii="Times New Roman" w:hAnsi="Times New Roman" w:cs="Times New Roman" w:eastAsiaTheme="minorEastAsia"/>
                      <w:b w:val="0"/>
                      <w:bCs/>
                      <w:color w:val="auto"/>
                      <w:sz w:val="21"/>
                      <w:szCs w:val="21"/>
                      <w:highlight w:val="none"/>
                    </w:rPr>
                    <w:t>注：</w:t>
                  </w:r>
                  <w:r>
                    <w:rPr>
                      <w:rStyle w:val="45"/>
                      <w:rFonts w:hint="default" w:ascii="Times New Roman" w:hAnsi="Times New Roman" w:cs="Times New Roman" w:eastAsiaTheme="minorEastAsia"/>
                      <w:b w:val="0"/>
                      <w:bCs/>
                      <w:color w:val="auto"/>
                      <w:sz w:val="21"/>
                      <w:szCs w:val="21"/>
                      <w:highlight w:val="none"/>
                    </w:rPr>
                    <w:t>“</w:t>
                  </w:r>
                  <w:r>
                    <w:rPr>
                      <w:rStyle w:val="44"/>
                      <w:rFonts w:hint="default" w:ascii="Times New Roman" w:hAnsi="Times New Roman" w:cs="Times New Roman" w:eastAsiaTheme="minorEastAsia"/>
                      <w:b w:val="0"/>
                      <w:bCs/>
                      <w:color w:val="auto"/>
                      <w:sz w:val="21"/>
                      <w:szCs w:val="21"/>
                      <w:highlight w:val="none"/>
                    </w:rPr>
                    <w:t>□</w:t>
                  </w:r>
                  <w:r>
                    <w:rPr>
                      <w:rStyle w:val="45"/>
                      <w:rFonts w:hint="default" w:ascii="Times New Roman" w:hAnsi="Times New Roman" w:cs="Times New Roman" w:eastAsiaTheme="minorEastAsia"/>
                      <w:b w:val="0"/>
                      <w:bCs/>
                      <w:color w:val="auto"/>
                      <w:sz w:val="21"/>
                      <w:szCs w:val="21"/>
                      <w:highlight w:val="none"/>
                    </w:rPr>
                    <w:t>”</w:t>
                  </w:r>
                  <w:r>
                    <w:rPr>
                      <w:rStyle w:val="44"/>
                      <w:rFonts w:hint="default" w:ascii="Times New Roman" w:hAnsi="Times New Roman" w:cs="Times New Roman" w:eastAsiaTheme="minorEastAsia"/>
                      <w:b w:val="0"/>
                      <w:bCs/>
                      <w:color w:val="auto"/>
                      <w:sz w:val="21"/>
                      <w:szCs w:val="21"/>
                      <w:highlight w:val="none"/>
                    </w:rPr>
                    <w:t>，填</w:t>
                  </w:r>
                  <w:r>
                    <w:rPr>
                      <w:rStyle w:val="45"/>
                      <w:rFonts w:hint="default" w:ascii="Times New Roman" w:hAnsi="Times New Roman" w:cs="Times New Roman" w:eastAsiaTheme="minorEastAsia"/>
                      <w:b w:val="0"/>
                      <w:bCs/>
                      <w:color w:val="auto"/>
                      <w:sz w:val="21"/>
                      <w:szCs w:val="21"/>
                      <w:highlight w:val="none"/>
                    </w:rPr>
                    <w:t>“</w:t>
                  </w:r>
                  <w:r>
                    <w:rPr>
                      <w:rStyle w:val="44"/>
                      <w:rFonts w:hint="default" w:ascii="Times New Roman" w:hAnsi="Times New Roman" w:cs="Times New Roman" w:eastAsiaTheme="minorEastAsia"/>
                      <w:b w:val="0"/>
                      <w:bCs/>
                      <w:color w:val="auto"/>
                      <w:sz w:val="21"/>
                      <w:szCs w:val="21"/>
                      <w:highlight w:val="none"/>
                    </w:rPr>
                    <w:t>√</w:t>
                  </w:r>
                  <w:r>
                    <w:rPr>
                      <w:rStyle w:val="45"/>
                      <w:rFonts w:hint="default" w:ascii="Times New Roman" w:hAnsi="Times New Roman" w:cs="Times New Roman" w:eastAsiaTheme="minorEastAsia"/>
                      <w:b w:val="0"/>
                      <w:bCs/>
                      <w:color w:val="auto"/>
                      <w:sz w:val="21"/>
                      <w:szCs w:val="21"/>
                      <w:highlight w:val="none"/>
                    </w:rPr>
                    <w:t>”</w:t>
                  </w:r>
                  <w:r>
                    <w:rPr>
                      <w:rStyle w:val="44"/>
                      <w:rFonts w:hint="default" w:ascii="Times New Roman" w:hAnsi="Times New Roman" w:cs="Times New Roman" w:eastAsiaTheme="minorEastAsia"/>
                      <w:b w:val="0"/>
                      <w:bCs/>
                      <w:color w:val="auto"/>
                      <w:sz w:val="21"/>
                      <w:szCs w:val="21"/>
                      <w:highlight w:val="none"/>
                    </w:rPr>
                    <w:t>；</w:t>
                  </w:r>
                  <w:r>
                    <w:rPr>
                      <w:rStyle w:val="45"/>
                      <w:rFonts w:hint="default" w:ascii="Times New Roman" w:hAnsi="Times New Roman" w:cs="Times New Roman" w:eastAsiaTheme="minorEastAsia"/>
                      <w:b w:val="0"/>
                      <w:bCs/>
                      <w:color w:val="auto"/>
                      <w:sz w:val="21"/>
                      <w:szCs w:val="21"/>
                      <w:highlight w:val="none"/>
                    </w:rPr>
                    <w:t>“</w:t>
                  </w:r>
                  <w:r>
                    <w:rPr>
                      <w:rStyle w:val="44"/>
                      <w:rFonts w:hint="default" w:ascii="Times New Roman" w:hAnsi="Times New Roman" w:cs="Times New Roman" w:eastAsiaTheme="minorEastAsia"/>
                      <w:b w:val="0"/>
                      <w:bCs/>
                      <w:color w:val="auto"/>
                      <w:sz w:val="21"/>
                      <w:szCs w:val="21"/>
                      <w:highlight w:val="none"/>
                    </w:rPr>
                    <w:t>（</w:t>
                  </w:r>
                  <w:r>
                    <w:rPr>
                      <w:rStyle w:val="45"/>
                      <w:rFonts w:hint="default" w:ascii="Times New Roman" w:hAnsi="Times New Roman" w:cs="Times New Roman" w:eastAsiaTheme="minorEastAsia"/>
                      <w:b w:val="0"/>
                      <w:bCs/>
                      <w:color w:val="auto"/>
                      <w:sz w:val="21"/>
                      <w:szCs w:val="21"/>
                      <w:highlight w:val="none"/>
                    </w:rPr>
                    <w:t xml:space="preserve">  </w:t>
                  </w:r>
                  <w:r>
                    <w:rPr>
                      <w:rStyle w:val="44"/>
                      <w:rFonts w:hint="default" w:ascii="Times New Roman" w:hAnsi="Times New Roman" w:cs="Times New Roman" w:eastAsiaTheme="minorEastAsia"/>
                      <w:b w:val="0"/>
                      <w:bCs/>
                      <w:color w:val="auto"/>
                      <w:sz w:val="21"/>
                      <w:szCs w:val="21"/>
                      <w:highlight w:val="none"/>
                    </w:rPr>
                    <w:t>）</w:t>
                  </w:r>
                  <w:r>
                    <w:rPr>
                      <w:rStyle w:val="45"/>
                      <w:rFonts w:hint="default" w:ascii="Times New Roman" w:hAnsi="Times New Roman" w:cs="Times New Roman" w:eastAsiaTheme="minorEastAsia"/>
                      <w:b w:val="0"/>
                      <w:bCs/>
                      <w:color w:val="auto"/>
                      <w:sz w:val="21"/>
                      <w:szCs w:val="21"/>
                      <w:highlight w:val="none"/>
                    </w:rPr>
                    <w:t>”</w:t>
                  </w:r>
                  <w:r>
                    <w:rPr>
                      <w:rStyle w:val="44"/>
                      <w:rFonts w:hint="default" w:ascii="Times New Roman" w:hAnsi="Times New Roman" w:cs="Times New Roman" w:eastAsiaTheme="minorEastAsia"/>
                      <w:b w:val="0"/>
                      <w:bCs/>
                      <w:color w:val="auto"/>
                      <w:sz w:val="21"/>
                      <w:szCs w:val="21"/>
                      <w:highlight w:val="none"/>
                    </w:rPr>
                    <w:t>为内容填写项</w:t>
                  </w:r>
                </w:p>
              </w:tc>
            </w:tr>
          </w:tbl>
          <w:p>
            <w:pPr>
              <w:numPr>
                <w:ilvl w:val="0"/>
                <w:numId w:val="3"/>
              </w:numPr>
              <w:spacing w:line="360" w:lineRule="auto"/>
              <w:ind w:left="0" w:leftChars="0"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监测要求</w:t>
            </w:r>
          </w:p>
          <w:p>
            <w:pPr>
              <w:pStyle w:val="25"/>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eastAsia="宋体" w:cs="Times New Roman"/>
                <w:b/>
                <w:bCs/>
                <w:sz w:val="21"/>
                <w:szCs w:val="21"/>
                <w:lang w:val="en-US" w:eastAsia="zh-CN"/>
              </w:rPr>
              <w:t>14</w:t>
            </w:r>
            <w:r>
              <w:rPr>
                <w:rFonts w:hint="default" w:ascii="Times New Roman" w:hAnsi="Times New Roman" w:eastAsia="宋体" w:cs="Times New Roman"/>
                <w:b/>
                <w:bCs/>
                <w:sz w:val="21"/>
                <w:szCs w:val="21"/>
              </w:rPr>
              <w:t xml:space="preserve"> 噪声监测计划一览表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6"/>
              <w:gridCol w:w="2084"/>
              <w:gridCol w:w="127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290"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监测点位</w:t>
                  </w:r>
                </w:p>
              </w:tc>
              <w:tc>
                <w:tcPr>
                  <w:tcW w:w="1314"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监测指标</w:t>
                  </w:r>
                </w:p>
              </w:tc>
              <w:tc>
                <w:tcPr>
                  <w:tcW w:w="804"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监测频次</w:t>
                  </w:r>
                </w:p>
              </w:tc>
              <w:tc>
                <w:tcPr>
                  <w:tcW w:w="1592"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29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东厂界外1m</w:t>
                  </w:r>
                </w:p>
              </w:tc>
              <w:tc>
                <w:tcPr>
                  <w:tcW w:w="1314"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昼、夜间Leq(A)</w:t>
                  </w:r>
                </w:p>
              </w:tc>
              <w:tc>
                <w:tcPr>
                  <w:tcW w:w="804"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1次/季</w:t>
                  </w:r>
                </w:p>
              </w:tc>
              <w:tc>
                <w:tcPr>
                  <w:tcW w:w="1592"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《工业企业厂界环境噪声排放标准》（GB12348-2008）中的2类标准限值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29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南厂界外1m</w:t>
                  </w:r>
                </w:p>
              </w:tc>
              <w:tc>
                <w:tcPr>
                  <w:tcW w:w="1314" w:type="pct"/>
                  <w:vMerge w:val="continue"/>
                  <w:noWrap w:val="0"/>
                  <w:vAlign w:val="center"/>
                </w:tcPr>
                <w:p>
                  <w:pPr>
                    <w:spacing w:line="240" w:lineRule="auto"/>
                    <w:jc w:val="center"/>
                    <w:rPr>
                      <w:rFonts w:hint="default" w:ascii="Times New Roman" w:hAnsi="Times New Roman" w:eastAsia="宋体" w:cs="Times New Roman"/>
                      <w:sz w:val="21"/>
                      <w:szCs w:val="21"/>
                    </w:rPr>
                  </w:pPr>
                </w:p>
              </w:tc>
              <w:tc>
                <w:tcPr>
                  <w:tcW w:w="804" w:type="pct"/>
                  <w:vMerge w:val="continue"/>
                  <w:noWrap w:val="0"/>
                  <w:vAlign w:val="center"/>
                </w:tcPr>
                <w:p>
                  <w:pPr>
                    <w:spacing w:line="240" w:lineRule="auto"/>
                    <w:jc w:val="center"/>
                    <w:rPr>
                      <w:rFonts w:hint="default" w:ascii="Times New Roman" w:hAnsi="Times New Roman" w:eastAsia="宋体" w:cs="Times New Roman"/>
                      <w:sz w:val="21"/>
                      <w:szCs w:val="21"/>
                    </w:rPr>
                  </w:pPr>
                </w:p>
              </w:tc>
              <w:tc>
                <w:tcPr>
                  <w:tcW w:w="1592" w:type="pct"/>
                  <w:vMerge w:val="continue"/>
                  <w:noWrap w:val="0"/>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29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西厂界外1m</w:t>
                  </w:r>
                </w:p>
              </w:tc>
              <w:tc>
                <w:tcPr>
                  <w:tcW w:w="1314" w:type="pct"/>
                  <w:vMerge w:val="continue"/>
                  <w:noWrap w:val="0"/>
                  <w:vAlign w:val="center"/>
                </w:tcPr>
                <w:p>
                  <w:pPr>
                    <w:spacing w:line="240" w:lineRule="auto"/>
                    <w:jc w:val="center"/>
                    <w:rPr>
                      <w:rFonts w:hint="default" w:ascii="Times New Roman" w:hAnsi="Times New Roman" w:eastAsia="宋体" w:cs="Times New Roman"/>
                      <w:sz w:val="21"/>
                      <w:szCs w:val="21"/>
                    </w:rPr>
                  </w:pPr>
                </w:p>
              </w:tc>
              <w:tc>
                <w:tcPr>
                  <w:tcW w:w="804" w:type="pct"/>
                  <w:vMerge w:val="continue"/>
                  <w:noWrap w:val="0"/>
                  <w:vAlign w:val="center"/>
                </w:tcPr>
                <w:p>
                  <w:pPr>
                    <w:spacing w:line="240" w:lineRule="auto"/>
                    <w:jc w:val="center"/>
                    <w:rPr>
                      <w:rFonts w:hint="default" w:ascii="Times New Roman" w:hAnsi="Times New Roman" w:eastAsia="宋体" w:cs="Times New Roman"/>
                      <w:sz w:val="21"/>
                      <w:szCs w:val="21"/>
                    </w:rPr>
                  </w:pPr>
                </w:p>
              </w:tc>
              <w:tc>
                <w:tcPr>
                  <w:tcW w:w="1592" w:type="pct"/>
                  <w:vMerge w:val="continue"/>
                  <w:noWrap w:val="0"/>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29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北厂界外1m</w:t>
                  </w:r>
                </w:p>
              </w:tc>
              <w:tc>
                <w:tcPr>
                  <w:tcW w:w="1314" w:type="pct"/>
                  <w:vMerge w:val="continue"/>
                  <w:noWrap w:val="0"/>
                  <w:vAlign w:val="center"/>
                </w:tcPr>
                <w:p>
                  <w:pPr>
                    <w:spacing w:line="240" w:lineRule="auto"/>
                    <w:jc w:val="center"/>
                    <w:rPr>
                      <w:rFonts w:hint="default" w:ascii="Times New Roman" w:hAnsi="Times New Roman" w:eastAsia="宋体" w:cs="Times New Roman"/>
                      <w:sz w:val="21"/>
                      <w:szCs w:val="21"/>
                    </w:rPr>
                  </w:pPr>
                </w:p>
              </w:tc>
              <w:tc>
                <w:tcPr>
                  <w:tcW w:w="804" w:type="pct"/>
                  <w:vMerge w:val="continue"/>
                  <w:noWrap w:val="0"/>
                  <w:vAlign w:val="center"/>
                </w:tcPr>
                <w:p>
                  <w:pPr>
                    <w:spacing w:line="240" w:lineRule="auto"/>
                    <w:jc w:val="center"/>
                    <w:rPr>
                      <w:rFonts w:hint="default" w:ascii="Times New Roman" w:hAnsi="Times New Roman" w:eastAsia="宋体" w:cs="Times New Roman"/>
                      <w:sz w:val="21"/>
                      <w:szCs w:val="21"/>
                    </w:rPr>
                  </w:pPr>
                </w:p>
              </w:tc>
              <w:tc>
                <w:tcPr>
                  <w:tcW w:w="1592" w:type="pct"/>
                  <w:vMerge w:val="continue"/>
                  <w:noWrap w:val="0"/>
                  <w:vAlign w:val="center"/>
                </w:tcPr>
                <w:p>
                  <w:pPr>
                    <w:spacing w:line="240" w:lineRule="auto"/>
                    <w:jc w:val="center"/>
                    <w:rPr>
                      <w:rFonts w:hint="default" w:ascii="Times New Roman" w:hAnsi="Times New Roman" w:eastAsia="宋体" w:cs="Times New Roman"/>
                      <w:sz w:val="21"/>
                      <w:szCs w:val="21"/>
                    </w:rPr>
                  </w:pPr>
                </w:p>
              </w:tc>
            </w:tr>
          </w:tbl>
          <w:p>
            <w:pPr>
              <w:pStyle w:val="5"/>
              <w:spacing w:line="360" w:lineRule="auto"/>
              <w:outlineLvl w:val="2"/>
              <w:rPr>
                <w:rFonts w:hint="default" w:ascii="Times New Roman" w:hAnsi="Times New Roman" w:eastAsia="宋体" w:cs="Times New Roman"/>
                <w:sz w:val="24"/>
                <w:szCs w:val="24"/>
                <w:highlight w:val="none"/>
                <w:lang w:val="en-US" w:eastAsia="zh-CN"/>
              </w:rPr>
            </w:pPr>
          </w:p>
          <w:p>
            <w:pPr>
              <w:pStyle w:val="5"/>
              <w:spacing w:line="360" w:lineRule="auto"/>
              <w:outlineLvl w:val="2"/>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4.2.4固体废物</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1、固体废物来源</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（1）一般固体废物</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本项目投产后产生的固体废弃物主要为除尘装置收集的粉尘、沉淀池沉渣、员工生活垃圾及餐厨垃圾。 </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1）生活垃圾</w:t>
            </w:r>
            <w:r>
              <w:rPr>
                <w:rFonts w:hint="eastAsia" w:ascii="Times New Roman" w:hAnsi="Times New Roman" w:eastAsia="宋体" w:cs="Times New Roman"/>
                <w:sz w:val="24"/>
                <w:szCs w:val="24"/>
                <w:highlight w:val="none"/>
                <w:lang w:val="en-US" w:eastAsia="zh-CN"/>
              </w:rPr>
              <w:t>及餐厨垃圾</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本项目员工人数为70人，其中在厂区住宿的10名员工的生活垃圾产生量按每人每天生产0.5kg计，不在厂区住宿的60名员工的生活垃圾产生量按每人每天生产0.3kg计，年工作330天，则员工生活垃圾产生量为7.59t/a。</w:t>
            </w:r>
            <w:r>
              <w:rPr>
                <w:rFonts w:hint="default" w:ascii="Times New Roman" w:hAnsi="Times New Roman" w:eastAsia="宋体" w:cs="Times New Roman"/>
                <w:sz w:val="24"/>
                <w:szCs w:val="24"/>
                <w:highlight w:val="none"/>
              </w:rPr>
              <w:t>餐厨垃圾按0.1kg/人次·d计，</w:t>
            </w:r>
            <w:r>
              <w:rPr>
                <w:rFonts w:hint="eastAsia" w:ascii="Times New Roman" w:hAnsi="Times New Roman" w:eastAsia="宋体" w:cs="Times New Roman"/>
                <w:sz w:val="24"/>
                <w:szCs w:val="24"/>
                <w:highlight w:val="none"/>
                <w:lang w:val="en-US" w:eastAsia="zh-CN"/>
              </w:rPr>
              <w:t>建设单位为住宿人员提供每日三餐，为非住宿人员提供每日一餐，</w:t>
            </w:r>
            <w:r>
              <w:rPr>
                <w:rFonts w:hint="default" w:ascii="Times New Roman" w:hAnsi="Times New Roman" w:eastAsia="宋体" w:cs="Times New Roman"/>
                <w:sz w:val="24"/>
                <w:szCs w:val="24"/>
                <w:highlight w:val="none"/>
              </w:rPr>
              <w:t>则产生量为</w:t>
            </w:r>
            <w:r>
              <w:rPr>
                <w:rFonts w:hint="default" w:ascii="Times New Roman" w:hAnsi="Times New Roman" w:eastAsia="宋体" w:cs="Times New Roman"/>
                <w:sz w:val="24"/>
                <w:szCs w:val="24"/>
                <w:highlight w:val="none"/>
                <w:lang w:val="en-US" w:eastAsia="zh-CN"/>
              </w:rPr>
              <w:t>2.97</w:t>
            </w:r>
            <w:r>
              <w:rPr>
                <w:rFonts w:hint="default" w:ascii="Times New Roman" w:hAnsi="Times New Roman" w:eastAsia="宋体" w:cs="Times New Roman"/>
                <w:sz w:val="24"/>
                <w:szCs w:val="24"/>
                <w:highlight w:val="none"/>
              </w:rPr>
              <w:t>t/a。</w:t>
            </w:r>
          </w:p>
          <w:p>
            <w:pPr>
              <w:spacing w:line="360" w:lineRule="auto"/>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生活垃圾与餐厨垃圾分类收集，每日交</w:t>
            </w:r>
            <w:r>
              <w:rPr>
                <w:rFonts w:hint="default" w:ascii="Times New Roman" w:hAnsi="Times New Roman" w:eastAsia="宋体" w:cs="Times New Roman"/>
                <w:sz w:val="24"/>
                <w:szCs w:val="24"/>
                <w:highlight w:val="none"/>
              </w:rPr>
              <w:t>环卫部门处理。</w:t>
            </w:r>
          </w:p>
          <w:p>
            <w:pPr>
              <w:numPr>
                <w:ilvl w:val="0"/>
                <w:numId w:val="6"/>
              </w:num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一般工业固废</w:t>
            </w:r>
          </w:p>
          <w:p>
            <w:pPr>
              <w:numPr>
                <w:ilvl w:val="0"/>
                <w:numId w:val="0"/>
              </w:numPr>
              <w:spacing w:line="360" w:lineRule="auto"/>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①</w:t>
            </w:r>
            <w:r>
              <w:rPr>
                <w:rFonts w:hint="default" w:ascii="Times New Roman" w:hAnsi="Times New Roman" w:eastAsia="宋体" w:cs="Times New Roman"/>
                <w:sz w:val="24"/>
                <w:szCs w:val="24"/>
                <w:highlight w:val="none"/>
                <w:lang w:val="en-US" w:eastAsia="zh-CN"/>
              </w:rPr>
              <w:t xml:space="preserve">沉淀池沉渣 </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项目生产废水经沉淀池处理后，沉淀池内主要</w:t>
            </w:r>
            <w:r>
              <w:rPr>
                <w:rFonts w:hint="eastAsia" w:ascii="Times New Roman" w:hAnsi="Times New Roman" w:eastAsia="宋体" w:cs="Times New Roman"/>
                <w:sz w:val="24"/>
                <w:szCs w:val="24"/>
                <w:highlight w:val="none"/>
                <w:lang w:val="en-US" w:eastAsia="zh-CN"/>
              </w:rPr>
              <w:t>固废</w:t>
            </w:r>
            <w:r>
              <w:rPr>
                <w:rFonts w:hint="default" w:ascii="Times New Roman" w:hAnsi="Times New Roman" w:eastAsia="宋体" w:cs="Times New Roman"/>
                <w:sz w:val="24"/>
                <w:szCs w:val="24"/>
                <w:highlight w:val="none"/>
              </w:rPr>
              <w:t>为砂石及沉渣。</w:t>
            </w:r>
            <w:r>
              <w:rPr>
                <w:rFonts w:hint="default" w:ascii="Times New Roman" w:hAnsi="Times New Roman" w:eastAsia="宋体" w:cs="Times New Roman"/>
                <w:sz w:val="24"/>
                <w:szCs w:val="24"/>
                <w:highlight w:val="none"/>
                <w:lang w:val="en-US" w:eastAsia="zh-CN"/>
              </w:rPr>
              <w:t xml:space="preserve">根据同类型同规模项目类比，本项目废水沉淀过程产生沉淀物约3744t/a，沉淀物主要为砂石，沉淀池沉渣经砂石分离机分离后回用于生产。 </w:t>
            </w:r>
          </w:p>
          <w:p>
            <w:pPr>
              <w:spacing w:line="360" w:lineRule="auto"/>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②</w:t>
            </w:r>
            <w:r>
              <w:rPr>
                <w:rFonts w:hint="default" w:ascii="Times New Roman" w:hAnsi="Times New Roman" w:eastAsia="宋体" w:cs="Times New Roman"/>
                <w:sz w:val="24"/>
                <w:szCs w:val="24"/>
                <w:highlight w:val="none"/>
                <w:lang w:val="en-US" w:eastAsia="zh-CN"/>
              </w:rPr>
              <w:t xml:space="preserve">除尘装置收集的粉尘 </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搅拌、水泥筒仓工作过程产生的粉尘采用除尘装置进行除尘，</w:t>
            </w:r>
            <w:r>
              <w:rPr>
                <w:rFonts w:hint="default" w:ascii="Times New Roman" w:hAnsi="Times New Roman" w:eastAsia="宋体" w:cs="Times New Roman"/>
                <w:sz w:val="24"/>
                <w:szCs w:val="24"/>
                <w:highlight w:val="none"/>
              </w:rPr>
              <w:t>根据除尘效率核算得出</w:t>
            </w:r>
            <w:r>
              <w:rPr>
                <w:rFonts w:hint="default" w:ascii="Times New Roman" w:hAnsi="Times New Roman" w:eastAsia="宋体" w:cs="Times New Roman"/>
                <w:sz w:val="24"/>
                <w:szCs w:val="24"/>
                <w:highlight w:val="none"/>
                <w:lang w:val="en-US" w:eastAsia="zh-CN"/>
              </w:rPr>
              <w:t>除尘装置收集的粉尘量约为</w:t>
            </w:r>
            <w:r>
              <w:rPr>
                <w:rFonts w:hint="eastAsia" w:ascii="Times New Roman" w:hAnsi="Times New Roman" w:eastAsia="宋体" w:cs="Times New Roman"/>
                <w:color w:val="0000FF"/>
                <w:sz w:val="24"/>
                <w:szCs w:val="24"/>
                <w:highlight w:val="none"/>
                <w:lang w:val="en-US" w:eastAsia="zh-CN"/>
              </w:rPr>
              <w:t>424.96</w:t>
            </w:r>
            <w:r>
              <w:rPr>
                <w:rFonts w:hint="default" w:ascii="Times New Roman" w:hAnsi="Times New Roman" w:eastAsia="宋体" w:cs="Times New Roman"/>
                <w:color w:val="0000FF"/>
                <w:sz w:val="24"/>
                <w:szCs w:val="24"/>
                <w:highlight w:val="none"/>
                <w:lang w:val="en-US" w:eastAsia="zh-CN"/>
              </w:rPr>
              <w:t>t/a</w:t>
            </w:r>
            <w:r>
              <w:rPr>
                <w:rFonts w:hint="default" w:ascii="Times New Roman" w:hAnsi="Times New Roman" w:eastAsia="宋体" w:cs="Times New Roman"/>
                <w:sz w:val="24"/>
                <w:szCs w:val="24"/>
                <w:highlight w:val="none"/>
                <w:lang w:val="en-US" w:eastAsia="zh-CN"/>
              </w:rPr>
              <w:t>，回用于生产。</w:t>
            </w:r>
          </w:p>
          <w:p>
            <w:pPr>
              <w:numPr>
                <w:ilvl w:val="0"/>
                <w:numId w:val="7"/>
              </w:numPr>
              <w:spacing w:line="360" w:lineRule="auto"/>
              <w:ind w:leftChars="200"/>
              <w:rPr>
                <w:rFonts w:hint="default" w:ascii="Times New Roman" w:hAnsi="Times New Roman" w:eastAsia="宋体" w:cs="Times New Roman"/>
                <w:sz w:val="24"/>
                <w:highlight w:val="none"/>
                <w:u w:val="none"/>
                <w:lang w:val="en-US" w:eastAsia="zh-CN"/>
              </w:rPr>
            </w:pPr>
            <w:r>
              <w:rPr>
                <w:rFonts w:hint="default" w:ascii="Times New Roman" w:hAnsi="Times New Roman" w:eastAsia="宋体" w:cs="Times New Roman"/>
                <w:sz w:val="24"/>
                <w:highlight w:val="none"/>
                <w:u w:val="none"/>
                <w:lang w:val="en-US" w:eastAsia="zh-CN"/>
              </w:rPr>
              <w:t>危险固废</w:t>
            </w:r>
          </w:p>
          <w:p>
            <w:pPr>
              <w:numPr>
                <w:ilvl w:val="0"/>
                <w:numId w:val="0"/>
              </w:num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lang w:val="en-US" w:eastAsia="zh-CN"/>
              </w:rPr>
              <w:t>本项目产生的危险废物主要包括废矿物油</w:t>
            </w:r>
            <w:r>
              <w:rPr>
                <w:rFonts w:hint="eastAsia" w:ascii="Times New Roman" w:hAnsi="Times New Roman" w:eastAsia="宋体" w:cs="Times New Roman"/>
                <w:sz w:val="24"/>
                <w:highlight w:val="none"/>
                <w:u w:val="none"/>
                <w:lang w:val="en-US" w:eastAsia="zh-CN"/>
              </w:rPr>
              <w:t>、</w:t>
            </w:r>
            <w:r>
              <w:rPr>
                <w:rFonts w:hint="default" w:ascii="Times New Roman" w:hAnsi="Times New Roman" w:eastAsia="宋体" w:cs="Times New Roman"/>
                <w:sz w:val="24"/>
                <w:highlight w:val="none"/>
                <w:u w:val="none"/>
              </w:rPr>
              <w:t>设备运行维护过程废弃的含油抹布废手套、劳保用品</w:t>
            </w:r>
            <w:r>
              <w:rPr>
                <w:rFonts w:hint="eastAsia" w:ascii="Times New Roman" w:hAnsi="Times New Roman" w:eastAsia="宋体" w:cs="Times New Roman"/>
                <w:sz w:val="24"/>
                <w:highlight w:val="none"/>
                <w:u w:val="none"/>
                <w:lang w:val="en-US" w:eastAsia="zh-CN"/>
              </w:rPr>
              <w:t>以及隔油沉淀池中的油泥</w:t>
            </w:r>
            <w:r>
              <w:rPr>
                <w:rFonts w:hint="default" w:ascii="Times New Roman" w:hAnsi="Times New Roman" w:eastAsia="宋体" w:cs="Times New Roman"/>
                <w:sz w:val="24"/>
                <w:highlight w:val="none"/>
                <w:u w:val="none"/>
                <w:lang w:val="en-US" w:eastAsia="zh-CN"/>
              </w:rPr>
              <w:t xml:space="preserve">。 </w:t>
            </w:r>
          </w:p>
          <w:p>
            <w:pPr>
              <w:numPr>
                <w:ilvl w:val="0"/>
                <w:numId w:val="0"/>
              </w:numPr>
              <w:spacing w:line="360" w:lineRule="auto"/>
              <w:ind w:leftChars="200"/>
              <w:rPr>
                <w:rFonts w:hint="default" w:ascii="Times New Roman" w:hAnsi="Times New Roman" w:eastAsia="宋体" w:cs="Times New Roman"/>
                <w:sz w:val="24"/>
                <w:highlight w:val="none"/>
                <w:u w:val="none"/>
                <w:lang w:val="en-US"/>
              </w:rPr>
            </w:pPr>
            <w:r>
              <w:rPr>
                <w:rFonts w:hint="default" w:ascii="Times New Roman" w:hAnsi="Times New Roman" w:eastAsia="宋体" w:cs="Times New Roman"/>
                <w:sz w:val="24"/>
                <w:highlight w:val="none"/>
                <w:u w:val="none"/>
                <w:lang w:val="en-US" w:eastAsia="zh-CN"/>
              </w:rPr>
              <w:t>①废矿物油及废油桶</w:t>
            </w:r>
          </w:p>
          <w:p>
            <w:pPr>
              <w:pStyle w:val="24"/>
              <w:spacing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设备检修过程中会产生少量废</w:t>
            </w:r>
            <w:r>
              <w:rPr>
                <w:rFonts w:hint="eastAsia" w:ascii="Times New Roman" w:hAnsi="Times New Roman" w:eastAsia="宋体" w:cs="Times New Roman"/>
                <w:sz w:val="24"/>
                <w:szCs w:val="24"/>
                <w:highlight w:val="none"/>
                <w:lang w:val="en-US" w:eastAsia="zh-CN"/>
              </w:rPr>
              <w:t>矿物</w:t>
            </w:r>
            <w:r>
              <w:rPr>
                <w:rFonts w:hint="default" w:ascii="Times New Roman" w:hAnsi="Times New Roman" w:eastAsia="宋体" w:cs="Times New Roman"/>
                <w:sz w:val="24"/>
                <w:szCs w:val="24"/>
                <w:highlight w:val="none"/>
                <w:lang w:val="en-US" w:eastAsia="zh-CN"/>
              </w:rPr>
              <w:t>油，根据建设单位提供资料，每次检修废</w:t>
            </w:r>
            <w:r>
              <w:rPr>
                <w:rFonts w:hint="eastAsia" w:ascii="Times New Roman" w:hAnsi="Times New Roman" w:eastAsia="宋体" w:cs="Times New Roman"/>
                <w:sz w:val="24"/>
                <w:szCs w:val="24"/>
                <w:highlight w:val="none"/>
                <w:lang w:val="en-US" w:eastAsia="zh-CN"/>
              </w:rPr>
              <w:t>矿物</w:t>
            </w:r>
            <w:r>
              <w:rPr>
                <w:rFonts w:hint="default" w:ascii="Times New Roman" w:hAnsi="Times New Roman" w:eastAsia="宋体" w:cs="Times New Roman"/>
                <w:sz w:val="24"/>
                <w:szCs w:val="24"/>
                <w:highlight w:val="none"/>
                <w:lang w:val="en-US" w:eastAsia="zh-CN"/>
              </w:rPr>
              <w:t>油产生量约为0.1t/次，根据业主方提供的数据，本项目每年检修约3次，则对生产设备进行维修、更换</w:t>
            </w:r>
            <w:r>
              <w:rPr>
                <w:rFonts w:hint="eastAsia" w:ascii="Times New Roman" w:hAnsi="Times New Roman" w:eastAsia="宋体" w:cs="Times New Roman"/>
                <w:sz w:val="24"/>
                <w:szCs w:val="24"/>
                <w:highlight w:val="none"/>
                <w:lang w:val="en-US" w:eastAsia="zh-CN"/>
              </w:rPr>
              <w:t>机油、</w:t>
            </w:r>
            <w:r>
              <w:rPr>
                <w:rFonts w:hint="default" w:ascii="Times New Roman" w:hAnsi="Times New Roman" w:eastAsia="宋体" w:cs="Times New Roman"/>
                <w:sz w:val="24"/>
                <w:szCs w:val="24"/>
                <w:highlight w:val="none"/>
                <w:lang w:val="en-US" w:eastAsia="zh-CN"/>
              </w:rPr>
              <w:t>润滑油过程中会产生废矿物油，废矿物油产生量约为0.3t/a，产生的废油桶约0.1t/a。</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②含油废手套</w:t>
            </w:r>
          </w:p>
          <w:p>
            <w:pPr>
              <w:pStyle w:val="24"/>
              <w:spacing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设备运行维护过程废弃的含油抹布废手套、劳保用品</w:t>
            </w:r>
            <w:r>
              <w:rPr>
                <w:rFonts w:hint="default" w:ascii="Times New Roman" w:hAnsi="Times New Roman" w:eastAsia="宋体" w:cs="Times New Roman"/>
                <w:sz w:val="24"/>
                <w:szCs w:val="24"/>
                <w:highlight w:val="none"/>
                <w:lang w:val="en-US" w:eastAsia="zh-CN"/>
              </w:rPr>
              <w:t>约0.05t/a。</w:t>
            </w:r>
          </w:p>
          <w:p>
            <w:pPr>
              <w:pStyle w:val="24"/>
              <w:spacing w:line="360" w:lineRule="auto"/>
              <w:ind w:firstLine="420"/>
              <w:rPr>
                <w:rFonts w:hint="eastAsia"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③油泥</w:t>
            </w:r>
          </w:p>
          <w:p>
            <w:pPr>
              <w:pStyle w:val="24"/>
              <w:spacing w:line="360" w:lineRule="auto"/>
              <w:ind w:firstLine="420"/>
              <w:rPr>
                <w:rFonts w:hint="eastAsia"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项目设有柴油储罐和加油区，地面滴落少量柴油，初期雨水及洗车废水中含有石油类物质，经隔油沉淀池处理后将在池底淤积含油污泥。</w:t>
            </w:r>
          </w:p>
          <w:p>
            <w:pPr>
              <w:pStyle w:val="24"/>
              <w:spacing w:line="360" w:lineRule="auto"/>
              <w:ind w:firstLine="420"/>
              <w:rPr>
                <w:rFonts w:hint="eastAsia"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隔油沉淀池污泥每3~5年清掏一次，厂区运输矿粉、水泥等粉料，轮胎上粉尘较多，每次清掏约2t油泥。</w:t>
            </w:r>
          </w:p>
          <w:p>
            <w:pPr>
              <w:pStyle w:val="24"/>
              <w:spacing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危险废物分类暂存</w:t>
            </w:r>
            <w:r>
              <w:rPr>
                <w:rFonts w:hint="default" w:ascii="Times New Roman" w:hAnsi="Times New Roman" w:eastAsia="宋体" w:cs="Times New Roman"/>
                <w:sz w:val="24"/>
                <w:szCs w:val="24"/>
                <w:highlight w:val="none"/>
                <w:lang w:val="en-US" w:eastAsia="zh-CN"/>
              </w:rPr>
              <w:t>于危废暂存间，定期交有资质的单位转运处理。</w:t>
            </w:r>
          </w:p>
          <w:p>
            <w:pPr>
              <w:numPr>
                <w:ilvl w:val="0"/>
                <w:numId w:val="0"/>
              </w:numPr>
              <w:spacing w:line="360" w:lineRule="auto"/>
              <w:ind w:firstLine="480" w:firstLineChars="200"/>
              <w:rPr>
                <w:rFonts w:hint="default" w:ascii="Times New Roman" w:hAnsi="Times New Roman" w:eastAsia="宋体" w:cs="Times New Roman"/>
                <w:bCs/>
                <w:sz w:val="24"/>
                <w:szCs w:val="24"/>
                <w:highlight w:val="none"/>
                <w:u w:val="none"/>
              </w:rPr>
            </w:pPr>
            <w:r>
              <w:rPr>
                <w:rFonts w:hint="default" w:ascii="Times New Roman" w:hAnsi="Times New Roman" w:eastAsia="宋体" w:cs="Times New Roman"/>
                <w:bCs/>
                <w:sz w:val="24"/>
                <w:szCs w:val="24"/>
                <w:highlight w:val="none"/>
                <w:u w:val="none"/>
              </w:rPr>
              <w:t>本项目固体废物产生量及处置方式汇总见下表</w:t>
            </w:r>
            <w:r>
              <w:rPr>
                <w:rFonts w:hint="default" w:ascii="Times New Roman" w:hAnsi="Times New Roman" w:eastAsia="宋体" w:cs="Times New Roman"/>
                <w:bCs/>
                <w:sz w:val="24"/>
                <w:szCs w:val="24"/>
                <w:highlight w:val="none"/>
                <w:u w:val="none"/>
                <w:lang w:val="en-US" w:eastAsia="zh-CN"/>
              </w:rPr>
              <w:t>4-</w:t>
            </w:r>
            <w:r>
              <w:rPr>
                <w:rFonts w:hint="eastAsia" w:ascii="Times New Roman" w:hAnsi="Times New Roman" w:eastAsia="宋体" w:cs="Times New Roman"/>
                <w:bCs/>
                <w:sz w:val="24"/>
                <w:szCs w:val="24"/>
                <w:highlight w:val="none"/>
                <w:u w:val="none"/>
                <w:lang w:val="en-US" w:eastAsia="zh-CN"/>
              </w:rPr>
              <w:t>15</w:t>
            </w:r>
            <w:r>
              <w:rPr>
                <w:rFonts w:hint="default" w:ascii="Times New Roman" w:hAnsi="Times New Roman" w:eastAsia="宋体" w:cs="Times New Roman"/>
                <w:bCs/>
                <w:sz w:val="24"/>
                <w:szCs w:val="24"/>
                <w:highlight w:val="none"/>
                <w:u w:val="none"/>
              </w:rPr>
              <w:t>。</w:t>
            </w:r>
          </w:p>
          <w:p>
            <w:pPr>
              <w:spacing w:line="240" w:lineRule="auto"/>
              <w:jc w:val="center"/>
              <w:rPr>
                <w:rFonts w:hint="default" w:ascii="Times New Roman" w:hAnsi="Times New Roman" w:eastAsia="宋体" w:cs="Times New Roman"/>
                <w:b/>
                <w:sz w:val="21"/>
                <w:szCs w:val="21"/>
                <w:highlight w:val="none"/>
                <w:u w:val="none"/>
              </w:rPr>
            </w:pPr>
            <w:r>
              <w:rPr>
                <w:rFonts w:hint="default" w:ascii="Times New Roman" w:hAnsi="Times New Roman" w:eastAsia="宋体" w:cs="Times New Roman"/>
                <w:b/>
                <w:sz w:val="21"/>
                <w:szCs w:val="21"/>
                <w:highlight w:val="none"/>
                <w:u w:val="none"/>
              </w:rPr>
              <w:t>表</w:t>
            </w:r>
            <w:r>
              <w:rPr>
                <w:rFonts w:hint="default" w:ascii="Times New Roman" w:hAnsi="Times New Roman" w:eastAsia="宋体" w:cs="Times New Roman"/>
                <w:b/>
                <w:sz w:val="21"/>
                <w:szCs w:val="21"/>
                <w:highlight w:val="none"/>
                <w:u w:val="none"/>
                <w:lang w:val="en-US" w:eastAsia="zh-CN"/>
              </w:rPr>
              <w:t>4-</w:t>
            </w:r>
            <w:r>
              <w:rPr>
                <w:rFonts w:hint="eastAsia" w:ascii="Times New Roman" w:hAnsi="Times New Roman" w:eastAsia="宋体" w:cs="Times New Roman"/>
                <w:b/>
                <w:sz w:val="21"/>
                <w:szCs w:val="21"/>
                <w:highlight w:val="none"/>
                <w:u w:val="none"/>
                <w:lang w:val="en-US" w:eastAsia="zh-CN"/>
              </w:rPr>
              <w:t>15</w:t>
            </w:r>
            <w:r>
              <w:rPr>
                <w:rFonts w:hint="default" w:ascii="Times New Roman" w:hAnsi="Times New Roman" w:eastAsia="宋体" w:cs="Times New Roman"/>
                <w:b/>
                <w:sz w:val="21"/>
                <w:szCs w:val="21"/>
                <w:highlight w:val="none"/>
                <w:u w:val="none"/>
              </w:rPr>
              <w:t xml:space="preserve">    本项目固废污染源情况表</w:t>
            </w:r>
          </w:p>
          <w:tbl>
            <w:tblPr>
              <w:tblStyle w:val="15"/>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578"/>
              <w:gridCol w:w="1871"/>
              <w:gridCol w:w="1516"/>
              <w:gridCol w:w="1525"/>
              <w:gridCol w:w="24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tcBorders>
                    <w:tl2br w:val="nil"/>
                    <w:tr2bl w:val="nil"/>
                  </w:tcBorders>
                  <w:noWrap w:val="0"/>
                  <w:vAlign w:val="center"/>
                </w:tcPr>
                <w:p>
                  <w:pPr>
                    <w:spacing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序号</w:t>
                  </w:r>
                </w:p>
              </w:tc>
              <w:tc>
                <w:tcPr>
                  <w:tcW w:w="1181" w:type="pct"/>
                  <w:tcBorders>
                    <w:tl2br w:val="nil"/>
                    <w:tr2bl w:val="nil"/>
                  </w:tcBorders>
                  <w:noWrap w:val="0"/>
                  <w:vAlign w:val="center"/>
                </w:tcPr>
                <w:p>
                  <w:pPr>
                    <w:spacing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固废名称</w:t>
                  </w:r>
                </w:p>
              </w:tc>
              <w:tc>
                <w:tcPr>
                  <w:tcW w:w="957" w:type="pct"/>
                  <w:tcBorders>
                    <w:tl2br w:val="nil"/>
                    <w:tr2bl w:val="nil"/>
                  </w:tcBorders>
                  <w:noWrap w:val="0"/>
                  <w:vAlign w:val="center"/>
                </w:tcPr>
                <w:p>
                  <w:pPr>
                    <w:spacing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固废类别</w:t>
                  </w:r>
                </w:p>
              </w:tc>
              <w:tc>
                <w:tcPr>
                  <w:tcW w:w="963" w:type="pct"/>
                  <w:tcBorders>
                    <w:tl2br w:val="nil"/>
                    <w:tr2bl w:val="nil"/>
                  </w:tcBorders>
                  <w:noWrap w:val="0"/>
                  <w:vAlign w:val="center"/>
                </w:tcPr>
                <w:p>
                  <w:pPr>
                    <w:spacing w:line="240" w:lineRule="auto"/>
                    <w:jc w:val="center"/>
                    <w:rPr>
                      <w:rFonts w:hint="eastAsia" w:ascii="Times New Roman" w:hAnsi="Times New Roman" w:eastAsia="宋体" w:cs="Times New Roman"/>
                      <w:b/>
                      <w:bCs/>
                      <w:sz w:val="21"/>
                      <w:szCs w:val="21"/>
                      <w:highlight w:val="none"/>
                      <w:u w:val="none"/>
                      <w:lang w:eastAsia="zh-CN"/>
                    </w:rPr>
                  </w:pPr>
                  <w:r>
                    <w:rPr>
                      <w:rFonts w:hint="default" w:ascii="Times New Roman" w:hAnsi="Times New Roman" w:eastAsia="宋体" w:cs="Times New Roman"/>
                      <w:b/>
                      <w:bCs/>
                      <w:sz w:val="21"/>
                      <w:szCs w:val="21"/>
                      <w:highlight w:val="none"/>
                      <w:u w:val="none"/>
                    </w:rPr>
                    <w:t>产生量</w:t>
                  </w:r>
                  <w:r>
                    <w:rPr>
                      <w:rFonts w:hint="eastAsia" w:ascii="Times New Roman" w:hAnsi="Times New Roman" w:eastAsia="宋体" w:cs="Times New Roman"/>
                      <w:b/>
                      <w:bCs/>
                      <w:sz w:val="21"/>
                      <w:szCs w:val="21"/>
                      <w:highlight w:val="none"/>
                      <w:u w:val="none"/>
                      <w:lang w:eastAsia="zh-CN"/>
                    </w:rPr>
                    <w:t>（</w:t>
                  </w:r>
                  <w:r>
                    <w:rPr>
                      <w:rFonts w:hint="default" w:ascii="Times New Roman" w:hAnsi="Times New Roman" w:eastAsia="宋体" w:cs="Times New Roman"/>
                      <w:b/>
                      <w:bCs/>
                      <w:sz w:val="21"/>
                      <w:szCs w:val="21"/>
                      <w:highlight w:val="none"/>
                      <w:u w:val="none"/>
                    </w:rPr>
                    <w:t>t/a</w:t>
                  </w:r>
                  <w:r>
                    <w:rPr>
                      <w:rFonts w:hint="eastAsia" w:ascii="Times New Roman" w:hAnsi="Times New Roman" w:eastAsia="宋体" w:cs="Times New Roman"/>
                      <w:b/>
                      <w:bCs/>
                      <w:sz w:val="21"/>
                      <w:szCs w:val="21"/>
                      <w:highlight w:val="none"/>
                      <w:u w:val="none"/>
                      <w:lang w:eastAsia="zh-CN"/>
                    </w:rPr>
                    <w:t>）</w:t>
                  </w:r>
                </w:p>
              </w:tc>
              <w:tc>
                <w:tcPr>
                  <w:tcW w:w="1531" w:type="pct"/>
                  <w:tcBorders>
                    <w:tl2br w:val="nil"/>
                    <w:tr2bl w:val="nil"/>
                  </w:tcBorders>
                  <w:noWrap w:val="0"/>
                  <w:vAlign w:val="center"/>
                </w:tcPr>
                <w:p>
                  <w:pPr>
                    <w:spacing w:line="240" w:lineRule="auto"/>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处理或处置措施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1</w:t>
                  </w:r>
                </w:p>
              </w:tc>
              <w:tc>
                <w:tcPr>
                  <w:tcW w:w="1181"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除尘装置收集的粉尘</w:t>
                  </w:r>
                </w:p>
              </w:tc>
              <w:tc>
                <w:tcPr>
                  <w:tcW w:w="957"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一般固废</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0000FF"/>
                      <w:sz w:val="21"/>
                      <w:szCs w:val="21"/>
                      <w:highlight w:val="none"/>
                      <w:lang w:val="en-US" w:eastAsia="zh-CN"/>
                    </w:rPr>
                    <w:t>424.96</w:t>
                  </w:r>
                </w:p>
              </w:tc>
              <w:tc>
                <w:tcPr>
                  <w:tcW w:w="1531"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收集后作为原料再利用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2</w:t>
                  </w:r>
                </w:p>
              </w:tc>
              <w:tc>
                <w:tcPr>
                  <w:tcW w:w="1181"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砂石及沉淀池沉渣</w:t>
                  </w:r>
                </w:p>
              </w:tc>
              <w:tc>
                <w:tcPr>
                  <w:tcW w:w="957"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一般固废</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3744</w:t>
                  </w:r>
                </w:p>
              </w:tc>
              <w:tc>
                <w:tcPr>
                  <w:tcW w:w="1531"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经砂石分离机分离后回用于生产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3</w:t>
                  </w:r>
                </w:p>
              </w:tc>
              <w:tc>
                <w:tcPr>
                  <w:tcW w:w="118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生活垃圾</w:t>
                  </w:r>
                </w:p>
              </w:tc>
              <w:tc>
                <w:tcPr>
                  <w:tcW w:w="957"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生活垃圾</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7.59</w:t>
                  </w:r>
                </w:p>
              </w:tc>
              <w:tc>
                <w:tcPr>
                  <w:tcW w:w="153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集中收集后交由环卫部门处理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p>
              </w:tc>
              <w:tc>
                <w:tcPr>
                  <w:tcW w:w="11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p>
              </w:tc>
              <w:tc>
                <w:tcPr>
                  <w:tcW w:w="957"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餐厨垃圾</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2.97</w:t>
                  </w:r>
                </w:p>
              </w:tc>
              <w:tc>
                <w:tcPr>
                  <w:tcW w:w="153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4</w:t>
                  </w:r>
                </w:p>
              </w:tc>
              <w:tc>
                <w:tcPr>
                  <w:tcW w:w="1181" w:type="pct"/>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bCs/>
                      <w:color w:val="auto"/>
                      <w:sz w:val="21"/>
                      <w:szCs w:val="21"/>
                      <w:highlight w:val="none"/>
                      <w:u w:val="none"/>
                    </w:rPr>
                    <w:t>含油抹布废手套</w:t>
                  </w:r>
                </w:p>
              </w:tc>
              <w:tc>
                <w:tcPr>
                  <w:tcW w:w="957"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危险废物</w:t>
                  </w:r>
                </w:p>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（900-041-49）</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0.05</w:t>
                  </w:r>
                </w:p>
              </w:tc>
              <w:tc>
                <w:tcPr>
                  <w:tcW w:w="1531" w:type="pct"/>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混入生活垃圾交环卫部门处置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5</w:t>
                  </w:r>
                </w:p>
              </w:tc>
              <w:tc>
                <w:tcPr>
                  <w:tcW w:w="1181" w:type="pct"/>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color w:val="auto"/>
                      <w:sz w:val="21"/>
                      <w:szCs w:val="21"/>
                      <w:highlight w:val="none"/>
                      <w:u w:val="none"/>
                      <w:lang w:val="en-US" w:eastAsia="zh-CN"/>
                    </w:rPr>
                    <w:t>废</w:t>
                  </w:r>
                  <w:r>
                    <w:rPr>
                      <w:rFonts w:hint="eastAsia" w:ascii="Times New Roman" w:hAnsi="Times New Roman" w:eastAsia="宋体" w:cs="Times New Roman"/>
                      <w:color w:val="auto"/>
                      <w:sz w:val="21"/>
                      <w:szCs w:val="21"/>
                      <w:highlight w:val="none"/>
                      <w:u w:val="none"/>
                      <w:lang w:val="en-US" w:eastAsia="zh-CN"/>
                    </w:rPr>
                    <w:t>矿物</w:t>
                  </w:r>
                  <w:r>
                    <w:rPr>
                      <w:rFonts w:hint="default" w:ascii="Times New Roman" w:hAnsi="Times New Roman" w:eastAsia="宋体" w:cs="Times New Roman"/>
                      <w:color w:val="auto"/>
                      <w:sz w:val="21"/>
                      <w:szCs w:val="21"/>
                      <w:highlight w:val="none"/>
                      <w:u w:val="none"/>
                      <w:lang w:val="en-US" w:eastAsia="zh-CN"/>
                    </w:rPr>
                    <w:t>油</w:t>
                  </w:r>
                </w:p>
              </w:tc>
              <w:tc>
                <w:tcPr>
                  <w:tcW w:w="957"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危险废物</w:t>
                  </w:r>
                </w:p>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（900-</w:t>
                  </w:r>
                  <w:r>
                    <w:rPr>
                      <w:rFonts w:hint="eastAsia" w:ascii="Times New Roman" w:hAnsi="Times New Roman" w:eastAsia="宋体" w:cs="Times New Roman"/>
                      <w:color w:val="auto"/>
                      <w:sz w:val="21"/>
                      <w:szCs w:val="21"/>
                      <w:highlight w:val="none"/>
                      <w:u w:val="none"/>
                    </w:rPr>
                    <w:t>214</w:t>
                  </w:r>
                  <w:r>
                    <w:rPr>
                      <w:rFonts w:hint="default" w:ascii="Times New Roman" w:hAnsi="Times New Roman" w:eastAsia="宋体" w:cs="Times New Roman"/>
                      <w:color w:val="auto"/>
                      <w:sz w:val="21"/>
                      <w:szCs w:val="21"/>
                      <w:highlight w:val="none"/>
                      <w:u w:val="none"/>
                    </w:rPr>
                    <w:t>-08）</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0.</w:t>
                  </w:r>
                  <w:r>
                    <w:rPr>
                      <w:rFonts w:hint="default" w:ascii="Times New Roman" w:hAnsi="Times New Roman" w:eastAsia="宋体" w:cs="Times New Roman"/>
                      <w:color w:val="auto"/>
                      <w:sz w:val="21"/>
                      <w:szCs w:val="21"/>
                      <w:highlight w:val="none"/>
                      <w:u w:val="none"/>
                      <w:lang w:val="en-US" w:eastAsia="zh-CN"/>
                    </w:rPr>
                    <w:t>3</w:t>
                  </w:r>
                </w:p>
              </w:tc>
              <w:tc>
                <w:tcPr>
                  <w:tcW w:w="1531" w:type="pct"/>
                  <w:vMerge w:val="restart"/>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lang w:val="en-US"/>
                    </w:rPr>
                  </w:pPr>
                  <w:r>
                    <w:rPr>
                      <w:rFonts w:hint="default" w:ascii="Times New Roman" w:hAnsi="Times New Roman" w:eastAsia="宋体" w:cs="Times New Roman"/>
                      <w:sz w:val="21"/>
                      <w:szCs w:val="21"/>
                      <w:highlight w:val="none"/>
                      <w:u w:val="none"/>
                      <w:lang w:val="en-US" w:eastAsia="zh-CN"/>
                    </w:rPr>
                    <w:t>暂存于危废暂存间，定期交有资质单位转运处置。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6</w:t>
                  </w:r>
                </w:p>
              </w:tc>
              <w:tc>
                <w:tcPr>
                  <w:tcW w:w="1181"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废油桶</w:t>
                  </w:r>
                </w:p>
              </w:tc>
              <w:tc>
                <w:tcPr>
                  <w:tcW w:w="957"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危险废物</w:t>
                  </w:r>
                </w:p>
                <w:p>
                  <w:pPr>
                    <w:pStyle w:val="37"/>
                    <w:spacing w:line="240" w:lineRule="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（900-218-08）</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0.1</w:t>
                  </w:r>
                </w:p>
              </w:tc>
              <w:tc>
                <w:tcPr>
                  <w:tcW w:w="1531" w:type="pct"/>
                  <w:vMerge w:val="continue"/>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365" w:type="pct"/>
                  <w:tcBorders>
                    <w:tl2br w:val="nil"/>
                    <w:tr2bl w:val="nil"/>
                  </w:tcBorders>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7</w:t>
                  </w:r>
                </w:p>
              </w:tc>
              <w:tc>
                <w:tcPr>
                  <w:tcW w:w="1181" w:type="pct"/>
                  <w:tcBorders>
                    <w:tl2br w:val="nil"/>
                    <w:tr2bl w:val="nil"/>
                  </w:tcBorders>
                  <w:noWrap w:val="0"/>
                  <w:vAlign w:val="center"/>
                </w:tcPr>
                <w:p>
                  <w:pPr>
                    <w:pStyle w:val="37"/>
                    <w:spacing w:line="240" w:lineRule="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油泥</w:t>
                  </w:r>
                </w:p>
              </w:tc>
              <w:tc>
                <w:tcPr>
                  <w:tcW w:w="957" w:type="pct"/>
                  <w:tcBorders>
                    <w:tl2br w:val="nil"/>
                    <w:tr2bl w:val="nil"/>
                  </w:tcBorders>
                  <w:noWrap w:val="0"/>
                  <w:vAlign w:val="center"/>
                </w:tcPr>
                <w:p>
                  <w:pPr>
                    <w:pStyle w:val="37"/>
                    <w:spacing w:line="240" w:lineRule="auto"/>
                    <w:rPr>
                      <w:rFonts w:hint="default" w:ascii="Times New Roman" w:hAnsi="Times New Roman" w:eastAsia="宋体" w:cs="Times New Roman"/>
                      <w:color w:val="0000FF"/>
                      <w:sz w:val="21"/>
                      <w:szCs w:val="21"/>
                      <w:highlight w:val="none"/>
                      <w:u w:val="none"/>
                      <w:lang w:val="en-US" w:eastAsia="zh-CN"/>
                    </w:rPr>
                  </w:pPr>
                  <w:r>
                    <w:rPr>
                      <w:rFonts w:hint="default" w:ascii="Times New Roman" w:hAnsi="Times New Roman" w:eastAsia="宋体" w:cs="Times New Roman"/>
                      <w:color w:val="0000FF"/>
                      <w:sz w:val="21"/>
                      <w:szCs w:val="21"/>
                      <w:highlight w:val="none"/>
                      <w:u w:val="none"/>
                      <w:lang w:val="en-US" w:eastAsia="zh-CN"/>
                    </w:rPr>
                    <w:t>危险废物</w:t>
                  </w:r>
                </w:p>
                <w:p>
                  <w:pPr>
                    <w:pStyle w:val="37"/>
                    <w:spacing w:line="240" w:lineRule="auto"/>
                    <w:rPr>
                      <w:rFonts w:hint="eastAsia" w:ascii="Times New Roman" w:hAnsi="Times New Roman" w:eastAsia="宋体" w:cs="Times New Roman"/>
                      <w:color w:val="0000FF"/>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w:t>
                  </w:r>
                  <w:r>
                    <w:rPr>
                      <w:rFonts w:hint="default" w:ascii="Times New Roman" w:hAnsi="Times New Roman" w:eastAsia="宋体" w:cs="Times New Roman"/>
                      <w:color w:val="0000FF"/>
                      <w:sz w:val="21"/>
                      <w:szCs w:val="21"/>
                      <w:highlight w:val="none"/>
                      <w:u w:val="none"/>
                      <w:lang w:val="en-US" w:eastAsia="zh-CN"/>
                    </w:rPr>
                    <w:t>900-210-08</w:t>
                  </w:r>
                  <w:r>
                    <w:rPr>
                      <w:rFonts w:hint="eastAsia" w:ascii="Times New Roman" w:hAnsi="Times New Roman" w:eastAsia="宋体" w:cs="Times New Roman"/>
                      <w:color w:val="0000FF"/>
                      <w:sz w:val="21"/>
                      <w:szCs w:val="21"/>
                      <w:highlight w:val="none"/>
                      <w:u w:val="none"/>
                      <w:lang w:val="en-US" w:eastAsia="zh-CN"/>
                    </w:rPr>
                    <w:t>）</w:t>
                  </w:r>
                </w:p>
              </w:tc>
              <w:tc>
                <w:tcPr>
                  <w:tcW w:w="963" w:type="pct"/>
                  <w:tcBorders>
                    <w:tl2br w:val="nil"/>
                    <w:tr2bl w:val="nil"/>
                  </w:tcBorders>
                  <w:noWrap w:val="0"/>
                  <w:vAlign w:val="center"/>
                </w:tcPr>
                <w:p>
                  <w:pPr>
                    <w:pStyle w:val="37"/>
                    <w:spacing w:line="240" w:lineRule="auto"/>
                    <w:rPr>
                      <w:rFonts w:hint="default" w:ascii="Times New Roman" w:hAnsi="Times New Roman" w:eastAsia="宋体" w:cs="Times New Roman"/>
                      <w:color w:val="0000FF"/>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2</w:t>
                  </w:r>
                </w:p>
              </w:tc>
              <w:tc>
                <w:tcPr>
                  <w:tcW w:w="1531" w:type="pct"/>
                  <w:vMerge w:val="continue"/>
                  <w:tcBorders>
                    <w:tl2br w:val="nil"/>
                    <w:tr2bl w:val="nil"/>
                  </w:tcBorders>
                  <w:noWrap w:val="0"/>
                  <w:vAlign w:val="center"/>
                </w:tcPr>
                <w:p>
                  <w:pPr>
                    <w:pStyle w:val="37"/>
                    <w:spacing w:line="240" w:lineRule="auto"/>
                    <w:rPr>
                      <w:rFonts w:hint="default" w:ascii="Times New Roman" w:hAnsi="Times New Roman" w:eastAsia="宋体" w:cs="Times New Roman"/>
                      <w:sz w:val="21"/>
                      <w:szCs w:val="21"/>
                      <w:highlight w:val="none"/>
                      <w:u w:val="none"/>
                      <w:lang w:val="en-US" w:eastAsia="zh-CN"/>
                    </w:rPr>
                  </w:pPr>
                </w:p>
              </w:tc>
            </w:tr>
          </w:tbl>
          <w:p>
            <w:pPr>
              <w:keepNext/>
              <w:keepLines/>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ascii="Times New Roman" w:hAnsi="Times New Roman" w:eastAsia="宋体" w:cs="Times New Roman"/>
                <w:b/>
                <w:bCs/>
                <w:sz w:val="21"/>
                <w:szCs w:val="21"/>
                <w:lang w:val="en-US" w:eastAsia="zh-CN"/>
              </w:rPr>
              <w:t>16</w:t>
            </w:r>
            <w:r>
              <w:rPr>
                <w:rFonts w:hint="default" w:ascii="Times New Roman" w:hAnsi="Times New Roman" w:eastAsia="宋体" w:cs="Times New Roman"/>
                <w:b/>
                <w:bCs/>
                <w:sz w:val="21"/>
                <w:szCs w:val="21"/>
              </w:rPr>
              <w:t xml:space="preserve">  危险废物汇总表</w:t>
            </w:r>
          </w:p>
          <w:tbl>
            <w:tblPr>
              <w:tblStyle w:val="15"/>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711"/>
              <w:gridCol w:w="888"/>
              <w:gridCol w:w="887"/>
              <w:gridCol w:w="863"/>
              <w:gridCol w:w="399"/>
              <w:gridCol w:w="685"/>
              <w:gridCol w:w="829"/>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8"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名称</w:t>
                  </w:r>
                </w:p>
              </w:tc>
              <w:tc>
                <w:tcPr>
                  <w:tcW w:w="1071"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废物类别</w:t>
                  </w:r>
                </w:p>
              </w:tc>
              <w:tc>
                <w:tcPr>
                  <w:tcW w:w="556"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代码</w:t>
                  </w:r>
                </w:p>
              </w:tc>
              <w:tc>
                <w:tcPr>
                  <w:tcW w:w="555"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产生量</w:t>
                  </w:r>
                </w:p>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(t/a)</w:t>
                  </w:r>
                </w:p>
              </w:tc>
              <w:tc>
                <w:tcPr>
                  <w:tcW w:w="540"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产生</w:t>
                  </w:r>
                </w:p>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工序</w:t>
                  </w:r>
                </w:p>
              </w:tc>
              <w:tc>
                <w:tcPr>
                  <w:tcW w:w="24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形态</w:t>
                  </w:r>
                </w:p>
              </w:tc>
              <w:tc>
                <w:tcPr>
                  <w:tcW w:w="42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有害成分</w:t>
                  </w:r>
                </w:p>
              </w:tc>
              <w:tc>
                <w:tcPr>
                  <w:tcW w:w="51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产废</w:t>
                  </w:r>
                </w:p>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周期</w:t>
                  </w:r>
                </w:p>
              </w:tc>
              <w:tc>
                <w:tcPr>
                  <w:tcW w:w="50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危险</w:t>
                  </w:r>
                </w:p>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8"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废矿物油</w:t>
                  </w:r>
                </w:p>
              </w:tc>
              <w:tc>
                <w:tcPr>
                  <w:tcW w:w="1071"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HW49</w:t>
                  </w:r>
                </w:p>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其他废物</w:t>
                  </w:r>
                </w:p>
              </w:tc>
              <w:tc>
                <w:tcPr>
                  <w:tcW w:w="556"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900-041-49</w:t>
                  </w:r>
                </w:p>
              </w:tc>
              <w:tc>
                <w:tcPr>
                  <w:tcW w:w="555"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0.3</w:t>
                  </w:r>
                </w:p>
              </w:tc>
              <w:tc>
                <w:tcPr>
                  <w:tcW w:w="540" w:type="pct"/>
                  <w:vMerge w:val="restar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设备检修、维护</w:t>
                  </w:r>
                </w:p>
              </w:tc>
              <w:tc>
                <w:tcPr>
                  <w:tcW w:w="24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液态</w:t>
                  </w:r>
                </w:p>
              </w:tc>
              <w:tc>
                <w:tcPr>
                  <w:tcW w:w="42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矿物油</w:t>
                  </w:r>
                </w:p>
              </w:tc>
              <w:tc>
                <w:tcPr>
                  <w:tcW w:w="51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一年</w:t>
                  </w:r>
                </w:p>
              </w:tc>
              <w:tc>
                <w:tcPr>
                  <w:tcW w:w="50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8"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废油桶</w:t>
                  </w:r>
                </w:p>
              </w:tc>
              <w:tc>
                <w:tcPr>
                  <w:tcW w:w="1071"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HW08废矿物油与含矿物油废物</w:t>
                  </w:r>
                </w:p>
              </w:tc>
              <w:tc>
                <w:tcPr>
                  <w:tcW w:w="556"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900-218-08</w:t>
                  </w:r>
                </w:p>
              </w:tc>
              <w:tc>
                <w:tcPr>
                  <w:tcW w:w="555"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0.1</w:t>
                  </w:r>
                </w:p>
              </w:tc>
              <w:tc>
                <w:tcPr>
                  <w:tcW w:w="540" w:type="pct"/>
                  <w:vMerge w:val="continue"/>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p>
              </w:tc>
              <w:tc>
                <w:tcPr>
                  <w:tcW w:w="24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固态</w:t>
                  </w:r>
                </w:p>
              </w:tc>
              <w:tc>
                <w:tcPr>
                  <w:tcW w:w="42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矿物油</w:t>
                  </w:r>
                </w:p>
              </w:tc>
              <w:tc>
                <w:tcPr>
                  <w:tcW w:w="51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半年</w:t>
                  </w:r>
                </w:p>
              </w:tc>
              <w:tc>
                <w:tcPr>
                  <w:tcW w:w="50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8"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含油废手套</w:t>
                  </w:r>
                </w:p>
              </w:tc>
              <w:tc>
                <w:tcPr>
                  <w:tcW w:w="1071"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HW49</w:t>
                  </w:r>
                </w:p>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其他废物</w:t>
                  </w:r>
                </w:p>
              </w:tc>
              <w:tc>
                <w:tcPr>
                  <w:tcW w:w="556"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900-041-49</w:t>
                  </w:r>
                </w:p>
              </w:tc>
              <w:tc>
                <w:tcPr>
                  <w:tcW w:w="555"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0.05</w:t>
                  </w:r>
                </w:p>
              </w:tc>
              <w:tc>
                <w:tcPr>
                  <w:tcW w:w="540" w:type="pct"/>
                  <w:vMerge w:val="continue"/>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p>
              </w:tc>
              <w:tc>
                <w:tcPr>
                  <w:tcW w:w="24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固态</w:t>
                  </w:r>
                </w:p>
              </w:tc>
              <w:tc>
                <w:tcPr>
                  <w:tcW w:w="42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矿物油</w:t>
                  </w:r>
                </w:p>
              </w:tc>
              <w:tc>
                <w:tcPr>
                  <w:tcW w:w="51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每天</w:t>
                  </w:r>
                </w:p>
              </w:tc>
              <w:tc>
                <w:tcPr>
                  <w:tcW w:w="509" w:type="pct"/>
                  <w:noWrap w:val="0"/>
                  <w:vAlign w:val="center"/>
                </w:tcPr>
                <w:p>
                  <w:pPr>
                    <w:spacing w:line="240" w:lineRule="auto"/>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8" w:type="pct"/>
                  <w:noWrap w:val="0"/>
                  <w:vAlign w:val="center"/>
                </w:tcPr>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油泥</w:t>
                  </w:r>
                </w:p>
              </w:tc>
              <w:tc>
                <w:tcPr>
                  <w:tcW w:w="1071" w:type="pct"/>
                  <w:noWrap w:val="0"/>
                  <w:vAlign w:val="center"/>
                </w:tcPr>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hint="default" w:ascii="Times New Roman" w:hAnsi="Times New Roman" w:eastAsia="宋体" w:cs="Times New Roman"/>
                      <w:color w:val="0000FF"/>
                      <w:sz w:val="21"/>
                      <w:szCs w:val="21"/>
                      <w:highlight w:val="none"/>
                      <w:u w:val="none"/>
                      <w:lang w:val="en-US" w:eastAsia="zh-CN"/>
                    </w:rPr>
                    <w:t>HW08</w:t>
                  </w:r>
                </w:p>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废矿物油与含矿物</w:t>
                  </w:r>
                </w:p>
              </w:tc>
              <w:tc>
                <w:tcPr>
                  <w:tcW w:w="556" w:type="pct"/>
                  <w:noWrap w:val="0"/>
                  <w:vAlign w:val="center"/>
                </w:tcPr>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hint="default" w:ascii="Times New Roman" w:hAnsi="Times New Roman" w:eastAsia="宋体" w:cs="Times New Roman"/>
                      <w:color w:val="0000FF"/>
                      <w:sz w:val="21"/>
                      <w:szCs w:val="21"/>
                      <w:highlight w:val="none"/>
                      <w:u w:val="none"/>
                      <w:lang w:val="en-US" w:eastAsia="zh-CN"/>
                    </w:rPr>
                    <w:t>900-210-08</w:t>
                  </w:r>
                </w:p>
              </w:tc>
              <w:tc>
                <w:tcPr>
                  <w:tcW w:w="555" w:type="pct"/>
                  <w:noWrap w:val="0"/>
                  <w:vAlign w:val="center"/>
                </w:tcPr>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2</w:t>
                  </w:r>
                </w:p>
              </w:tc>
              <w:tc>
                <w:tcPr>
                  <w:tcW w:w="540" w:type="pct"/>
                  <w:noWrap w:val="0"/>
                  <w:vAlign w:val="center"/>
                </w:tcPr>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废水治理</w:t>
                  </w:r>
                </w:p>
              </w:tc>
              <w:tc>
                <w:tcPr>
                  <w:tcW w:w="249"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highlight w:val="none"/>
                      <w:u w:val="none"/>
                      <w:lang w:val="en-US" w:eastAsia="zh-CN"/>
                    </w:rPr>
                  </w:pPr>
                  <w:r>
                    <w:rPr>
                      <w:rFonts w:hint="default" w:ascii="Times New Roman" w:hAnsi="Times New Roman" w:eastAsia="宋体" w:cs="Times New Roman"/>
                      <w:color w:val="0000FF"/>
                      <w:sz w:val="21"/>
                      <w:szCs w:val="21"/>
                      <w:highlight w:val="none"/>
                      <w:u w:val="none"/>
                      <w:lang w:val="en-US" w:eastAsia="zh-CN"/>
                    </w:rPr>
                    <w:t>固态</w:t>
                  </w:r>
                </w:p>
              </w:tc>
              <w:tc>
                <w:tcPr>
                  <w:tcW w:w="429" w:type="pct"/>
                  <w:noWrap w:val="0"/>
                  <w:vAlign w:val="center"/>
                </w:tcPr>
                <w:p>
                  <w:pPr>
                    <w:spacing w:line="240" w:lineRule="auto"/>
                    <w:jc w:val="center"/>
                    <w:rPr>
                      <w:rFonts w:hint="default" w:ascii="Times New Roman" w:hAnsi="Times New Roman" w:eastAsia="宋体" w:cs="Times New Roman"/>
                      <w:snapToGrid w:val="0"/>
                      <w:color w:val="0000FF"/>
                      <w:kern w:val="0"/>
                      <w:sz w:val="21"/>
                      <w:szCs w:val="21"/>
                      <w:highlight w:val="none"/>
                      <w:u w:val="none"/>
                      <w:lang w:val="en-US" w:eastAsia="zh-CN"/>
                    </w:rPr>
                  </w:pPr>
                  <w:r>
                    <w:rPr>
                      <w:rFonts w:hint="default" w:ascii="Times New Roman" w:hAnsi="Times New Roman" w:eastAsia="宋体" w:cs="Times New Roman"/>
                      <w:color w:val="0000FF"/>
                      <w:sz w:val="21"/>
                      <w:szCs w:val="21"/>
                      <w:highlight w:val="none"/>
                      <w:u w:val="none"/>
                      <w:lang w:val="en-US" w:eastAsia="zh-CN"/>
                    </w:rPr>
                    <w:t>矿物油</w:t>
                  </w:r>
                </w:p>
              </w:tc>
              <w:tc>
                <w:tcPr>
                  <w:tcW w:w="519" w:type="pct"/>
                  <w:noWrap w:val="0"/>
                  <w:vAlign w:val="center"/>
                </w:tcPr>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3年</w:t>
                  </w:r>
                </w:p>
              </w:tc>
              <w:tc>
                <w:tcPr>
                  <w:tcW w:w="509" w:type="pct"/>
                  <w:noWrap w:val="0"/>
                  <w:vAlign w:val="center"/>
                </w:tcPr>
                <w:p>
                  <w:pPr>
                    <w:spacing w:line="240" w:lineRule="auto"/>
                    <w:jc w:val="center"/>
                    <w:rPr>
                      <w:rFonts w:hint="default" w:ascii="Times New Roman" w:hAnsi="Times New Roman" w:eastAsia="宋体" w:cs="Times New Roman"/>
                      <w:color w:val="0000FF"/>
                      <w:sz w:val="21"/>
                      <w:szCs w:val="21"/>
                      <w:highlight w:val="none"/>
                      <w:u w:val="none"/>
                      <w:lang w:val="en-US" w:eastAsia="zh-CN"/>
                    </w:rPr>
                  </w:pPr>
                  <w:r>
                    <w:rPr>
                      <w:rFonts w:ascii="宋体" w:hAnsi="宋体"/>
                      <w:color w:val="0000FF"/>
                      <w:kern w:val="0"/>
                      <w:szCs w:val="21"/>
                    </w:rPr>
                    <w:t>T</w:t>
                  </w:r>
                  <w:r>
                    <w:rPr>
                      <w:rFonts w:hint="eastAsia" w:ascii="宋体" w:hAnsi="宋体"/>
                      <w:color w:val="0000FF"/>
                      <w:kern w:val="0"/>
                      <w:szCs w:val="21"/>
                    </w:rPr>
                    <w:t>，</w:t>
                  </w:r>
                  <w:r>
                    <w:rPr>
                      <w:rFonts w:ascii="宋体" w:hAnsi="宋体"/>
                      <w:color w:val="0000FF"/>
                      <w:szCs w:val="21"/>
                    </w:rPr>
                    <w:t>I</w:t>
                  </w:r>
                </w:p>
              </w:tc>
            </w:tr>
          </w:tbl>
          <w:p>
            <w:pPr>
              <w:pStyle w:val="43"/>
              <w:spacing w:line="360" w:lineRule="auto"/>
              <w:ind w:firstLine="200" w:firstLineChars="200"/>
              <w:jc w:val="both"/>
              <w:rPr>
                <w:rFonts w:ascii="Times New Roman"/>
                <w:sz w:val="10"/>
                <w:szCs w:val="10"/>
                <w:lang w:eastAsia="zh-CN"/>
              </w:rPr>
            </w:pPr>
          </w:p>
          <w:p>
            <w:pPr>
              <w:topLinePunct/>
              <w:spacing w:line="360" w:lineRule="auto"/>
              <w:ind w:firstLine="444" w:firstLineChars="200"/>
              <w:rPr>
                <w:rFonts w:hint="default" w:ascii="Times New Roman" w:hAnsi="Times New Roman" w:cs="Times New Roman" w:eastAsiaTheme="minorEastAsia"/>
                <w:spacing w:val="-17"/>
                <w:sz w:val="24"/>
                <w:szCs w:val="24"/>
              </w:rPr>
            </w:pPr>
            <w:r>
              <w:rPr>
                <w:rFonts w:hint="default" w:ascii="Times New Roman" w:hAnsi="Times New Roman" w:cs="Times New Roman" w:eastAsiaTheme="minorEastAsia"/>
                <w:spacing w:val="-9"/>
                <w:sz w:val="24"/>
                <w:szCs w:val="24"/>
              </w:rPr>
              <w:t>项目设置</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pacing w:val="-10"/>
                <w:sz w:val="24"/>
                <w:szCs w:val="24"/>
              </w:rPr>
              <w:t>个危废暂存间，位于</w:t>
            </w:r>
            <w:r>
              <w:rPr>
                <w:rFonts w:hint="eastAsia" w:ascii="Times New Roman" w:hAnsi="Times New Roman" w:cs="Times New Roman" w:eastAsiaTheme="minorEastAsia"/>
                <w:spacing w:val="-10"/>
                <w:sz w:val="24"/>
                <w:szCs w:val="24"/>
                <w:lang w:val="en-US" w:eastAsia="zh-CN"/>
              </w:rPr>
              <w:t>维修</w:t>
            </w:r>
            <w:r>
              <w:rPr>
                <w:rFonts w:hint="default" w:ascii="Times New Roman" w:hAnsi="Times New Roman" w:cs="Times New Roman" w:eastAsiaTheme="minorEastAsia"/>
                <w:spacing w:val="-12"/>
                <w:sz w:val="24"/>
                <w:szCs w:val="24"/>
              </w:rPr>
              <w:t>车间东南侧，面积为</w:t>
            </w:r>
            <w:r>
              <w:rPr>
                <w:rFonts w:hint="default" w:ascii="Times New Roman" w:hAnsi="Times New Roman" w:cs="Times New Roman" w:eastAsiaTheme="minorEastAsia"/>
                <w:spacing w:val="-9"/>
                <w:sz w:val="24"/>
                <w:szCs w:val="24"/>
                <w:lang w:val="en-US" w:eastAsia="zh-CN"/>
              </w:rPr>
              <w:t>5</w:t>
            </w:r>
            <w:r>
              <w:rPr>
                <w:rFonts w:hint="default" w:ascii="Times New Roman" w:hAnsi="Times New Roman" w:cs="Times New Roman" w:eastAsiaTheme="minorEastAsia"/>
                <w:spacing w:val="-9"/>
                <w:sz w:val="21"/>
                <w:szCs w:val="21"/>
              </w:rPr>
              <w:t>m</w:t>
            </w:r>
            <w:r>
              <w:rPr>
                <w:rFonts w:hint="eastAsia" w:ascii="Times New Roman" w:hAnsi="Times New Roman" w:cs="Times New Roman" w:eastAsiaTheme="minorEastAsia"/>
                <w:spacing w:val="-9"/>
                <w:sz w:val="21"/>
                <w:szCs w:val="21"/>
                <w:vertAlign w:val="superscript"/>
                <w:lang w:val="en-US" w:eastAsia="zh-CN"/>
              </w:rPr>
              <w:t>2</w:t>
            </w:r>
            <w:r>
              <w:rPr>
                <w:rFonts w:hint="default" w:ascii="Times New Roman" w:hAnsi="Times New Roman" w:cs="Times New Roman" w:eastAsiaTheme="minorEastAsia"/>
                <w:spacing w:val="-11"/>
                <w:sz w:val="24"/>
                <w:szCs w:val="24"/>
              </w:rPr>
              <w:t>，贮存能力约</w:t>
            </w:r>
            <w:r>
              <w:rPr>
                <w:rFonts w:hint="default" w:ascii="Times New Roman" w:hAnsi="Times New Roman" w:cs="Times New Roman" w:eastAsiaTheme="minorEastAsia"/>
                <w:spacing w:val="-7"/>
                <w:sz w:val="24"/>
                <w:szCs w:val="24"/>
                <w:lang w:val="en-US" w:eastAsia="zh-CN"/>
              </w:rPr>
              <w:t>5</w:t>
            </w:r>
            <w:r>
              <w:rPr>
                <w:rFonts w:hint="default" w:ascii="Times New Roman" w:hAnsi="Times New Roman" w:cs="Times New Roman" w:eastAsiaTheme="minorEastAsia"/>
                <w:spacing w:val="-7"/>
                <w:sz w:val="24"/>
                <w:szCs w:val="24"/>
              </w:rPr>
              <w:t>t，</w:t>
            </w:r>
            <w:r>
              <w:rPr>
                <w:rFonts w:hint="default" w:ascii="Times New Roman" w:hAnsi="Times New Roman" w:cs="Times New Roman" w:eastAsiaTheme="minorEastAsia"/>
                <w:spacing w:val="-17"/>
                <w:sz w:val="24"/>
                <w:szCs w:val="24"/>
              </w:rPr>
              <w:t>满足项目危废的储存需求；危废</w:t>
            </w:r>
            <w:r>
              <w:rPr>
                <w:rFonts w:hint="eastAsia" w:ascii="Times New Roman" w:hAnsi="Times New Roman" w:cs="Times New Roman" w:eastAsiaTheme="minorEastAsia"/>
                <w:spacing w:val="-17"/>
                <w:sz w:val="24"/>
                <w:szCs w:val="24"/>
                <w:lang w:val="en-US" w:eastAsia="zh-CN"/>
              </w:rPr>
              <w:t>暂存间</w:t>
            </w:r>
            <w:r>
              <w:rPr>
                <w:rFonts w:hint="default" w:ascii="Times New Roman" w:hAnsi="Times New Roman" w:cs="Times New Roman" w:eastAsiaTheme="minorEastAsia"/>
                <w:spacing w:val="-17"/>
                <w:sz w:val="24"/>
                <w:szCs w:val="24"/>
              </w:rPr>
              <w:t>按照《危险废物贮存污染控制标准》</w:t>
            </w:r>
            <w:r>
              <w:rPr>
                <w:rFonts w:hint="eastAsia" w:ascii="Times New Roman" w:hAnsi="Times New Roman" w:cs="Times New Roman" w:eastAsiaTheme="minorEastAsia"/>
                <w:spacing w:val="-17"/>
                <w:sz w:val="24"/>
                <w:szCs w:val="24"/>
                <w:lang w:eastAsia="zh-CN"/>
              </w:rPr>
              <w:t>（</w:t>
            </w:r>
            <w:r>
              <w:rPr>
                <w:rFonts w:hint="default" w:ascii="Times New Roman" w:hAnsi="Times New Roman" w:cs="Times New Roman" w:eastAsiaTheme="minorEastAsia"/>
                <w:spacing w:val="-17"/>
                <w:sz w:val="24"/>
                <w:szCs w:val="24"/>
              </w:rPr>
              <w:t>GB18597-2001，2013修订</w:t>
            </w:r>
            <w:r>
              <w:rPr>
                <w:rFonts w:hint="eastAsia" w:ascii="Times New Roman" w:hAnsi="Times New Roman" w:cs="Times New Roman" w:eastAsiaTheme="minorEastAsia"/>
                <w:spacing w:val="-17"/>
                <w:sz w:val="24"/>
                <w:szCs w:val="24"/>
                <w:lang w:eastAsia="zh-CN"/>
              </w:rPr>
              <w:t>）</w:t>
            </w:r>
            <w:r>
              <w:rPr>
                <w:rFonts w:hint="default" w:ascii="Times New Roman" w:hAnsi="Times New Roman" w:cs="Times New Roman" w:eastAsiaTheme="minorEastAsia"/>
                <w:spacing w:val="-17"/>
                <w:sz w:val="24"/>
                <w:szCs w:val="24"/>
              </w:rPr>
              <w:t>要求设置和管理，严禁露天堆放，利用专门的防渗漏容器收集，满足“防风、防雨、防晒、防渗”措施。</w:t>
            </w:r>
          </w:p>
          <w:p>
            <w:pPr>
              <w:keepNext w:val="0"/>
              <w:keepLines w:val="0"/>
              <w:pageBreakBefore w:val="0"/>
              <w:widowControl w:val="0"/>
              <w:kinsoku/>
              <w:wordWrap/>
              <w:overflowPunct/>
              <w:topLinePunct w:val="0"/>
              <w:autoSpaceDE/>
              <w:autoSpaceDN/>
              <w:bidi w:val="0"/>
              <w:adjustRightInd/>
              <w:snapToGrid/>
              <w:spacing w:before="164" w:beforeLines="50" w:line="240" w:lineRule="auto"/>
              <w:ind w:firstLine="0" w:firstLineChars="0"/>
              <w:jc w:val="center"/>
              <w:textAlignment w:val="auto"/>
              <w:outlineLvl w:val="9"/>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表</w:t>
            </w:r>
            <w:r>
              <w:rPr>
                <w:rFonts w:hint="default" w:ascii="Times New Roman" w:hAnsi="Times New Roman" w:eastAsia="宋体" w:cs="Times New Roman"/>
                <w:b/>
                <w:color w:val="auto"/>
                <w:kern w:val="2"/>
                <w:sz w:val="21"/>
                <w:szCs w:val="21"/>
                <w:highlight w:val="none"/>
                <w:lang w:val="en-US" w:eastAsia="zh-CN"/>
              </w:rPr>
              <w:t>4-</w:t>
            </w:r>
            <w:r>
              <w:rPr>
                <w:rFonts w:hint="eastAsia" w:ascii="Times New Roman" w:hAnsi="Times New Roman" w:eastAsia="宋体" w:cs="Times New Roman"/>
                <w:b/>
                <w:color w:val="auto"/>
                <w:kern w:val="2"/>
                <w:sz w:val="21"/>
                <w:szCs w:val="21"/>
                <w:highlight w:val="none"/>
                <w:lang w:val="en-US" w:eastAsia="zh-CN"/>
              </w:rPr>
              <w:t>17</w:t>
            </w:r>
            <w:r>
              <w:rPr>
                <w:rFonts w:hint="default" w:ascii="Times New Roman" w:hAnsi="Times New Roman" w:eastAsia="宋体" w:cs="Times New Roman"/>
                <w:b/>
                <w:color w:val="auto"/>
                <w:kern w:val="2"/>
                <w:sz w:val="21"/>
                <w:szCs w:val="21"/>
                <w:highlight w:val="none"/>
                <w:lang w:val="en-US" w:eastAsia="zh-CN"/>
              </w:rPr>
              <w:t xml:space="preserve"> 危险废物暂存间基本情况表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888"/>
              <w:gridCol w:w="1345"/>
              <w:gridCol w:w="800"/>
              <w:gridCol w:w="1212"/>
              <w:gridCol w:w="600"/>
              <w:gridCol w:w="674"/>
              <w:gridCol w:w="689"/>
              <w:gridCol w:w="70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7"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序号</w:t>
                  </w:r>
                </w:p>
              </w:tc>
              <w:tc>
                <w:tcPr>
                  <w:tcW w:w="560"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储存场所名称</w:t>
                  </w:r>
                </w:p>
              </w:tc>
              <w:tc>
                <w:tcPr>
                  <w:tcW w:w="848"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危险废物</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名称</w:t>
                  </w:r>
                </w:p>
              </w:tc>
              <w:tc>
                <w:tcPr>
                  <w:tcW w:w="504"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危险废物类别</w:t>
                  </w:r>
                </w:p>
              </w:tc>
              <w:tc>
                <w:tcPr>
                  <w:tcW w:w="764"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危险废物代码</w:t>
                  </w:r>
                </w:p>
              </w:tc>
              <w:tc>
                <w:tcPr>
                  <w:tcW w:w="378"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位置</w:t>
                  </w:r>
                </w:p>
              </w:tc>
              <w:tc>
                <w:tcPr>
                  <w:tcW w:w="425"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占地面积</w:t>
                  </w:r>
                </w:p>
              </w:tc>
              <w:tc>
                <w:tcPr>
                  <w:tcW w:w="434"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储存方式</w:t>
                  </w:r>
                </w:p>
              </w:tc>
              <w:tc>
                <w:tcPr>
                  <w:tcW w:w="441"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储存</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能力</w:t>
                  </w:r>
                </w:p>
              </w:tc>
              <w:tc>
                <w:tcPr>
                  <w:tcW w:w="424" w:type="pc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储存周期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7" w:type="pct"/>
                  <w:vMerge w:val="restar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560" w:type="pct"/>
                  <w:vMerge w:val="restar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危险废物暂存间</w:t>
                  </w:r>
                </w:p>
              </w:tc>
              <w:tc>
                <w:tcPr>
                  <w:tcW w:w="848"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w:t>
                  </w:r>
                  <w:r>
                    <w:rPr>
                      <w:rFonts w:hint="default" w:ascii="Times New Roman" w:hAnsi="Times New Roman" w:eastAsia="宋体" w:cs="Times New Roman"/>
                      <w:color w:val="auto"/>
                      <w:sz w:val="21"/>
                      <w:szCs w:val="21"/>
                      <w:highlight w:val="none"/>
                      <w:lang w:val="en-US" w:eastAsia="zh-CN"/>
                    </w:rPr>
                    <w:t>矿物油</w:t>
                  </w:r>
                </w:p>
              </w:tc>
              <w:tc>
                <w:tcPr>
                  <w:tcW w:w="504"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tc>
              <w:tc>
                <w:tcPr>
                  <w:tcW w:w="764"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378" w:type="pct"/>
                  <w:vMerge w:val="restar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东南侧</w:t>
                  </w:r>
                </w:p>
              </w:tc>
              <w:tc>
                <w:tcPr>
                  <w:tcW w:w="425" w:type="pct"/>
                  <w:vMerge w:val="restar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w:t>
                  </w:r>
                  <w:r>
                    <w:rPr>
                      <w:rFonts w:hint="default" w:ascii="Times New Roman" w:hAnsi="Times New Roman" w:eastAsia="宋体" w:cs="Times New Roman"/>
                      <w:color w:val="auto"/>
                      <w:sz w:val="21"/>
                      <w:szCs w:val="21"/>
                      <w:highlight w:val="none"/>
                      <w:vertAlign w:val="superscript"/>
                      <w:lang w:val="en-US" w:eastAsia="zh-CN"/>
                    </w:rPr>
                    <w:t>2</w:t>
                  </w:r>
                </w:p>
              </w:tc>
              <w:tc>
                <w:tcPr>
                  <w:tcW w:w="43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桶装</w:t>
                  </w:r>
                </w:p>
              </w:tc>
              <w:tc>
                <w:tcPr>
                  <w:tcW w:w="441" w:type="pct"/>
                  <w:vMerge w:val="restar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约5t</w:t>
                  </w:r>
                </w:p>
              </w:tc>
              <w:tc>
                <w:tcPr>
                  <w:tcW w:w="42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7"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560"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848"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废油桶</w:t>
                  </w:r>
                </w:p>
              </w:tc>
              <w:tc>
                <w:tcPr>
                  <w:tcW w:w="504"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HW08</w:t>
                  </w:r>
                </w:p>
              </w:tc>
              <w:tc>
                <w:tcPr>
                  <w:tcW w:w="764"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900-218-08</w:t>
                  </w:r>
                </w:p>
              </w:tc>
              <w:tc>
                <w:tcPr>
                  <w:tcW w:w="378"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p>
              </w:tc>
              <w:tc>
                <w:tcPr>
                  <w:tcW w:w="425"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3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桶装</w:t>
                  </w:r>
                </w:p>
              </w:tc>
              <w:tc>
                <w:tcPr>
                  <w:tcW w:w="441"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2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7"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560"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848"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含油废手套</w:t>
                  </w:r>
                </w:p>
              </w:tc>
              <w:tc>
                <w:tcPr>
                  <w:tcW w:w="504"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HW49</w:t>
                  </w:r>
                </w:p>
              </w:tc>
              <w:tc>
                <w:tcPr>
                  <w:tcW w:w="764" w:type="pct"/>
                  <w:noWrap w:val="0"/>
                  <w:vAlign w:val="center"/>
                </w:tcPr>
                <w:p>
                  <w:pPr>
                    <w:widowControl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900-041-49</w:t>
                  </w:r>
                </w:p>
              </w:tc>
              <w:tc>
                <w:tcPr>
                  <w:tcW w:w="378"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p>
              </w:tc>
              <w:tc>
                <w:tcPr>
                  <w:tcW w:w="425"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3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桶装</w:t>
                  </w:r>
                </w:p>
              </w:tc>
              <w:tc>
                <w:tcPr>
                  <w:tcW w:w="441"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2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560"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848" w:type="pct"/>
                  <w:noWrap w:val="0"/>
                  <w:vAlign w:val="center"/>
                </w:tcPr>
                <w:p>
                  <w:pPr>
                    <w:widowControl w:val="0"/>
                    <w:spacing w:line="240" w:lineRule="auto"/>
                    <w:jc w:val="center"/>
                    <w:rPr>
                      <w:rFonts w:hint="default" w:ascii="Times New Roman" w:hAnsi="Times New Roman" w:eastAsia="宋体" w:cs="Times New Roman"/>
                      <w:snapToGrid w:val="0"/>
                      <w:color w:val="0000FF"/>
                      <w:kern w:val="0"/>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油泥</w:t>
                  </w:r>
                </w:p>
              </w:tc>
              <w:tc>
                <w:tcPr>
                  <w:tcW w:w="504" w:type="pct"/>
                  <w:noWrap w:val="0"/>
                  <w:vAlign w:val="center"/>
                </w:tcPr>
                <w:p>
                  <w:pPr>
                    <w:widowControl w:val="0"/>
                    <w:spacing w:line="240" w:lineRule="auto"/>
                    <w:jc w:val="center"/>
                    <w:rPr>
                      <w:rFonts w:hint="default" w:ascii="Times New Roman" w:hAnsi="Times New Roman" w:eastAsia="宋体" w:cs="Times New Roman"/>
                      <w:snapToGrid w:val="0"/>
                      <w:color w:val="0000FF"/>
                      <w:kern w:val="0"/>
                      <w:sz w:val="21"/>
                      <w:szCs w:val="21"/>
                      <w:highlight w:val="none"/>
                      <w:u w:val="none"/>
                      <w:lang w:val="en-US" w:eastAsia="zh-CN"/>
                    </w:rPr>
                  </w:pPr>
                  <w:r>
                    <w:rPr>
                      <w:rFonts w:hint="default" w:ascii="Times New Roman" w:hAnsi="Times New Roman" w:eastAsia="宋体" w:cs="Times New Roman"/>
                      <w:color w:val="0000FF"/>
                      <w:sz w:val="21"/>
                      <w:szCs w:val="21"/>
                      <w:highlight w:val="none"/>
                      <w:u w:val="none"/>
                      <w:lang w:val="en-US" w:eastAsia="zh-CN"/>
                    </w:rPr>
                    <w:t>HW08</w:t>
                  </w:r>
                </w:p>
              </w:tc>
              <w:tc>
                <w:tcPr>
                  <w:tcW w:w="764" w:type="pct"/>
                  <w:noWrap w:val="0"/>
                  <w:vAlign w:val="center"/>
                </w:tcPr>
                <w:p>
                  <w:pPr>
                    <w:widowControl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FF"/>
                      <w:sz w:val="21"/>
                      <w:szCs w:val="21"/>
                      <w:highlight w:val="none"/>
                      <w:u w:val="none"/>
                      <w:lang w:val="en-US" w:eastAsia="zh-CN"/>
                    </w:rPr>
                    <w:t>900-210-08</w:t>
                  </w:r>
                </w:p>
              </w:tc>
              <w:tc>
                <w:tcPr>
                  <w:tcW w:w="378"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p>
              </w:tc>
              <w:tc>
                <w:tcPr>
                  <w:tcW w:w="425"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3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桶装</w:t>
                  </w:r>
                </w:p>
              </w:tc>
              <w:tc>
                <w:tcPr>
                  <w:tcW w:w="441" w:type="pct"/>
                  <w:vMerge w:val="continue"/>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24" w:type="pct"/>
                  <w:noWrap w:val="0"/>
                  <w:vAlign w:val="center"/>
                </w:tcPr>
                <w:p>
                  <w:pPr>
                    <w:widowControl w:val="0"/>
                    <w:spacing w:line="24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一年</w:t>
                  </w:r>
                </w:p>
              </w:tc>
            </w:tr>
          </w:tbl>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2、固体废物环境管理要求</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（1）一般工业固体废物</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一般工业固体废物贮存或处置，应符合《一般工业固体废物贮存和填埋污染控制标准》（GB18599-2020）有关要求。</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般工业固体废物的贮存设施、场所必须采取防扬散、防流失、防渗漏或者其他防止污染环境的措施，必须符合国家环境保护标准，并对未处理的固体废物做出妥善处理，安全存放。对暂时不利用或者不能回收利用的一般工业固体废物，必须配套建设防雨淋、防渗漏、易识别等符合环境保护标准和管理要求的贮存设施或场所，以及足够的流转空间，按国家环境保护的技术和管理要求，有专人看管，建立便于核查的进、出物料的台账记录和固体废物明细表。</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（2）危险废物</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①危险废物的分类、收集和贮存要求</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1）危险废物及时移至危险废物仓库分类堆放，不得乱堆乱放；</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2）危险废物储存点应按规定张贴危废标识，容器上</w:t>
            </w:r>
            <w:r>
              <w:rPr>
                <w:rFonts w:hint="eastAsia" w:ascii="Times New Roman" w:hAnsi="Times New Roman" w:eastAsia="宋体" w:cs="Times New Roman"/>
                <w:sz w:val="24"/>
                <w:szCs w:val="24"/>
                <w:highlight w:val="none"/>
                <w:lang w:val="en-US" w:eastAsia="zh-CN"/>
              </w:rPr>
              <w:t>应</w:t>
            </w:r>
            <w:r>
              <w:rPr>
                <w:rFonts w:hint="default" w:ascii="Times New Roman" w:hAnsi="Times New Roman" w:eastAsia="宋体" w:cs="Times New Roman"/>
                <w:sz w:val="24"/>
                <w:szCs w:val="24"/>
                <w:highlight w:val="none"/>
              </w:rPr>
              <w:t>标明相应废物名称，以便识别和管理；</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3）与有资质的单位签订危险废物处置协议，确保其得到妥善处理；</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4）制定企业危险废物台账记录</w:t>
            </w:r>
            <w:r>
              <w:rPr>
                <w:rFonts w:hint="eastAsia" w:ascii="Times New Roman" w:hAnsi="Times New Roman" w:eastAsia="宋体" w:cs="Times New Roman"/>
                <w:sz w:val="24"/>
                <w:szCs w:val="24"/>
                <w:highlight w:val="none"/>
                <w:lang w:val="en-US" w:eastAsia="zh-CN"/>
              </w:rPr>
              <w:t>制度</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要求工作人员</w:t>
            </w:r>
            <w:r>
              <w:rPr>
                <w:rFonts w:hint="default" w:ascii="Times New Roman" w:hAnsi="Times New Roman" w:eastAsia="宋体" w:cs="Times New Roman"/>
                <w:sz w:val="24"/>
                <w:szCs w:val="24"/>
                <w:highlight w:val="none"/>
              </w:rPr>
              <w:t>如实记录危险废物的产生、贮存、利用、处理处置等各个环节的情况，定期汇总危险废物台账记录表，总结其产生工序、特性、利用处置情况等，形成完成的危险废物台账，由专人对危险废物台账进行管理，</w:t>
            </w:r>
            <w:r>
              <w:rPr>
                <w:rFonts w:hint="default" w:ascii="Times New Roman" w:hAnsi="Times New Roman" w:eastAsia="宋体" w:cs="Times New Roman"/>
                <w:sz w:val="24"/>
                <w:szCs w:val="24"/>
                <w:highlight w:val="none"/>
                <w:lang w:eastAsia="zh-CN"/>
              </w:rPr>
              <w:t>防止</w:t>
            </w:r>
            <w:r>
              <w:rPr>
                <w:rFonts w:hint="default" w:ascii="Times New Roman" w:hAnsi="Times New Roman" w:eastAsia="宋体" w:cs="Times New Roman"/>
                <w:sz w:val="24"/>
                <w:szCs w:val="24"/>
                <w:highlight w:val="none"/>
              </w:rPr>
              <w:t>遗失；</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5）有资质的单位转移危险废物时应填写《危险废物转移联单》，内容含废物种类、数量、形态、包装方式等，并经危险废物产生单位、运输单位及</w:t>
            </w:r>
            <w:r>
              <w:rPr>
                <w:rFonts w:hint="default" w:ascii="Times New Roman" w:hAnsi="Times New Roman" w:eastAsia="宋体" w:cs="Times New Roman"/>
                <w:sz w:val="24"/>
                <w:szCs w:val="24"/>
                <w:highlight w:val="none"/>
                <w:lang w:eastAsia="zh-CN"/>
              </w:rPr>
              <w:t>接收单位</w:t>
            </w:r>
            <w:r>
              <w:rPr>
                <w:rFonts w:hint="default" w:ascii="Times New Roman" w:hAnsi="Times New Roman" w:eastAsia="宋体" w:cs="Times New Roman"/>
                <w:sz w:val="24"/>
                <w:szCs w:val="24"/>
                <w:highlight w:val="none"/>
              </w:rPr>
              <w:t>签字确认；</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6）《危险废物转移联单》由危险废物产生单位存档，以备查验。</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②危险废物贮存场场址要求</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项目危险废物贮存设置在厂区</w:t>
            </w:r>
            <w:r>
              <w:rPr>
                <w:rFonts w:hint="default" w:ascii="Times New Roman" w:hAnsi="Times New Roman" w:eastAsia="宋体" w:cs="Times New Roman"/>
                <w:sz w:val="24"/>
                <w:szCs w:val="24"/>
                <w:highlight w:val="none"/>
                <w:lang w:val="en-US" w:eastAsia="zh-CN"/>
              </w:rPr>
              <w:t>东南</w:t>
            </w:r>
            <w:r>
              <w:rPr>
                <w:rFonts w:hint="default" w:ascii="Times New Roman" w:hAnsi="Times New Roman" w:eastAsia="宋体" w:cs="Times New Roman"/>
                <w:sz w:val="24"/>
                <w:szCs w:val="24"/>
                <w:highlight w:val="none"/>
              </w:rPr>
              <w:t>角，其建设需符合《危险废物贮存污染控制条件》（GB18597-2001）及其修改单的相关要求：</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1）建设专门的室内贮存设施，在贮存设施内堆放。贮存仓库要防风、防雨、防渗；</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2）危险废物分类收集和贮存，分别单独设置包装容器及贮存设施，贮存仓库设置明显的标志；</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3）按照《环境保护图形标志（固体废物贮存场）》（GB15562.2）的规定设置警示标志，有安全照明设施和观察窗口；</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4）不得将不相容的危险废物混合或合并存放；</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5）定期对贮存的危险废物包装容器及贮存设施进行检查，发现破损，及时采取措施清理更换；</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6）危险废物贮存设施周围设置围墙或其它防护栅栏，贮存设施内清理的遗漏物一律按危险废物处理。</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②危险废物临时贮存仓库设施必须符合</w:t>
            </w:r>
            <w:r>
              <w:rPr>
                <w:rFonts w:hint="default" w:ascii="Times New Roman" w:hAnsi="Times New Roman" w:eastAsia="宋体" w:cs="Times New Roman"/>
                <w:sz w:val="24"/>
                <w:szCs w:val="24"/>
                <w:highlight w:val="none"/>
                <w:lang w:eastAsia="zh-CN"/>
              </w:rPr>
              <w:t>下列</w:t>
            </w:r>
            <w:r>
              <w:rPr>
                <w:rFonts w:hint="default" w:ascii="Times New Roman" w:hAnsi="Times New Roman" w:eastAsia="宋体" w:cs="Times New Roman"/>
                <w:sz w:val="24"/>
                <w:szCs w:val="24"/>
                <w:highlight w:val="none"/>
              </w:rPr>
              <w:t>要求</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1）使用广口塑料罐收集危险废物，塑料罐抗老化、抗冲击、不渗漏。</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2）可考虑建设专门的室内贮存设施，在贮存设施内堆放。危险废物暂存间要防扬散、防渗漏、防流失。</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3）危险废物应该进行分类收集和贮存，单独设置贮存仓或者贮存箱，并设置有明显的标志。</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4）必须按《环境保护图形标志</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固体废物贮存场</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》（GB15562.2）的规定设置警示标志。要有安全照明设施和观察窗口。</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③根据《危险化学品安全管理条例》（国务院令第344号）、《危险废物转移联单管理办法》（原国家环境保护总局令第5号）有关规定，在危险废物外运至处置单位时必须严格遵守以下要求：</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危险废物在转移前，建设单位须按照国家有关规定报批危险废物转移计划；经批准后，建设单位应当向当地环境保护行政主管部门申请领取联单。转移前三日内报告移出地环境保护行政主管部门，并同时将预期到达时间报告接</w:t>
            </w:r>
            <w:r>
              <w:rPr>
                <w:rFonts w:hint="default" w:ascii="Times New Roman" w:hAnsi="Times New Roman" w:eastAsia="宋体" w:cs="Times New Roman"/>
                <w:sz w:val="24"/>
                <w:szCs w:val="24"/>
                <w:highlight w:val="none"/>
                <w:lang w:val="en-US" w:eastAsia="zh-CN"/>
              </w:rPr>
              <w:t>收</w:t>
            </w:r>
            <w:r>
              <w:rPr>
                <w:rFonts w:hint="default" w:ascii="Times New Roman" w:hAnsi="Times New Roman" w:eastAsia="宋体" w:cs="Times New Roman"/>
                <w:sz w:val="24"/>
                <w:szCs w:val="24"/>
                <w:highlight w:val="none"/>
              </w:rPr>
              <w:t>地</w:t>
            </w:r>
            <w:r>
              <w:rPr>
                <w:rFonts w:hint="default" w:ascii="Times New Roman" w:hAnsi="Times New Roman" w:eastAsia="宋体" w:cs="Times New Roman"/>
                <w:sz w:val="24"/>
                <w:szCs w:val="24"/>
                <w:highlight w:val="none"/>
                <w:lang w:val="en-US" w:eastAsia="zh-CN"/>
              </w:rPr>
              <w:t>的</w:t>
            </w:r>
            <w:r>
              <w:rPr>
                <w:rFonts w:hint="default" w:ascii="Times New Roman" w:hAnsi="Times New Roman" w:eastAsia="宋体" w:cs="Times New Roman"/>
                <w:sz w:val="24"/>
                <w:szCs w:val="24"/>
                <w:highlight w:val="none"/>
              </w:rPr>
              <w:t>环境保护行政主管部门。</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2）危险废物产生单位每转移一车（次）同类危险废物，应当填写一份联单。每车、船（次）有多类危险废物的，应当按每一类危险废物填写一份联单。</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危险废物运输单位应当如实填写联单的运输单位栏目，按照国家有关危险物品运输的规定，将危险废物安全运抵联单载明的接受地点，并将联单第一联、第二联副联、第三联、第四联、第五联随转移的危险废物交付危险废物</w:t>
            </w:r>
            <w:r>
              <w:rPr>
                <w:rFonts w:hint="default" w:ascii="Times New Roman" w:hAnsi="Times New Roman" w:eastAsia="宋体" w:cs="Times New Roman"/>
                <w:sz w:val="24"/>
                <w:szCs w:val="24"/>
                <w:highlight w:val="none"/>
                <w:lang w:eastAsia="zh-CN"/>
              </w:rPr>
              <w:t>接收单位</w:t>
            </w:r>
            <w:r>
              <w:rPr>
                <w:rFonts w:hint="default" w:ascii="Times New Roman" w:hAnsi="Times New Roman" w:eastAsia="宋体" w:cs="Times New Roman"/>
                <w:sz w:val="24"/>
                <w:szCs w:val="24"/>
                <w:highlight w:val="none"/>
              </w:rPr>
              <w:t>。</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4）危险废物接受单位应当按照联单填写的内容对危险废物核实验收，如实填写联单中接受单位栏目并加盖公章。</w:t>
            </w:r>
            <w:r>
              <w:rPr>
                <w:rFonts w:hint="default" w:ascii="Times New Roman" w:hAnsi="Times New Roman" w:eastAsia="宋体" w:cs="Times New Roman"/>
                <w:sz w:val="24"/>
                <w:szCs w:val="24"/>
                <w:highlight w:val="none"/>
                <w:lang w:eastAsia="zh-CN"/>
              </w:rPr>
              <w:t>接收单位</w:t>
            </w:r>
            <w:r>
              <w:rPr>
                <w:rFonts w:hint="default" w:ascii="Times New Roman" w:hAnsi="Times New Roman" w:eastAsia="宋体" w:cs="Times New Roman"/>
                <w:sz w:val="24"/>
                <w:szCs w:val="24"/>
                <w:highlight w:val="none"/>
              </w:rPr>
              <w:t>应当将联单第一联、第二联副联自接受危险废物之日起十日内交付建设单位，联单第一联由建设单位自留存档，联单第二联副联由建设单位在二日内报送环境主管部门。</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5）联单保存期限为五年；贮存危险废物的，其联单保存期限与危险废物贮存期限相同。环境保护行政主管部门认为有必要延长联单保存期限的，产生单位应当按照要求延期保存联单。</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6）危险废物在运输途中若发生被盗、丢失、泄漏等情况时，公司及押运人员必须立即向当地公安部门报告，并采取一切可能的警示措施。</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一事故造成的危害进行监测、处置，直至符合国家环境保护标准。</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④危险废物环境影响评价结论与建议</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本环评要求建设单位在危险废物产生时及时采用容器收集后分区分类暂存于危险废物暂存间，且危险废物暂存间采取防风、防雨、防渗漏、防流失措施，由有危险废物处理资质的单位</w:t>
            </w:r>
            <w:r>
              <w:rPr>
                <w:rFonts w:hint="eastAsia" w:ascii="Times New Roman" w:hAnsi="Times New Roman" w:eastAsia="宋体" w:cs="Times New Roman"/>
                <w:sz w:val="24"/>
                <w:szCs w:val="24"/>
                <w:highlight w:val="none"/>
                <w:lang w:val="en-US" w:eastAsia="zh-CN"/>
              </w:rPr>
              <w:t>定期</w:t>
            </w:r>
            <w:r>
              <w:rPr>
                <w:rFonts w:hint="default" w:ascii="Times New Roman" w:hAnsi="Times New Roman" w:eastAsia="宋体" w:cs="Times New Roman"/>
                <w:sz w:val="24"/>
                <w:szCs w:val="24"/>
                <w:highlight w:val="none"/>
              </w:rPr>
              <w:t>清运处理一次。</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采取上述处理措施后，项目营运期产生的危险废物均可得到妥善处置，对环境影响较小。</w:t>
            </w:r>
          </w:p>
          <w:p>
            <w:pPr>
              <w:pStyle w:val="5"/>
              <w:spacing w:line="360" w:lineRule="auto"/>
              <w:outlineLvl w:val="2"/>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4.2.5地下水、土壤</w:t>
            </w:r>
          </w:p>
          <w:p>
            <w:pPr>
              <w:pStyle w:val="24"/>
              <w:spacing w:line="360" w:lineRule="auto"/>
              <w:ind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本项目柴油采取防渗措施，并设置围堰，切断影响途径。根据《环境影响评价技术导则地下水环境》</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HJ610-2016</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明确的污染控制难易程度分级和天然包气带防污性能分级分别见下表。</w:t>
            </w:r>
          </w:p>
          <w:p>
            <w:pPr>
              <w:pStyle w:val="25"/>
              <w:spacing w:line="24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eastAsia" w:eastAsia="宋体" w:cs="Times New Roman"/>
                <w:b/>
                <w:bCs/>
                <w:sz w:val="21"/>
                <w:szCs w:val="21"/>
                <w:highlight w:val="none"/>
                <w:lang w:val="en-US" w:eastAsia="zh-CN"/>
              </w:rPr>
              <w:t xml:space="preserve">18 </w:t>
            </w:r>
            <w:r>
              <w:rPr>
                <w:rFonts w:hint="default" w:ascii="Times New Roman" w:hAnsi="Times New Roman" w:eastAsia="宋体" w:cs="Times New Roman"/>
                <w:b/>
                <w:bCs/>
                <w:sz w:val="21"/>
                <w:szCs w:val="21"/>
                <w:highlight w:val="none"/>
              </w:rPr>
              <w:t>污染控制难易程度分级参照表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8"/>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28" w:type="pct"/>
                  <w:noWrap w:val="0"/>
                  <w:vAlign w:val="top"/>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污染控制难易程度</w:t>
                  </w:r>
                </w:p>
              </w:tc>
              <w:tc>
                <w:tcPr>
                  <w:tcW w:w="3771" w:type="pct"/>
                  <w:noWrap w:val="0"/>
                  <w:vAlign w:val="top"/>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1228"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难</w:t>
                  </w:r>
                </w:p>
              </w:tc>
              <w:tc>
                <w:tcPr>
                  <w:tcW w:w="3771"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对地下水有污染的物料或者污染物泄漏后，不能及时发现和处理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1228"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易</w:t>
                  </w:r>
                </w:p>
              </w:tc>
              <w:tc>
                <w:tcPr>
                  <w:tcW w:w="3771"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对地下水有污染的物料或者污染物泄漏后，能及时发现和处理</w:t>
                  </w:r>
                </w:p>
              </w:tc>
            </w:tr>
          </w:tbl>
          <w:p>
            <w:pPr>
              <w:pStyle w:val="25"/>
              <w:spacing w:line="24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eastAsia" w:eastAsia="宋体" w:cs="Times New Roman"/>
                <w:b/>
                <w:bCs/>
                <w:sz w:val="21"/>
                <w:szCs w:val="21"/>
                <w:highlight w:val="none"/>
                <w:lang w:val="en-US" w:eastAsia="zh-CN"/>
              </w:rPr>
              <w:t>19</w:t>
            </w:r>
            <w:r>
              <w:rPr>
                <w:rFonts w:hint="default" w:ascii="Times New Roman" w:hAnsi="Times New Roman" w:eastAsia="宋体" w:cs="Times New Roman"/>
                <w:b/>
                <w:bCs/>
                <w:sz w:val="21"/>
                <w:szCs w:val="21"/>
                <w:highlight w:val="none"/>
              </w:rPr>
              <w:t>天然包气带防污性能分级分别参照表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420" w:type="pct"/>
                  <w:noWrap w:val="0"/>
                  <w:vAlign w:val="top"/>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分级</w:t>
                  </w:r>
                </w:p>
              </w:tc>
              <w:tc>
                <w:tcPr>
                  <w:tcW w:w="4579" w:type="pct"/>
                  <w:noWrap w:val="0"/>
                  <w:vAlign w:val="top"/>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20"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强</w:t>
                  </w:r>
                </w:p>
              </w:tc>
              <w:tc>
                <w:tcPr>
                  <w:tcW w:w="4579"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岩（土）层单层厚度 Mb≥1.0m，渗透系数 K≤1×10</w:t>
                  </w:r>
                  <w:r>
                    <w:rPr>
                      <w:rFonts w:hint="default" w:ascii="Times New Roman" w:hAnsi="Times New Roman" w:eastAsia="宋体" w:cs="Times New Roman"/>
                      <w:sz w:val="21"/>
                      <w:szCs w:val="21"/>
                      <w:highlight w:val="none"/>
                      <w:vertAlign w:val="superscript"/>
                    </w:rPr>
                    <w:t>-6</w:t>
                  </w:r>
                  <w:r>
                    <w:rPr>
                      <w:rFonts w:hint="default" w:ascii="Times New Roman" w:hAnsi="Times New Roman" w:eastAsia="宋体" w:cs="Times New Roman"/>
                      <w:sz w:val="21"/>
                      <w:szCs w:val="21"/>
                      <w:highlight w:val="none"/>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420"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w:t>
                  </w:r>
                </w:p>
              </w:tc>
              <w:tc>
                <w:tcPr>
                  <w:tcW w:w="4579"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岩（土）层单层厚度 0.5≤Mb＜1.0m，渗透系数 K≤1×10</w:t>
                  </w:r>
                  <w:r>
                    <w:rPr>
                      <w:rFonts w:hint="default" w:ascii="Times New Roman" w:hAnsi="Times New Roman" w:eastAsia="宋体" w:cs="Times New Roman"/>
                      <w:sz w:val="21"/>
                      <w:szCs w:val="21"/>
                      <w:highlight w:val="none"/>
                      <w:vertAlign w:val="superscript"/>
                    </w:rPr>
                    <w:t>-6</w:t>
                  </w:r>
                  <w:r>
                    <w:rPr>
                      <w:rFonts w:hint="default" w:ascii="Times New Roman" w:hAnsi="Times New Roman" w:eastAsia="宋体" w:cs="Times New Roman"/>
                      <w:sz w:val="21"/>
                      <w:szCs w:val="21"/>
                      <w:highlight w:val="none"/>
                    </w:rPr>
                    <w:t>cm/s，且分布连续、稳定。岩（土）层单层厚度≥1.0m，渗透系数 1×10</w:t>
                  </w:r>
                  <w:r>
                    <w:rPr>
                      <w:rFonts w:hint="default" w:ascii="Times New Roman" w:hAnsi="Times New Roman" w:eastAsia="宋体" w:cs="Times New Roman"/>
                      <w:sz w:val="21"/>
                      <w:szCs w:val="21"/>
                      <w:highlight w:val="none"/>
                      <w:vertAlign w:val="superscript"/>
                    </w:rPr>
                    <w:t>-6</w:t>
                  </w:r>
                  <w:r>
                    <w:rPr>
                      <w:rFonts w:hint="default" w:ascii="Times New Roman" w:hAnsi="Times New Roman" w:eastAsia="宋体" w:cs="Times New Roman"/>
                      <w:sz w:val="21"/>
                      <w:szCs w:val="21"/>
                      <w:highlight w:val="none"/>
                    </w:rPr>
                    <w:t>cm/s≤K≤1×10</w:t>
                  </w:r>
                  <w:r>
                    <w:rPr>
                      <w:rFonts w:hint="default" w:ascii="Times New Roman" w:hAnsi="Times New Roman" w:eastAsia="宋体" w:cs="Times New Roman"/>
                      <w:sz w:val="21"/>
                      <w:szCs w:val="21"/>
                      <w:highlight w:val="none"/>
                      <w:vertAlign w:val="superscript"/>
                    </w:rPr>
                    <w:t>-4</w:t>
                  </w:r>
                  <w:r>
                    <w:rPr>
                      <w:rFonts w:hint="default" w:ascii="Times New Roman" w:hAnsi="Times New Roman" w:eastAsia="宋体" w:cs="Times New Roman"/>
                      <w:sz w:val="21"/>
                      <w:szCs w:val="21"/>
                      <w:highlight w:val="none"/>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420"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弱</w:t>
                  </w:r>
                </w:p>
              </w:tc>
              <w:tc>
                <w:tcPr>
                  <w:tcW w:w="4579" w:type="pct"/>
                  <w:noWrap w:val="0"/>
                  <w:vAlign w:val="top"/>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岩（土）层不能满足上述“强”和“中”条件。</w:t>
                  </w:r>
                </w:p>
              </w:tc>
            </w:tr>
          </w:tbl>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建设项目对地下水和土壤有污染的物料或者污染物泄漏后，不能及时发现和处理，污染控制难易程度为难。建设项目所在地岩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土</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层情况不明，故按照最不利原则，按照天然包气带防污性能“弱”，判断本项目地下水污染防渗分区，详见下表。</w:t>
            </w:r>
          </w:p>
          <w:p>
            <w:pPr>
              <w:pStyle w:val="25"/>
              <w:spacing w:line="24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表4-</w:t>
            </w:r>
            <w:r>
              <w:rPr>
                <w:rFonts w:hint="eastAsia" w:ascii="Times New Roman" w:hAnsi="Times New Roman" w:eastAsia="宋体" w:cs="Times New Roman"/>
                <w:b/>
                <w:bCs/>
                <w:sz w:val="21"/>
                <w:szCs w:val="21"/>
                <w:highlight w:val="none"/>
                <w:lang w:val="en-US" w:eastAsia="zh-CN"/>
              </w:rPr>
              <w:t xml:space="preserve">20     </w:t>
            </w:r>
            <w:r>
              <w:rPr>
                <w:rFonts w:hint="default" w:ascii="Times New Roman" w:hAnsi="Times New Roman" w:eastAsia="宋体" w:cs="Times New Roman"/>
                <w:b/>
                <w:bCs/>
                <w:sz w:val="21"/>
                <w:szCs w:val="21"/>
                <w:highlight w:val="none"/>
              </w:rPr>
              <w:t>地下水污染防渗分区确定表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7"/>
              <w:gridCol w:w="1263"/>
              <w:gridCol w:w="1162"/>
              <w:gridCol w:w="1538"/>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672"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防渗分区</w:t>
                  </w:r>
                </w:p>
              </w:tc>
              <w:tc>
                <w:tcPr>
                  <w:tcW w:w="796"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天然包气带防污性能</w:t>
                  </w:r>
                </w:p>
              </w:tc>
              <w:tc>
                <w:tcPr>
                  <w:tcW w:w="732"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污染控制难</w:t>
                  </w:r>
                </w:p>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易程度</w:t>
                  </w:r>
                </w:p>
              </w:tc>
              <w:tc>
                <w:tcPr>
                  <w:tcW w:w="969"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污染物类型</w:t>
                  </w:r>
                </w:p>
              </w:tc>
              <w:tc>
                <w:tcPr>
                  <w:tcW w:w="1828"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672"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重点防渗区</w:t>
                  </w:r>
                </w:p>
              </w:tc>
              <w:tc>
                <w:tcPr>
                  <w:tcW w:w="796"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弱</w:t>
                  </w:r>
                </w:p>
              </w:tc>
              <w:tc>
                <w:tcPr>
                  <w:tcW w:w="732"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难</w:t>
                  </w:r>
                </w:p>
              </w:tc>
              <w:tc>
                <w:tcPr>
                  <w:tcW w:w="969"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重金属、持久性有机物污染物</w:t>
                  </w:r>
                </w:p>
              </w:tc>
              <w:tc>
                <w:tcPr>
                  <w:tcW w:w="1828"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等效黏土防渗层 Mb≥6.0m， K≤1×10</w:t>
                  </w:r>
                  <w:r>
                    <w:rPr>
                      <w:rFonts w:hint="default" w:ascii="Times New Roman" w:hAnsi="Times New Roman" w:eastAsia="宋体" w:cs="Times New Roman"/>
                      <w:sz w:val="21"/>
                      <w:szCs w:val="21"/>
                      <w:highlight w:val="none"/>
                      <w:vertAlign w:val="superscript"/>
                    </w:rPr>
                    <w:t>-7</w:t>
                  </w:r>
                  <w:r>
                    <w:rPr>
                      <w:rFonts w:hint="default" w:ascii="Times New Roman" w:hAnsi="Times New Roman" w:eastAsia="宋体" w:cs="Times New Roman"/>
                      <w:sz w:val="21"/>
                      <w:szCs w:val="21"/>
                      <w:highlight w:val="none"/>
                    </w:rPr>
                    <w:t>cm/s，或参照《危险废物填埋污染控制标准》(GB18598-2001)。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672"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796" w:type="pct"/>
                  <w:noWrap w:val="0"/>
                  <w:vAlign w:val="center"/>
                </w:tcPr>
                <w:p>
                  <w:pPr>
                    <w:pStyle w:val="32"/>
                    <w:adjustRightInd w:val="0"/>
                    <w:snapToGrid w:val="0"/>
                    <w:spacing w:before="25" w:line="240" w:lineRule="auto"/>
                    <w:ind w:left="118" w:right="92"/>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中～强</w:t>
                  </w:r>
                </w:p>
              </w:tc>
              <w:tc>
                <w:tcPr>
                  <w:tcW w:w="732" w:type="pct"/>
                  <w:noWrap w:val="0"/>
                  <w:vAlign w:val="center"/>
                </w:tcPr>
                <w:p>
                  <w:pPr>
                    <w:pStyle w:val="32"/>
                    <w:adjustRightInd w:val="0"/>
                    <w:snapToGrid w:val="0"/>
                    <w:spacing w:before="25" w:line="240" w:lineRule="auto"/>
                    <w:ind w:left="26"/>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难</w:t>
                  </w:r>
                </w:p>
              </w:tc>
              <w:tc>
                <w:tcPr>
                  <w:tcW w:w="969"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1828"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672"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796" w:type="pct"/>
                  <w:noWrap w:val="0"/>
                  <w:vAlign w:val="center"/>
                </w:tcPr>
                <w:p>
                  <w:pPr>
                    <w:pStyle w:val="32"/>
                    <w:adjustRightInd w:val="0"/>
                    <w:snapToGrid w:val="0"/>
                    <w:spacing w:before="23" w:line="240" w:lineRule="auto"/>
                    <w:ind w:left="26"/>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弱</w:t>
                  </w:r>
                </w:p>
              </w:tc>
              <w:tc>
                <w:tcPr>
                  <w:tcW w:w="732" w:type="pct"/>
                  <w:noWrap w:val="0"/>
                  <w:vAlign w:val="center"/>
                </w:tcPr>
                <w:p>
                  <w:pPr>
                    <w:pStyle w:val="32"/>
                    <w:adjustRightInd w:val="0"/>
                    <w:snapToGrid w:val="0"/>
                    <w:spacing w:before="23" w:line="240" w:lineRule="auto"/>
                    <w:ind w:left="26"/>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易</w:t>
                  </w:r>
                </w:p>
              </w:tc>
              <w:tc>
                <w:tcPr>
                  <w:tcW w:w="969"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1828"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2"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一般防渗区</w:t>
                  </w:r>
                </w:p>
              </w:tc>
              <w:tc>
                <w:tcPr>
                  <w:tcW w:w="796"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中～强</w:t>
                  </w:r>
                </w:p>
              </w:tc>
              <w:tc>
                <w:tcPr>
                  <w:tcW w:w="732"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易</w:t>
                  </w:r>
                </w:p>
              </w:tc>
              <w:tc>
                <w:tcPr>
                  <w:tcW w:w="969"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重金属、持久性有机物污染物</w:t>
                  </w:r>
                </w:p>
              </w:tc>
              <w:tc>
                <w:tcPr>
                  <w:tcW w:w="1828"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672"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796" w:type="pct"/>
                  <w:noWrap w:val="0"/>
                  <w:vAlign w:val="center"/>
                </w:tcPr>
                <w:p>
                  <w:pPr>
                    <w:pStyle w:val="32"/>
                    <w:adjustRightInd w:val="0"/>
                    <w:snapToGrid w:val="0"/>
                    <w:spacing w:before="23" w:line="240" w:lineRule="auto"/>
                    <w:ind w:left="26"/>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弱</w:t>
                  </w:r>
                </w:p>
              </w:tc>
              <w:tc>
                <w:tcPr>
                  <w:tcW w:w="732" w:type="pct"/>
                  <w:noWrap w:val="0"/>
                  <w:vAlign w:val="center"/>
                </w:tcPr>
                <w:p>
                  <w:pPr>
                    <w:pStyle w:val="32"/>
                    <w:adjustRightInd w:val="0"/>
                    <w:snapToGrid w:val="0"/>
                    <w:spacing w:before="23" w:line="240" w:lineRule="auto"/>
                    <w:ind w:left="100" w:right="76"/>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易</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难</w:t>
                  </w:r>
                </w:p>
              </w:tc>
              <w:tc>
                <w:tcPr>
                  <w:tcW w:w="969" w:type="pct"/>
                  <w:noWrap w:val="0"/>
                  <w:vAlign w:val="center"/>
                </w:tcPr>
                <w:p>
                  <w:pPr>
                    <w:pStyle w:val="32"/>
                    <w:adjustRightInd w:val="0"/>
                    <w:snapToGrid w:val="0"/>
                    <w:spacing w:before="23" w:line="240" w:lineRule="auto"/>
                    <w:ind w:left="76" w:right="54"/>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其他类型</w:t>
                  </w:r>
                </w:p>
              </w:tc>
              <w:tc>
                <w:tcPr>
                  <w:tcW w:w="1828" w:type="pct"/>
                  <w:vMerge w:val="restart"/>
                  <w:noWrap w:val="0"/>
                  <w:vAlign w:val="center"/>
                </w:tcPr>
                <w:p>
                  <w:pPr>
                    <w:pStyle w:val="32"/>
                    <w:adjustRightInd w:val="0"/>
                    <w:snapToGrid w:val="0"/>
                    <w:spacing w:line="240" w:lineRule="auto"/>
                    <w:ind w:right="108"/>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等效黏土防渗层 Mb≥1.5m，K≤1×10</w:t>
                  </w:r>
                  <w:r>
                    <w:rPr>
                      <w:rFonts w:hint="default" w:ascii="Times New Roman" w:hAnsi="Times New Roman" w:eastAsia="宋体" w:cs="Times New Roman"/>
                      <w:sz w:val="21"/>
                      <w:szCs w:val="21"/>
                      <w:highlight w:val="none"/>
                      <w:vertAlign w:val="superscript"/>
                    </w:rPr>
                    <w:t>-7</w:t>
                  </w:r>
                  <w:r>
                    <w:rPr>
                      <w:rFonts w:hint="default" w:ascii="Times New Roman" w:hAnsi="Times New Roman" w:eastAsia="宋体" w:cs="Times New Roman"/>
                      <w:sz w:val="21"/>
                      <w:szCs w:val="21"/>
                      <w:highlight w:val="none"/>
                    </w:rPr>
                    <w:t>cm/s，或参照《生活垃圾填埋场污染控制标准》(GB16889-2008)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72"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796" w:type="pct"/>
                  <w:noWrap w:val="0"/>
                  <w:vAlign w:val="center"/>
                </w:tcPr>
                <w:p>
                  <w:pPr>
                    <w:pStyle w:val="32"/>
                    <w:adjustRightInd w:val="0"/>
                    <w:snapToGrid w:val="0"/>
                    <w:spacing w:line="240" w:lineRule="auto"/>
                    <w:ind w:left="118" w:right="92"/>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强</w:t>
                  </w:r>
                </w:p>
              </w:tc>
              <w:tc>
                <w:tcPr>
                  <w:tcW w:w="732" w:type="pct"/>
                  <w:noWrap w:val="0"/>
                  <w:vAlign w:val="center"/>
                </w:tcPr>
                <w:p>
                  <w:pPr>
                    <w:pStyle w:val="32"/>
                    <w:adjustRightInd w:val="0"/>
                    <w:snapToGrid w:val="0"/>
                    <w:spacing w:line="240" w:lineRule="auto"/>
                    <w:ind w:left="26"/>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难</w:t>
                  </w:r>
                </w:p>
              </w:tc>
              <w:tc>
                <w:tcPr>
                  <w:tcW w:w="969" w:type="pct"/>
                  <w:noWrap w:val="0"/>
                  <w:vAlign w:val="center"/>
                </w:tcPr>
                <w:p>
                  <w:pPr>
                    <w:pStyle w:val="32"/>
                    <w:adjustRightInd w:val="0"/>
                    <w:snapToGrid w:val="0"/>
                    <w:spacing w:line="240" w:lineRule="auto"/>
                    <w:ind w:left="76" w:right="54"/>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其他类型</w:t>
                  </w:r>
                </w:p>
              </w:tc>
              <w:tc>
                <w:tcPr>
                  <w:tcW w:w="1828"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672"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简单防渗区</w:t>
                  </w:r>
                </w:p>
              </w:tc>
              <w:tc>
                <w:tcPr>
                  <w:tcW w:w="796"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中～强</w:t>
                  </w:r>
                </w:p>
              </w:tc>
              <w:tc>
                <w:tcPr>
                  <w:tcW w:w="732"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易</w:t>
                  </w:r>
                </w:p>
              </w:tc>
              <w:tc>
                <w:tcPr>
                  <w:tcW w:w="969"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其他类型</w:t>
                  </w:r>
                </w:p>
              </w:tc>
              <w:tc>
                <w:tcPr>
                  <w:tcW w:w="1828"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一般地面硬化</w:t>
                  </w:r>
                </w:p>
              </w:tc>
            </w:tr>
          </w:tbl>
          <w:p>
            <w:pPr>
              <w:pStyle w:val="25"/>
              <w:spacing w:line="24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 4-</w:t>
            </w:r>
            <w:r>
              <w:rPr>
                <w:rFonts w:hint="eastAsia" w:ascii="Times New Roman" w:hAnsi="Times New Roman" w:eastAsia="宋体" w:cs="Times New Roman"/>
                <w:b/>
                <w:bCs/>
                <w:sz w:val="21"/>
                <w:szCs w:val="21"/>
                <w:highlight w:val="none"/>
                <w:lang w:val="en-US" w:eastAsia="zh-CN"/>
              </w:rPr>
              <w:t>21</w:t>
            </w:r>
            <w:r>
              <w:rPr>
                <w:rFonts w:hint="default" w:ascii="Times New Roman" w:hAnsi="Times New Roman" w:eastAsia="宋体" w:cs="Times New Roman"/>
                <w:b/>
                <w:bCs/>
                <w:sz w:val="21"/>
                <w:szCs w:val="21"/>
                <w:highlight w:val="none"/>
              </w:rPr>
              <w:tab/>
            </w:r>
            <w:r>
              <w:rPr>
                <w:rFonts w:hint="default" w:ascii="Times New Roman" w:hAnsi="Times New Roman" w:eastAsia="宋体" w:cs="Times New Roman"/>
                <w:b/>
                <w:bCs/>
                <w:sz w:val="21"/>
                <w:szCs w:val="21"/>
                <w:highlight w:val="none"/>
              </w:rPr>
              <w:t>本项目防渗工程污染防治分区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126"/>
              <w:gridCol w:w="1301"/>
              <w:gridCol w:w="29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1340"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名称</w:t>
                  </w:r>
                </w:p>
              </w:tc>
              <w:tc>
                <w:tcPr>
                  <w:tcW w:w="820"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防渗区域</w:t>
                  </w:r>
                </w:p>
              </w:tc>
              <w:tc>
                <w:tcPr>
                  <w:tcW w:w="1884"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防渗技术要求</w:t>
                  </w:r>
                </w:p>
              </w:tc>
              <w:tc>
                <w:tcPr>
                  <w:tcW w:w="687"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防渗分区等级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34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柴油罐区</w:t>
                  </w:r>
                </w:p>
              </w:tc>
              <w:tc>
                <w:tcPr>
                  <w:tcW w:w="82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池底、池壁</w:t>
                  </w:r>
                </w:p>
              </w:tc>
              <w:tc>
                <w:tcPr>
                  <w:tcW w:w="1884"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等效黏土防渗层 Mb≥6.0m，K≤1×10</w:t>
                  </w:r>
                  <w:r>
                    <w:rPr>
                      <w:rFonts w:hint="default" w:ascii="Times New Roman" w:hAnsi="Times New Roman" w:eastAsia="宋体" w:cs="Times New Roman"/>
                      <w:sz w:val="21"/>
                      <w:szCs w:val="21"/>
                      <w:highlight w:val="none"/>
                      <w:vertAlign w:val="superscript"/>
                    </w:rPr>
                    <w:t>-7</w:t>
                  </w:r>
                  <w:r>
                    <w:rPr>
                      <w:rFonts w:hint="default" w:ascii="Times New Roman" w:hAnsi="Times New Roman" w:eastAsia="宋体" w:cs="Times New Roman"/>
                      <w:sz w:val="21"/>
                      <w:szCs w:val="21"/>
                      <w:highlight w:val="none"/>
                    </w:rPr>
                    <w:t>cm/s，或参照《危险废物填埋污染控制标准》</w:t>
                  </w:r>
                </w:p>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(GB18598-2001)</w:t>
                  </w:r>
                </w:p>
              </w:tc>
              <w:tc>
                <w:tcPr>
                  <w:tcW w:w="687"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重点防渗区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34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危险废物储存间</w:t>
                  </w:r>
                </w:p>
              </w:tc>
              <w:tc>
                <w:tcPr>
                  <w:tcW w:w="82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地面</w:t>
                  </w:r>
                </w:p>
              </w:tc>
              <w:tc>
                <w:tcPr>
                  <w:tcW w:w="1884"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687"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34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隔油沉淀池</w:t>
                  </w:r>
                </w:p>
              </w:tc>
              <w:tc>
                <w:tcPr>
                  <w:tcW w:w="82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池底、池壁</w:t>
                  </w:r>
                </w:p>
              </w:tc>
              <w:tc>
                <w:tcPr>
                  <w:tcW w:w="1884"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等效黏土防渗层 Mb≥1.5m，K≤1×10</w:t>
                  </w:r>
                  <w:r>
                    <w:rPr>
                      <w:rFonts w:hint="default" w:ascii="Times New Roman" w:hAnsi="Times New Roman" w:eastAsia="宋体" w:cs="Times New Roman"/>
                      <w:sz w:val="21"/>
                      <w:szCs w:val="21"/>
                      <w:highlight w:val="none"/>
                      <w:vertAlign w:val="superscript"/>
                    </w:rPr>
                    <w:t>-7</w:t>
                  </w:r>
                  <w:r>
                    <w:rPr>
                      <w:rFonts w:hint="default" w:ascii="Times New Roman" w:hAnsi="Times New Roman" w:eastAsia="宋体" w:cs="Times New Roman"/>
                      <w:sz w:val="21"/>
                      <w:szCs w:val="21"/>
                      <w:highlight w:val="none"/>
                    </w:rPr>
                    <w:t>cm/s，或参照《生活垃圾填埋场污染控制标准》(GB16889-2008)</w:t>
                  </w:r>
                </w:p>
              </w:tc>
              <w:tc>
                <w:tcPr>
                  <w:tcW w:w="687" w:type="pct"/>
                  <w:vMerge w:val="restar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一般防渗区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34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一般固体废物储存间</w:t>
                  </w:r>
                </w:p>
              </w:tc>
              <w:tc>
                <w:tcPr>
                  <w:tcW w:w="82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地面</w:t>
                  </w:r>
                </w:p>
              </w:tc>
              <w:tc>
                <w:tcPr>
                  <w:tcW w:w="1884"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c>
                <w:tcPr>
                  <w:tcW w:w="687" w:type="pct"/>
                  <w:vMerge w:val="continue"/>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34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厂区内其他硬化地面</w:t>
                  </w:r>
                </w:p>
              </w:tc>
              <w:tc>
                <w:tcPr>
                  <w:tcW w:w="820"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路面</w:t>
                  </w:r>
                </w:p>
              </w:tc>
              <w:tc>
                <w:tcPr>
                  <w:tcW w:w="1884"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一般地面硬化</w:t>
                  </w:r>
                </w:p>
              </w:tc>
              <w:tc>
                <w:tcPr>
                  <w:tcW w:w="687" w:type="pct"/>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简单</w:t>
                  </w:r>
                </w:p>
              </w:tc>
            </w:tr>
          </w:tbl>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本项目采取</w:t>
            </w:r>
            <w:r>
              <w:rPr>
                <w:rFonts w:hint="eastAsia" w:ascii="Times New Roman" w:hAnsi="Times New Roman" w:eastAsia="宋体" w:cs="Times New Roman"/>
                <w:sz w:val="24"/>
                <w:szCs w:val="24"/>
                <w:lang w:eastAsia="zh-CN"/>
              </w:rPr>
              <w:t>了</w:t>
            </w:r>
            <w:r>
              <w:rPr>
                <w:rFonts w:hint="default" w:ascii="Times New Roman" w:hAnsi="Times New Roman" w:eastAsia="宋体" w:cs="Times New Roman"/>
                <w:sz w:val="24"/>
                <w:szCs w:val="24"/>
              </w:rPr>
              <w:t>土壤和地下水防控措施，仅在事故情况或者非正常工况下对土壤和地下水产生影响，正常运行时一般不涉及土壤和地下水影响。且根据地下水导则和土壤导则相关内容，本项目无需制定监测计划。</w:t>
            </w:r>
          </w:p>
          <w:p>
            <w:pPr>
              <w:pStyle w:val="5"/>
              <w:spacing w:line="360" w:lineRule="auto"/>
              <w:outlineLvl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4.2.6生态</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项目用地位于</w:t>
            </w:r>
            <w:r>
              <w:rPr>
                <w:rFonts w:hint="default" w:ascii="Times New Roman" w:hAnsi="Times New Roman" w:eastAsia="宋体" w:cs="Times New Roman"/>
                <w:sz w:val="24"/>
                <w:szCs w:val="24"/>
                <w:lang w:val="en-US" w:eastAsia="zh-CN"/>
              </w:rPr>
              <w:t>辰溪县辰阳镇煤炭湾</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施工期开挖工程可能会</w:t>
            </w:r>
            <w:r>
              <w:rPr>
                <w:rFonts w:hint="default" w:ascii="Times New Roman" w:hAnsi="Times New Roman" w:eastAsia="宋体" w:cs="Times New Roman"/>
                <w:sz w:val="24"/>
                <w:szCs w:val="24"/>
              </w:rPr>
              <w:t>造成水土流失。为减缓项目运营期对生态环境的影响，应采取以下处理措施：</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1、加强厂区及其周围环境绿化，项目区域内裸地及时硬化、绿化。</w:t>
            </w:r>
            <w:r>
              <w:rPr>
                <w:rFonts w:hint="eastAsia" w:ascii="Times New Roman" w:hAnsi="Times New Roman" w:eastAsia="宋体" w:cs="Times New Roman"/>
                <w:sz w:val="24"/>
                <w:szCs w:val="24"/>
                <w:lang w:val="en-US" w:eastAsia="zh-CN"/>
              </w:rPr>
              <w:t>绿化</w:t>
            </w:r>
            <w:r>
              <w:rPr>
                <w:rFonts w:hint="default" w:ascii="Times New Roman" w:hAnsi="Times New Roman" w:eastAsia="宋体" w:cs="Times New Roman"/>
                <w:sz w:val="24"/>
                <w:szCs w:val="24"/>
              </w:rPr>
              <w:t>植被必须适应本地气候、土地利用条件，具有自然生长性和观赏性。项目应通过增加绿化面积、减少开挖面积等措施进行生态环境保护。绿化以树、灌、草等相结合的形式，起到降低噪声、吸附尘粒、净化空气、增加美观的作用，同时也可防止水土流失，改善区域的生态环境。</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初期雨水</w:t>
            </w:r>
            <w:r>
              <w:rPr>
                <w:rFonts w:hint="eastAsia" w:ascii="Times New Roman" w:hAnsi="Times New Roman" w:eastAsia="宋体" w:cs="Times New Roman"/>
                <w:sz w:val="24"/>
                <w:szCs w:val="24"/>
                <w:lang w:val="en-US" w:eastAsia="zh-CN"/>
              </w:rPr>
              <w:t>经</w:t>
            </w:r>
            <w:r>
              <w:rPr>
                <w:rFonts w:hint="eastAsia" w:ascii="Times New Roman" w:hAnsi="Times New Roman" w:eastAsia="宋体" w:cs="Times New Roman"/>
                <w:color w:val="0000FF"/>
                <w:sz w:val="24"/>
                <w:szCs w:val="24"/>
                <w:highlight w:val="none"/>
                <w:lang w:val="en-US" w:eastAsia="zh-CN"/>
              </w:rPr>
              <w:t>隔油</w:t>
            </w:r>
            <w:r>
              <w:rPr>
                <w:rFonts w:hint="default" w:ascii="Times New Roman" w:hAnsi="Times New Roman" w:eastAsia="宋体" w:cs="Times New Roman"/>
                <w:color w:val="0000FF"/>
                <w:sz w:val="24"/>
                <w:szCs w:val="24"/>
                <w:highlight w:val="none"/>
              </w:rPr>
              <w:t>沉淀池</w:t>
            </w:r>
            <w:r>
              <w:rPr>
                <w:rFonts w:hint="eastAsia" w:ascii="Times New Roman" w:hAnsi="Times New Roman" w:eastAsia="宋体" w:cs="Times New Roman"/>
                <w:color w:val="0000FF"/>
                <w:sz w:val="24"/>
                <w:szCs w:val="24"/>
                <w:highlight w:val="none"/>
                <w:lang w:val="en-US" w:eastAsia="zh-CN"/>
              </w:rPr>
              <w:t>沉淀后用于厂区内部洒水抑尘</w:t>
            </w:r>
            <w:r>
              <w:rPr>
                <w:rFonts w:hint="default" w:ascii="Times New Roman" w:hAnsi="Times New Roman" w:eastAsia="宋体" w:cs="Times New Roman"/>
                <w:color w:val="0000FF"/>
                <w:sz w:val="24"/>
                <w:szCs w:val="24"/>
                <w:highlight w:val="none"/>
              </w:rPr>
              <w:t>，不外排。</w:t>
            </w:r>
            <w:r>
              <w:rPr>
                <w:rFonts w:hint="default" w:ascii="Times New Roman" w:hAnsi="Times New Roman" w:eastAsia="宋体" w:cs="Times New Roman"/>
                <w:sz w:val="24"/>
                <w:szCs w:val="24"/>
              </w:rPr>
              <w:t>同时加强骨料堆棚管理，骨料不得露天堆放及散弃于顶棚遮盖的范围外，以减小地表径流对周围生态环境的影响。</w:t>
            </w:r>
          </w:p>
          <w:p>
            <w:pPr>
              <w:pStyle w:val="5"/>
              <w:spacing w:line="360" w:lineRule="auto"/>
              <w:outlineLvl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4.2.7环境风险</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1、评价依据</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（1）风险物质识别</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根据《建设项目环境风险评价技术导则》（HJ169-2018）附录B.1中表1“物质危险性标准”，结合各种物质的理化性质及毒理毒性，可识别出厂内的环境风险物质。</w:t>
            </w:r>
          </w:p>
          <w:p>
            <w:pPr>
              <w:pStyle w:val="25"/>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ascii="Times New Roman" w:hAnsi="Times New Roman" w:eastAsia="宋体" w:cs="Times New Roman"/>
                <w:b/>
                <w:bCs/>
                <w:sz w:val="21"/>
                <w:szCs w:val="21"/>
                <w:lang w:val="en-US" w:eastAsia="zh-CN"/>
              </w:rPr>
              <w:t>22</w:t>
            </w:r>
            <w:r>
              <w:rPr>
                <w:rFonts w:hint="default" w:ascii="Times New Roman" w:hAnsi="Times New Roman" w:eastAsia="宋体" w:cs="Times New Roman"/>
                <w:b/>
                <w:bCs/>
                <w:sz w:val="21"/>
                <w:szCs w:val="21"/>
              </w:rPr>
              <w:t xml:space="preserve"> 危险化学品重大危险源识别</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74"/>
              <w:gridCol w:w="1274"/>
              <w:gridCol w:w="1932"/>
              <w:gridCol w:w="15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803"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风险</w:t>
                  </w:r>
                  <w:r>
                    <w:rPr>
                      <w:rFonts w:hint="default" w:ascii="Times New Roman" w:hAnsi="Times New Roman" w:eastAsia="宋体" w:cs="Times New Roman"/>
                      <w:b/>
                      <w:bCs/>
                      <w:sz w:val="21"/>
                      <w:szCs w:val="21"/>
                    </w:rPr>
                    <w:t>单元</w:t>
                  </w:r>
                </w:p>
              </w:tc>
              <w:tc>
                <w:tcPr>
                  <w:tcW w:w="803"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风险物质</w:t>
                  </w:r>
                </w:p>
              </w:tc>
              <w:tc>
                <w:tcPr>
                  <w:tcW w:w="1218"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最大储存量q（t）</w:t>
                  </w:r>
                </w:p>
              </w:tc>
              <w:tc>
                <w:tcPr>
                  <w:tcW w:w="983"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临界量Q（t）</w:t>
                  </w:r>
                </w:p>
              </w:tc>
              <w:tc>
                <w:tcPr>
                  <w:tcW w:w="733" w:type="pct"/>
                  <w:noWrap w:val="0"/>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7" w:type="pct"/>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03" w:type="pct"/>
                  <w:noWrap w:val="0"/>
                  <w:vAlign w:val="center"/>
                </w:tcPr>
                <w:p>
                  <w:pPr>
                    <w:adjustRightInd w:val="0"/>
                    <w:snapToGrid w:val="0"/>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柴油罐</w:t>
                  </w:r>
                </w:p>
              </w:tc>
              <w:tc>
                <w:tcPr>
                  <w:tcW w:w="803" w:type="pct"/>
                  <w:noWrap w:val="0"/>
                  <w:vAlign w:val="center"/>
                </w:tcPr>
                <w:p>
                  <w:pPr>
                    <w:adjustRightInd w:val="0"/>
                    <w:snapToGrid w:val="0"/>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柴油</w:t>
                  </w:r>
                </w:p>
              </w:tc>
              <w:tc>
                <w:tcPr>
                  <w:tcW w:w="1218"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lang w:val="en-US" w:eastAsia="zh-CN"/>
                    </w:rPr>
                    <w:t>60</w:t>
                  </w:r>
                </w:p>
              </w:tc>
              <w:tc>
                <w:tcPr>
                  <w:tcW w:w="983"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2500</w:t>
                  </w:r>
                </w:p>
              </w:tc>
              <w:tc>
                <w:tcPr>
                  <w:tcW w:w="733" w:type="pct"/>
                  <w:noWrap w:val="0"/>
                  <w:vAlign w:val="center"/>
                </w:tcPr>
                <w:p>
                  <w:pPr>
                    <w:spacing w:line="240" w:lineRule="auto"/>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6" w:type="pct"/>
                  <w:gridSpan w:val="5"/>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总计（Σqn/Qn）</w:t>
                  </w:r>
                </w:p>
              </w:tc>
              <w:tc>
                <w:tcPr>
                  <w:tcW w:w="733" w:type="pct"/>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0.024</w:t>
                  </w:r>
                </w:p>
              </w:tc>
            </w:tr>
          </w:tbl>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（2）风险潜势初判</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项目Q＜1。根据《建设项目环境风险评价技术导则》（HJ/T169-2018）附录C.1.1中规定，本项目的风险潜势为Ⅰ。</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（3）评价等级</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根据《建设项目环境风险评价技术导则》（HJ/T169-2018）表1评价工作等级划分可知，本项目环境风险潜势为Ⅰ，评价工作等级为简单分析。</w:t>
            </w:r>
          </w:p>
          <w:p>
            <w:pPr>
              <w:pStyle w:val="24"/>
              <w:numPr>
                <w:ilvl w:val="0"/>
                <w:numId w:val="3"/>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环境敏感目</w:t>
            </w:r>
            <w:r>
              <w:rPr>
                <w:rFonts w:hint="default" w:ascii="Times New Roman" w:hAnsi="Times New Roman" w:eastAsia="宋体" w:cs="Times New Roman"/>
                <w:sz w:val="24"/>
                <w:szCs w:val="24"/>
                <w:lang w:val="en-US" w:eastAsia="zh-CN"/>
              </w:rPr>
              <w:t>标</w:t>
            </w:r>
          </w:p>
          <w:p>
            <w:pPr>
              <w:pStyle w:val="24"/>
              <w:numPr>
                <w:ilvl w:val="0"/>
                <w:numId w:val="0"/>
              </w:numPr>
              <w:spacing w:line="240" w:lineRule="auto"/>
              <w:ind w:leftChars="20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 xml:space="preserve">23  </w:t>
            </w:r>
            <w:r>
              <w:rPr>
                <w:rFonts w:hint="default" w:ascii="Times New Roman" w:hAnsi="Times New Roman" w:eastAsia="宋体" w:cs="Times New Roman"/>
                <w:b/>
                <w:bCs/>
                <w:sz w:val="21"/>
                <w:szCs w:val="21"/>
                <w:lang w:val="en-US" w:eastAsia="zh-CN"/>
              </w:rPr>
              <w:t>环境敏感目标</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2127"/>
              <w:gridCol w:w="857"/>
              <w:gridCol w:w="172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2" w:type="pct"/>
                  <w:noWrap w:val="0"/>
                  <w:vAlign w:val="center"/>
                </w:tcPr>
                <w:p>
                  <w:pPr>
                    <w:pStyle w:val="22"/>
                    <w:wordWrap w:val="0"/>
                    <w:spacing w:line="24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序号</w:t>
                  </w:r>
                </w:p>
              </w:tc>
              <w:tc>
                <w:tcPr>
                  <w:tcW w:w="1341"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保护目标名称</w:t>
                  </w:r>
                </w:p>
              </w:tc>
              <w:tc>
                <w:tcPr>
                  <w:tcW w:w="540"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方位</w:t>
                  </w:r>
                </w:p>
              </w:tc>
              <w:tc>
                <w:tcPr>
                  <w:tcW w:w="1090"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与厂界最近距离/m</w:t>
                  </w:r>
                </w:p>
              </w:tc>
              <w:tc>
                <w:tcPr>
                  <w:tcW w:w="1605" w:type="pct"/>
                  <w:noWrap w:val="0"/>
                  <w:vAlign w:val="center"/>
                </w:tcPr>
                <w:p>
                  <w:pPr>
                    <w:pStyle w:val="22"/>
                    <w:wordWrap w:val="0"/>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性质及规模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2"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①</w:t>
                  </w:r>
                </w:p>
              </w:tc>
              <w:tc>
                <w:tcPr>
                  <w:tcW w:w="1341"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1#民房</w:t>
                  </w:r>
                </w:p>
              </w:tc>
              <w:tc>
                <w:tcPr>
                  <w:tcW w:w="540" w:type="pct"/>
                  <w:noWrap w:val="0"/>
                  <w:vAlign w:val="center"/>
                </w:tcPr>
                <w:p>
                  <w:pPr>
                    <w:pStyle w:val="22"/>
                    <w:spacing w:line="24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N</w:t>
                  </w:r>
                </w:p>
              </w:tc>
              <w:tc>
                <w:tcPr>
                  <w:tcW w:w="109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160</w:t>
                  </w:r>
                </w:p>
              </w:tc>
              <w:tc>
                <w:tcPr>
                  <w:tcW w:w="1605" w:type="pct"/>
                  <w:noWrap w:val="0"/>
                  <w:vAlign w:val="center"/>
                </w:tcPr>
                <w:p>
                  <w:pPr>
                    <w:pStyle w:val="22"/>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居民，1户</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约3人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2"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②</w:t>
                  </w:r>
                </w:p>
              </w:tc>
              <w:tc>
                <w:tcPr>
                  <w:tcW w:w="1341"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沙坪村居民聚集区</w:t>
                  </w:r>
                </w:p>
              </w:tc>
              <w:tc>
                <w:tcPr>
                  <w:tcW w:w="54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NE</w:t>
                  </w:r>
                </w:p>
              </w:tc>
              <w:tc>
                <w:tcPr>
                  <w:tcW w:w="109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350</w:t>
                  </w:r>
                </w:p>
              </w:tc>
              <w:tc>
                <w:tcPr>
                  <w:tcW w:w="1605"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90</w:t>
                  </w:r>
                  <w:r>
                    <w:rPr>
                      <w:rFonts w:hint="default" w:ascii="Times New Roman" w:hAnsi="Times New Roman" w:eastAsia="宋体" w:cs="Times New Roman"/>
                      <w:sz w:val="21"/>
                      <w:szCs w:val="21"/>
                      <w:highlight w:val="none"/>
                    </w:rPr>
                    <w:t>户</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270</w:t>
                  </w:r>
                  <w:r>
                    <w:rPr>
                      <w:rFonts w:hint="default" w:ascii="Times New Roman" w:hAnsi="Times New Roman" w:eastAsia="宋体" w:cs="Times New Roman"/>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2"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③</w:t>
                  </w:r>
                </w:p>
              </w:tc>
              <w:tc>
                <w:tcPr>
                  <w:tcW w:w="1341"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周家沱居民聚集区</w:t>
                  </w:r>
                </w:p>
              </w:tc>
              <w:tc>
                <w:tcPr>
                  <w:tcW w:w="54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E</w:t>
                  </w:r>
                </w:p>
              </w:tc>
              <w:tc>
                <w:tcPr>
                  <w:tcW w:w="109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380</w:t>
                  </w:r>
                </w:p>
              </w:tc>
              <w:tc>
                <w:tcPr>
                  <w:tcW w:w="1605"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0户，3</w:t>
                  </w: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2"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④</w:t>
                  </w:r>
                </w:p>
              </w:tc>
              <w:tc>
                <w:tcPr>
                  <w:tcW w:w="1341"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煤炭湾居民聚集区</w:t>
                  </w:r>
                </w:p>
              </w:tc>
              <w:tc>
                <w:tcPr>
                  <w:tcW w:w="54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S</w:t>
                  </w:r>
                </w:p>
              </w:tc>
              <w:tc>
                <w:tcPr>
                  <w:tcW w:w="109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240</w:t>
                  </w:r>
                </w:p>
              </w:tc>
              <w:tc>
                <w:tcPr>
                  <w:tcW w:w="1605"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30</w:t>
                  </w:r>
                  <w:r>
                    <w:rPr>
                      <w:rFonts w:hint="default" w:ascii="Times New Roman" w:hAnsi="Times New Roman" w:eastAsia="宋体" w:cs="Times New Roman"/>
                      <w:sz w:val="21"/>
                      <w:szCs w:val="21"/>
                      <w:highlight w:val="none"/>
                    </w:rPr>
                    <w:t>户</w:t>
                  </w:r>
                  <w:r>
                    <w:rPr>
                      <w:rFonts w:hint="default" w:ascii="Times New Roman" w:hAnsi="Times New Roman" w:eastAsia="宋体" w:cs="Times New Roman"/>
                      <w:sz w:val="21"/>
                      <w:szCs w:val="21"/>
                      <w:highlight w:val="none"/>
                      <w:lang w:val="en-US" w:eastAsia="zh-CN"/>
                    </w:rPr>
                    <w:t>，90</w:t>
                  </w:r>
                  <w:r>
                    <w:rPr>
                      <w:rFonts w:hint="default" w:ascii="Times New Roman" w:hAnsi="Times New Roman" w:eastAsia="宋体" w:cs="Times New Roman"/>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2"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⑤</w:t>
                  </w:r>
                </w:p>
              </w:tc>
              <w:tc>
                <w:tcPr>
                  <w:tcW w:w="1341"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落水洞居民聚集区</w:t>
                  </w:r>
                </w:p>
              </w:tc>
              <w:tc>
                <w:tcPr>
                  <w:tcW w:w="54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SW</w:t>
                  </w:r>
                </w:p>
              </w:tc>
              <w:tc>
                <w:tcPr>
                  <w:tcW w:w="1090" w:type="pct"/>
                  <w:noWrap w:val="0"/>
                  <w:vAlign w:val="center"/>
                </w:tcPr>
                <w:p>
                  <w:pPr>
                    <w:pStyle w:val="22"/>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570</w:t>
                  </w:r>
                </w:p>
              </w:tc>
              <w:tc>
                <w:tcPr>
                  <w:tcW w:w="1605" w:type="pct"/>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居民，约</w:t>
                  </w:r>
                  <w:r>
                    <w:rPr>
                      <w:rFonts w:hint="default"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rPr>
                    <w:t>户</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60</w:t>
                  </w:r>
                  <w:r>
                    <w:rPr>
                      <w:rFonts w:hint="default" w:ascii="Times New Roman" w:hAnsi="Times New Roman" w:eastAsia="宋体" w:cs="Times New Roman"/>
                      <w:sz w:val="21"/>
                      <w:szCs w:val="21"/>
                      <w:highlight w:val="none"/>
                    </w:rPr>
                    <w:t>人</w:t>
                  </w:r>
                </w:p>
              </w:tc>
            </w:tr>
          </w:tbl>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3、环境风险识别</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本项目的危险物质主要为柴油，柴油罐位于厂区储罐区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该区域重点防渗，同时</w:t>
            </w:r>
            <w:r>
              <w:rPr>
                <w:rFonts w:hint="default" w:ascii="Times New Roman" w:hAnsi="Times New Roman" w:eastAsia="宋体" w:cs="Times New Roman"/>
                <w:sz w:val="24"/>
                <w:szCs w:val="24"/>
              </w:rPr>
              <w:t>该储罐拟设顶棚及围堰，如发生罐体破裂，柴油经围堰和</w:t>
            </w:r>
            <w:r>
              <w:rPr>
                <w:rFonts w:hint="eastAsia" w:ascii="Times New Roman" w:hAnsi="Times New Roman" w:eastAsia="宋体" w:cs="Times New Roman"/>
                <w:color w:val="0000FF"/>
                <w:sz w:val="24"/>
                <w:szCs w:val="24"/>
                <w:lang w:val="en-US" w:eastAsia="zh-CN"/>
              </w:rPr>
              <w:t>事故油池</w:t>
            </w:r>
            <w:r>
              <w:rPr>
                <w:rFonts w:hint="default" w:ascii="Times New Roman" w:hAnsi="Times New Roman" w:eastAsia="宋体" w:cs="Times New Roman"/>
                <w:sz w:val="24"/>
                <w:szCs w:val="24"/>
              </w:rPr>
              <w:t>收集，不排入外环境。</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4、环境风险分析</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罐体破裂，柴油经围堰和</w:t>
            </w:r>
            <w:r>
              <w:rPr>
                <w:rFonts w:hint="eastAsia" w:ascii="Times New Roman" w:hAnsi="Times New Roman" w:eastAsia="宋体" w:cs="Times New Roman"/>
                <w:color w:val="0000FF"/>
                <w:sz w:val="24"/>
                <w:szCs w:val="24"/>
                <w:lang w:val="en-US" w:eastAsia="zh-CN"/>
              </w:rPr>
              <w:t>事故油池</w:t>
            </w:r>
            <w:r>
              <w:rPr>
                <w:rFonts w:hint="default" w:ascii="Times New Roman" w:hAnsi="Times New Roman" w:eastAsia="宋体" w:cs="Times New Roman"/>
                <w:sz w:val="24"/>
                <w:szCs w:val="24"/>
              </w:rPr>
              <w:t>收集，不会排入外环境；废气处理设施失效导致废气污染周边环境；储油罐泄漏遇明火导致火灾。</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5、环境风险防范措施及应急要求</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（1）认真执行《危险化学品装卸作业一般安全守则》，建立可操作的安全管理制度，有专职人员负责安全消防工作。</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（2）储罐区配备消防设备和消防器材，并要定期检查。</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（3）储罐区内严禁烟火。入厂人员不得携带易燃、易爆物品。站内动用明火时，必须经安全保卫部门检查批准，并要有安全措施。</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（4）各种设备要做到定员、定岗、定机管理，对有特殊要求的设备，操作人员必须经过岗位训，并持有操作证方可上岗。</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（5）在现场备回收容器及</w:t>
            </w:r>
            <w:r>
              <w:rPr>
                <w:rFonts w:hint="default" w:ascii="Times New Roman" w:hAnsi="Times New Roman" w:eastAsia="宋体" w:cs="Times New Roman"/>
                <w:sz w:val="24"/>
                <w:szCs w:val="24"/>
                <w:lang w:val="en-US" w:eastAsia="zh-CN"/>
              </w:rPr>
              <w:t>消防沙等</w:t>
            </w:r>
            <w:r>
              <w:rPr>
                <w:rFonts w:hint="default" w:ascii="Times New Roman" w:hAnsi="Times New Roman" w:eastAsia="宋体" w:cs="Times New Roman"/>
                <w:sz w:val="24"/>
                <w:szCs w:val="24"/>
              </w:rPr>
              <w:t>，作业前，要检查确认所有设备设施及环境处于安全工作状态。发生火灾时用铁铲或水桶将砂子散开，覆盖火焰，使其熄灭。</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（6）相关人员应认真巡视检查。严防跑、冒、滴、漏、凝管等情况发生，油罐地坑内如有油、积水，应及排净。</w:t>
            </w:r>
          </w:p>
          <w:p>
            <w:pPr>
              <w:pStyle w:val="24"/>
              <w:spacing w:line="360" w:lineRule="auto"/>
              <w:ind w:firstLine="360"/>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（7）储罐区设置一个围堰</w:t>
            </w:r>
            <w:r>
              <w:rPr>
                <w:rFonts w:hint="eastAsia" w:ascii="Times New Roman" w:hAnsi="Times New Roman" w:eastAsia="宋体" w:cs="Times New Roman"/>
                <w:color w:val="0000FF"/>
                <w:sz w:val="24"/>
                <w:szCs w:val="24"/>
                <w:lang w:val="en-US" w:eastAsia="zh-CN"/>
              </w:rPr>
              <w:t>及一个事故油池（有效容积约9m</w:t>
            </w:r>
            <w:r>
              <w:rPr>
                <w:rFonts w:hint="eastAsia" w:ascii="Times New Roman" w:hAnsi="Times New Roman" w:eastAsia="宋体" w:cs="Times New Roman"/>
                <w:color w:val="0000FF"/>
                <w:sz w:val="24"/>
                <w:szCs w:val="24"/>
                <w:vertAlign w:val="superscript"/>
                <w:lang w:val="en-US" w:eastAsia="zh-CN"/>
              </w:rPr>
              <w:t>3</w:t>
            </w:r>
            <w:r>
              <w:rPr>
                <w:rFonts w:hint="eastAsia"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0000FF"/>
                <w:sz w:val="24"/>
                <w:szCs w:val="24"/>
              </w:rPr>
              <w:t>。</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6、分析结论</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采取以上措施后，柴油不会流入外环境；废气处理设备稳定长期运行；消防事故</w:t>
            </w:r>
            <w:r>
              <w:rPr>
                <w:rFonts w:hint="default" w:ascii="Times New Roman" w:hAnsi="Times New Roman" w:eastAsia="宋体" w:cs="Times New Roman"/>
                <w:sz w:val="24"/>
                <w:szCs w:val="24"/>
                <w:lang w:eastAsia="zh-CN"/>
              </w:rPr>
              <w:t>概率</w:t>
            </w:r>
            <w:r>
              <w:rPr>
                <w:rFonts w:hint="default" w:ascii="Times New Roman" w:hAnsi="Times New Roman" w:eastAsia="宋体" w:cs="Times New Roman"/>
                <w:sz w:val="24"/>
                <w:szCs w:val="24"/>
              </w:rPr>
              <w:t>降至最低</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措施可行。</w:t>
            </w:r>
          </w:p>
          <w:p>
            <w:pPr>
              <w:pStyle w:val="25"/>
              <w:spacing w:line="24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ascii="Times New Roman" w:hAnsi="Times New Roman" w:eastAsia="宋体" w:cs="Times New Roman"/>
                <w:b/>
                <w:bCs/>
                <w:sz w:val="21"/>
                <w:szCs w:val="21"/>
                <w:lang w:val="en-US" w:eastAsia="zh-CN"/>
              </w:rPr>
              <w:t>24</w:t>
            </w:r>
            <w:r>
              <w:rPr>
                <w:rFonts w:hint="default" w:ascii="Times New Roman" w:hAnsi="Times New Roman" w:eastAsia="宋体" w:cs="Times New Roman"/>
                <w:b/>
                <w:bCs/>
                <w:sz w:val="21"/>
                <w:szCs w:val="21"/>
              </w:rPr>
              <w:t xml:space="preserve"> 建设项目环境风险简单分析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763"/>
              <w:gridCol w:w="1618"/>
              <w:gridCol w:w="741"/>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建设项目名称</w:t>
                  </w:r>
                </w:p>
              </w:tc>
              <w:tc>
                <w:tcPr>
                  <w:tcW w:w="3657" w:type="pct"/>
                  <w:gridSpan w:val="4"/>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en-US" w:eastAsia="zh-CN"/>
                    </w:rPr>
                    <w:t>辰溪县鼎鸿建材有限公司商品混凝土搅拌站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建设地点</w:t>
                  </w:r>
                </w:p>
              </w:tc>
              <w:tc>
                <w:tcPr>
                  <w:tcW w:w="3657" w:type="pct"/>
                  <w:gridSpan w:val="4"/>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highlight w:val="none"/>
                      <w:lang w:val="en-US" w:eastAsia="zh-CN"/>
                    </w:rPr>
                    <w:t>辰溪县辰阳镇煤炭湾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地理坐标</w:t>
                  </w:r>
                </w:p>
              </w:tc>
              <w:tc>
                <w:tcPr>
                  <w:tcW w:w="481"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经度</w:t>
                  </w:r>
                </w:p>
              </w:tc>
              <w:tc>
                <w:tcPr>
                  <w:tcW w:w="102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highlight w:val="none"/>
                    </w:rPr>
                    <w:t>110.21403909</w:t>
                  </w:r>
                  <w:r>
                    <w:rPr>
                      <w:rFonts w:hint="default" w:ascii="Times New Roman" w:hAnsi="Times New Roman" w:eastAsia="宋体" w:cs="Times New Roman"/>
                      <w:spacing w:val="6"/>
                      <w:sz w:val="21"/>
                      <w:szCs w:val="21"/>
                      <w:highlight w:val="none"/>
                      <w:lang w:val="en-US" w:eastAsia="zh-CN"/>
                    </w:rPr>
                    <w:t>°</w:t>
                  </w:r>
                </w:p>
              </w:tc>
              <w:tc>
                <w:tcPr>
                  <w:tcW w:w="467"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纬度</w:t>
                  </w:r>
                </w:p>
              </w:tc>
              <w:tc>
                <w:tcPr>
                  <w:tcW w:w="1687"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highlight w:val="none"/>
                    </w:rPr>
                    <w:t>28.04395532</w:t>
                  </w:r>
                  <w:r>
                    <w:rPr>
                      <w:rFonts w:hint="default" w:ascii="Times New Roman" w:hAnsi="Times New Roman" w:eastAsia="宋体" w:cs="Times New Roman"/>
                      <w:spacing w:val="6"/>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主要危险物质及分布</w:t>
                  </w:r>
                </w:p>
              </w:tc>
              <w:tc>
                <w:tcPr>
                  <w:tcW w:w="3657" w:type="pct"/>
                  <w:gridSpan w:val="4"/>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主要风险物质为柴油，储存在储罐区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环境影响途径及危害后果（大气、地表水、地下水等）</w:t>
                  </w:r>
                </w:p>
              </w:tc>
              <w:tc>
                <w:tcPr>
                  <w:tcW w:w="3657" w:type="pct"/>
                  <w:gridSpan w:val="4"/>
                  <w:noWrap w:val="0"/>
                  <w:vAlign w:val="center"/>
                </w:tcPr>
                <w:p>
                  <w:pPr>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罐体破裂</w:t>
                  </w:r>
                  <w:r>
                    <w:rPr>
                      <w:rFonts w:hint="eastAsia" w:ascii="Times New Roman" w:hAnsi="Times New Roman" w:eastAsia="宋体" w:cs="Times New Roman"/>
                      <w:sz w:val="21"/>
                      <w:szCs w:val="21"/>
                      <w:lang w:val="en-US" w:eastAsia="zh-CN"/>
                    </w:rPr>
                    <w:t>后</w:t>
                  </w:r>
                  <w:r>
                    <w:rPr>
                      <w:rFonts w:hint="default" w:ascii="Times New Roman" w:hAnsi="Times New Roman" w:eastAsia="宋体" w:cs="Times New Roman"/>
                      <w:sz w:val="21"/>
                      <w:szCs w:val="21"/>
                    </w:rPr>
                    <w:t>柴油会顺着地面蔓延至</w:t>
                  </w:r>
                  <w:r>
                    <w:rPr>
                      <w:rFonts w:hint="eastAsia" w:ascii="Times New Roman" w:hAnsi="Times New Roman" w:eastAsia="宋体" w:cs="Times New Roman"/>
                      <w:sz w:val="21"/>
                      <w:szCs w:val="21"/>
                      <w:lang w:val="en-US" w:eastAsia="zh-CN"/>
                    </w:rPr>
                    <w:t>周边沟渠</w:t>
                  </w:r>
                  <w:r>
                    <w:rPr>
                      <w:rFonts w:hint="default" w:ascii="Times New Roman" w:hAnsi="Times New Roman" w:eastAsia="宋体" w:cs="Times New Roman"/>
                      <w:sz w:val="21"/>
                      <w:szCs w:val="21"/>
                    </w:rPr>
                    <w:t>，最终排入外环境，最终污染周边水环境；废气处理设施失效导致废气污染周边环境；储油罐泄漏遇明火导致火灾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风险防范措施要求</w:t>
                  </w:r>
                </w:p>
              </w:tc>
              <w:tc>
                <w:tcPr>
                  <w:tcW w:w="3657" w:type="pct"/>
                  <w:gridSpan w:val="4"/>
                  <w:noWrap w:val="0"/>
                  <w:vAlign w:val="center"/>
                </w:tcPr>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①认真执行《危险化学品装卸作业一般安全守则》，建立可操作的安全管理制度，有专职人员负责安全消防工作；②储罐区要配备消防设备和消防器材，</w:t>
                  </w:r>
                  <w:r>
                    <w:rPr>
                      <w:rFonts w:hint="eastAsia" w:ascii="Times New Roman" w:hAnsi="Times New Roman" w:eastAsia="宋体" w:cs="Times New Roman"/>
                      <w:sz w:val="21"/>
                      <w:szCs w:val="21"/>
                      <w:lang w:val="en-US" w:eastAsia="zh-CN"/>
                    </w:rPr>
                    <w:t>非事故状态下不得随意使用</w:t>
                  </w:r>
                  <w:r>
                    <w:rPr>
                      <w:rFonts w:hint="default" w:ascii="Times New Roman" w:hAnsi="Times New Roman" w:eastAsia="宋体" w:cs="Times New Roman"/>
                      <w:sz w:val="21"/>
                      <w:szCs w:val="21"/>
                    </w:rPr>
                    <w:t>，并要定期检查；③储罐区内严禁烟火。入厂人员不得携带易燃、易爆物品。站内动用明火时，必须经安全保卫部门检查批准，并要有安全措施；④各种设备</w:t>
                  </w:r>
                  <w:r>
                    <w:rPr>
                      <w:rFonts w:hint="eastAsia" w:ascii="Times New Roman" w:hAnsi="Times New Roman" w:eastAsia="宋体" w:cs="Times New Roman"/>
                      <w:sz w:val="21"/>
                      <w:szCs w:val="21"/>
                      <w:lang w:val="en-US" w:eastAsia="zh-CN"/>
                    </w:rPr>
                    <w:t>运行</w:t>
                  </w:r>
                  <w:r>
                    <w:rPr>
                      <w:rFonts w:hint="default" w:ascii="Times New Roman" w:hAnsi="Times New Roman" w:eastAsia="宋体" w:cs="Times New Roman"/>
                      <w:sz w:val="21"/>
                      <w:szCs w:val="21"/>
                    </w:rPr>
                    <w:t>要做到定员、定岗、定机管理，对有特殊要求的设备，操作人员必须经过岗位训，并持有操作证方可上岗；⑤在现场备回收容器及</w:t>
                  </w:r>
                  <w:r>
                    <w:rPr>
                      <w:rFonts w:hint="default" w:ascii="Times New Roman" w:hAnsi="Times New Roman" w:eastAsia="宋体" w:cs="Times New Roman"/>
                      <w:sz w:val="21"/>
                      <w:szCs w:val="21"/>
                      <w:lang w:val="en-US" w:eastAsia="zh-CN"/>
                    </w:rPr>
                    <w:t>消防沙</w:t>
                  </w:r>
                  <w:r>
                    <w:rPr>
                      <w:rFonts w:hint="default" w:ascii="Times New Roman" w:hAnsi="Times New Roman" w:eastAsia="宋体" w:cs="Times New Roman"/>
                      <w:sz w:val="21"/>
                      <w:szCs w:val="21"/>
                    </w:rPr>
                    <w:t>，发生火灾时用</w:t>
                  </w:r>
                  <w:r>
                    <w:rPr>
                      <w:rFonts w:hint="eastAsia" w:ascii="Times New Roman" w:hAnsi="Times New Roman" w:eastAsia="宋体" w:cs="Times New Roman"/>
                      <w:sz w:val="21"/>
                      <w:szCs w:val="21"/>
                      <w:lang w:val="en-US" w:eastAsia="zh-CN"/>
                    </w:rPr>
                    <w:t>消防沙</w:t>
                  </w:r>
                  <w:r>
                    <w:rPr>
                      <w:rFonts w:hint="default" w:ascii="Times New Roman" w:hAnsi="Times New Roman" w:eastAsia="宋体" w:cs="Times New Roman"/>
                      <w:sz w:val="21"/>
                      <w:szCs w:val="21"/>
                    </w:rPr>
                    <w:t>覆盖火焰，使其熄灭；⑥相关人员应认真巡视检查。严防跑、冒、滴、漏、凝管等情况发生，油罐地坑内如有油、积水，应及排净；</w:t>
                  </w:r>
                  <w:r>
                    <w:rPr>
                      <w:rFonts w:hint="default" w:ascii="Times New Roman" w:hAnsi="Times New Roman" w:eastAsia="宋体" w:cs="Times New Roman"/>
                      <w:color w:val="0000FF"/>
                      <w:sz w:val="21"/>
                      <w:szCs w:val="21"/>
                    </w:rPr>
                    <w:t>⑦储罐区设置围堰</w:t>
                  </w:r>
                  <w:r>
                    <w:rPr>
                      <w:rFonts w:hint="eastAsia" w:ascii="Times New Roman" w:hAnsi="Times New Roman" w:eastAsia="宋体" w:cs="Times New Roman"/>
                      <w:color w:val="0000FF"/>
                      <w:sz w:val="21"/>
                      <w:szCs w:val="21"/>
                      <w:lang w:val="en-US" w:eastAsia="zh-CN"/>
                    </w:rPr>
                    <w:t>与事故油池。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填表说明（列出项目相关信息及评价说明）：</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①风险物质识别：依据《建设项目环境风险评价技术导则》（HJ169-2018）附录B.1中表1“物质危险性标准”；</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②Q值：项目Q=0.0</w:t>
                  </w:r>
                  <w:r>
                    <w:rPr>
                      <w:rFonts w:hint="default" w:ascii="Times New Roman" w:hAnsi="Times New Roman" w:eastAsia="宋体" w:cs="Times New Roman"/>
                      <w:sz w:val="21"/>
                      <w:szCs w:val="21"/>
                      <w:lang w:val="en-US" w:eastAsia="zh-CN"/>
                    </w:rPr>
                    <w:t>24</w:t>
                  </w:r>
                  <w:r>
                    <w:rPr>
                      <w:rFonts w:hint="default" w:ascii="Times New Roman" w:hAnsi="Times New Roman" w:eastAsia="宋体" w:cs="Times New Roman"/>
                      <w:sz w:val="21"/>
                      <w:szCs w:val="21"/>
                    </w:rPr>
                    <w:t>＜1。根据《建设项目环境风险评价技术导则》（HJ/T169-2018）附录C.1.1中规定，当Q＜1时，该项目环境风险潜势为Ⅰ。</w:t>
                  </w:r>
                </w:p>
              </w:tc>
            </w:tr>
          </w:tbl>
          <w:p>
            <w:pPr>
              <w:pStyle w:val="24"/>
              <w:ind w:firstLine="420"/>
              <w:rPr>
                <w:rFonts w:hint="default" w:ascii="Times New Roman" w:hAnsi="Times New Roman" w:eastAsia="宋体" w:cs="Times New Roman"/>
                <w:sz w:val="21"/>
                <w:szCs w:val="21"/>
              </w:rPr>
            </w:pPr>
          </w:p>
        </w:tc>
      </w:tr>
    </w:tbl>
    <w:p>
      <w:pPr>
        <w:pStyle w:val="3"/>
        <w:keepLines/>
        <w:overflowPunct/>
        <w:snapToGrid/>
        <w:spacing w:before="0" w:after="0" w:line="360" w:lineRule="auto"/>
        <w:ind w:left="0" w:firstLine="0"/>
        <w:jc w:val="both"/>
        <w:outlineLvl w:val="9"/>
        <w:rPr>
          <w:rFonts w:hint="default" w:ascii="Times New Roman" w:hAnsi="Times New Roman" w:eastAsia="宋体" w:cs="Times New Roman"/>
          <w:b w:val="0"/>
          <w:color w:val="auto"/>
          <w:lang w:val="en-US" w:eastAsia="zh-CN"/>
        </w:rPr>
        <w:sectPr>
          <w:pgSz w:w="11906" w:h="16839"/>
          <w:pgMar w:top="400" w:right="1017" w:bottom="1014" w:left="1299" w:header="0" w:footer="854"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宋体" w:cs="Times New Roman"/>
          <w:b w:val="0"/>
          <w:color w:val="auto"/>
          <w:lang w:val="en-US" w:eastAsia="zh-CN"/>
        </w:rPr>
        <w:t xml:space="preserve">                                                                                                                                                                                                                                                                                                                                                                                                                                                                                                                                                                                                                                                                                                                                                                                                                                                                                                                                                                                                                                                                                                                                                                                                                                                                                                                                                                                                                                                                                                                                      </w:t>
      </w:r>
    </w:p>
    <w:p>
      <w:pPr>
        <w:pStyle w:val="3"/>
        <w:keepLines/>
        <w:overflowPunct/>
        <w:snapToGrid/>
        <w:spacing w:before="0" w:after="0" w:line="360" w:lineRule="auto"/>
        <w:ind w:left="0" w:firstLine="0"/>
        <w:jc w:val="center"/>
        <w:rPr>
          <w:rFonts w:hint="default" w:ascii="Times New Roman" w:hAnsi="Times New Roman" w:eastAsia="宋体" w:cs="Times New Roman"/>
          <w:b w:val="0"/>
          <w:bCs w:val="0"/>
          <w:snapToGrid w:val="0"/>
          <w:color w:val="000000"/>
          <w:spacing w:val="7"/>
          <w:kern w:val="0"/>
          <w:sz w:val="30"/>
          <w:szCs w:val="30"/>
          <w:highlight w:val="none"/>
        </w:rPr>
      </w:pPr>
      <w:bookmarkStart w:id="75" w:name="_Toc29758"/>
      <w:r>
        <w:rPr>
          <w:rFonts w:hint="default" w:ascii="Times New Roman" w:hAnsi="Times New Roman" w:eastAsia="宋体" w:cs="Times New Roman"/>
          <w:b w:val="0"/>
          <w:bCs w:val="0"/>
          <w:snapToGrid w:val="0"/>
          <w:color w:val="000000"/>
          <w:spacing w:val="7"/>
          <w:kern w:val="0"/>
          <w:sz w:val="30"/>
          <w:szCs w:val="30"/>
          <w:highlight w:val="none"/>
        </w:rPr>
        <w:t>五、</w:t>
      </w:r>
      <w:bookmarkStart w:id="76" w:name="_Hlk54167917"/>
      <w:r>
        <w:rPr>
          <w:rFonts w:hint="default" w:ascii="Times New Roman" w:hAnsi="Times New Roman" w:eastAsia="宋体" w:cs="Times New Roman"/>
          <w:b w:val="0"/>
          <w:bCs w:val="0"/>
          <w:snapToGrid w:val="0"/>
          <w:color w:val="000000"/>
          <w:spacing w:val="7"/>
          <w:kern w:val="0"/>
          <w:sz w:val="30"/>
          <w:szCs w:val="30"/>
          <w:highlight w:val="none"/>
        </w:rPr>
        <w:t>环境保护措施监督检查清单</w:t>
      </w:r>
      <w:bookmarkEnd w:id="66"/>
      <w:bookmarkEnd w:id="67"/>
      <w:bookmarkEnd w:id="68"/>
      <w:bookmarkEnd w:id="69"/>
      <w:bookmarkEnd w:id="70"/>
      <w:bookmarkEnd w:id="71"/>
      <w:bookmarkEnd w:id="72"/>
      <w:bookmarkEnd w:id="73"/>
      <w:bookmarkEnd w:id="74"/>
      <w:bookmarkEnd w:id="75"/>
      <w:bookmarkEnd w:id="76"/>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03"/>
        <w:gridCol w:w="1412"/>
        <w:gridCol w:w="2396"/>
        <w:gridCol w:w="22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tcBorders>
              <w:tl2br w:val="single" w:color="auto" w:sz="4" w:space="0"/>
            </w:tcBorders>
            <w:noWrap w:val="0"/>
            <w:vAlign w:val="top"/>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w:t>
            </w:r>
          </w:p>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要素</w:t>
            </w:r>
          </w:p>
        </w:tc>
        <w:tc>
          <w:tcPr>
            <w:tcW w:w="190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排放口</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编号、</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/污染源</w:t>
            </w:r>
          </w:p>
        </w:tc>
        <w:tc>
          <w:tcPr>
            <w:tcW w:w="1412"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污染物项目</w:t>
            </w:r>
          </w:p>
        </w:tc>
        <w:tc>
          <w:tcPr>
            <w:tcW w:w="2396"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环境保护措施</w:t>
            </w:r>
          </w:p>
        </w:tc>
        <w:tc>
          <w:tcPr>
            <w:tcW w:w="2285"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restart"/>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大气环境</w:t>
            </w:r>
          </w:p>
        </w:tc>
        <w:tc>
          <w:tcPr>
            <w:tcW w:w="1903"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lang w:val="en-US" w:eastAsia="zh-CN"/>
              </w:rPr>
            </w:pPr>
            <w:r>
              <w:rPr>
                <w:rFonts w:hint="default" w:ascii="Times New Roman" w:hAnsi="Times New Roman" w:eastAsia="宋体" w:cs="Times New Roman"/>
                <w:sz w:val="24"/>
                <w:szCs w:val="24"/>
                <w:highlight w:val="none"/>
              </w:rPr>
              <w:t>运输车辆动力起尘</w:t>
            </w:r>
          </w:p>
        </w:tc>
        <w:tc>
          <w:tcPr>
            <w:tcW w:w="1412"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z w:val="24"/>
                <w:szCs w:val="24"/>
                <w:highlight w:val="none"/>
              </w:rPr>
              <w:t>粉尘</w:t>
            </w:r>
          </w:p>
        </w:tc>
        <w:tc>
          <w:tcPr>
            <w:tcW w:w="2396" w:type="dxa"/>
            <w:noWrap w:val="0"/>
            <w:vAlign w:val="center"/>
          </w:tcPr>
          <w:p>
            <w:pPr>
              <w:spacing w:line="240" w:lineRule="auto"/>
              <w:jc w:val="left"/>
              <w:rPr>
                <w:rFonts w:hint="eastAsia"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z w:val="24"/>
                <w:szCs w:val="24"/>
              </w:rPr>
              <w:t>定期洒水降尘</w:t>
            </w:r>
            <w:r>
              <w:rPr>
                <w:rFonts w:hint="eastAsia" w:ascii="Times New Roman" w:hAnsi="Times New Roman" w:eastAsia="宋体" w:cs="Times New Roman"/>
                <w:sz w:val="24"/>
                <w:szCs w:val="24"/>
                <w:lang w:eastAsia="zh-CN"/>
              </w:rPr>
              <w:t>。</w:t>
            </w:r>
          </w:p>
        </w:tc>
        <w:tc>
          <w:tcPr>
            <w:tcW w:w="2285" w:type="dxa"/>
            <w:vMerge w:val="restart"/>
            <w:noWrap w:val="0"/>
            <w:vAlign w:val="center"/>
          </w:tcPr>
          <w:p>
            <w:pPr>
              <w:spacing w:line="240" w:lineRule="auto"/>
              <w:jc w:val="left"/>
              <w:rPr>
                <w:rFonts w:hint="eastAsia" w:ascii="Times New Roman" w:hAnsi="Times New Roman" w:eastAsia="宋体" w:cs="Times New Roman"/>
                <w:color w:val="auto"/>
                <w:sz w:val="24"/>
                <w:szCs w:val="24"/>
                <w:lang w:val="en-US" w:eastAsia="zh-CN"/>
              </w:rPr>
            </w:pPr>
            <w:bookmarkStart w:id="81" w:name="_GoBack"/>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水泥工业大气污染物排放标准</w:t>
            </w:r>
            <w:r>
              <w:rPr>
                <w:rFonts w:hint="eastAsia" w:ascii="Times New Roman" w:hAnsi="Times New Roman" w:eastAsia="宋体" w:cs="Times New Roman"/>
                <w:color w:val="auto"/>
                <w:sz w:val="24"/>
                <w:szCs w:val="24"/>
                <w:lang w:val="en-US" w:eastAsia="zh-CN"/>
              </w:rPr>
              <w:t>》</w:t>
            </w:r>
          </w:p>
          <w:p>
            <w:pPr>
              <w:spacing w:line="24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（GB4915-2013）</w:t>
            </w:r>
          </w:p>
          <w:p>
            <w:pPr>
              <w:spacing w:line="240" w:lineRule="auto"/>
              <w:jc w:val="left"/>
              <w:rPr>
                <w:rFonts w:hint="default" w:eastAsia="宋体"/>
                <w:lang w:val="en-US" w:eastAsia="zh-CN"/>
              </w:rPr>
            </w:pPr>
            <w:r>
              <w:rPr>
                <w:rFonts w:hint="eastAsia" w:eastAsia="宋体" w:cs="Times New Roman"/>
                <w:color w:val="auto"/>
                <w:sz w:val="24"/>
                <w:szCs w:val="24"/>
                <w:lang w:val="en-US" w:eastAsia="zh-CN"/>
              </w:rPr>
              <w:t>C</w:t>
            </w:r>
            <w:r>
              <w:rPr>
                <w:rFonts w:hint="eastAsia" w:eastAsia="宋体" w:cs="Times New Roman"/>
                <w:color w:val="auto"/>
                <w:sz w:val="24"/>
                <w:szCs w:val="24"/>
                <w:vertAlign w:val="subscript"/>
                <w:lang w:val="en-US" w:eastAsia="zh-CN"/>
              </w:rPr>
              <w:t>颗粒物</w:t>
            </w:r>
            <w:r>
              <w:rPr>
                <w:rFonts w:hint="eastAsia" w:ascii="Times New Roman" w:hAnsi="Times New Roman" w:eastAsia="宋体" w:cs="Times New Roman"/>
                <w:color w:val="auto"/>
                <w:sz w:val="24"/>
                <w:szCs w:val="24"/>
                <w:lang w:val="en-US" w:eastAsia="zh-CN"/>
              </w:rPr>
              <w:t>﹤0.5mg/m</w:t>
            </w:r>
            <w:r>
              <w:rPr>
                <w:rFonts w:hint="eastAsia" w:ascii="Times New Roman" w:hAnsi="Times New Roman" w:eastAsia="宋体" w:cs="Times New Roman"/>
                <w:color w:val="auto"/>
                <w:sz w:val="24"/>
                <w:szCs w:val="24"/>
                <w:vertAlign w:val="superscript"/>
                <w:lang w:val="en-US" w:eastAsia="zh-CN"/>
              </w:rPr>
              <w:t>3</w:t>
            </w:r>
            <w:bookmarkEnd w:id="8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lang w:val="en-US" w:eastAsia="zh-CN"/>
              </w:rPr>
            </w:pPr>
            <w:r>
              <w:rPr>
                <w:rFonts w:hint="default" w:ascii="Times New Roman" w:hAnsi="Times New Roman" w:eastAsia="宋体" w:cs="Times New Roman"/>
                <w:sz w:val="24"/>
                <w:szCs w:val="24"/>
                <w:highlight w:val="none"/>
                <w:lang w:val="en-US"/>
              </w:rPr>
              <w:t>堆场</w:t>
            </w:r>
          </w:p>
        </w:tc>
        <w:tc>
          <w:tcPr>
            <w:tcW w:w="1412"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z w:val="24"/>
                <w:szCs w:val="24"/>
                <w:highlight w:val="none"/>
              </w:rPr>
              <w:t>粉尘</w:t>
            </w:r>
          </w:p>
        </w:tc>
        <w:tc>
          <w:tcPr>
            <w:tcW w:w="2396" w:type="dxa"/>
            <w:noWrap w:val="0"/>
            <w:vAlign w:val="center"/>
          </w:tcPr>
          <w:p>
            <w:pPr>
              <w:spacing w:line="240" w:lineRule="auto"/>
              <w:jc w:val="left"/>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z w:val="24"/>
                <w:szCs w:val="24"/>
              </w:rPr>
              <w:t>堆场设棚，三面围挡及喷雾降尘装置，不定期喷雾降尘，粉尘阻隔率可达</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粉尘排放高度约4m。</w:t>
            </w:r>
          </w:p>
        </w:tc>
        <w:tc>
          <w:tcPr>
            <w:tcW w:w="2285" w:type="dxa"/>
            <w:vMerge w:val="continue"/>
            <w:noWrap w:val="0"/>
            <w:vAlign w:val="center"/>
          </w:tcPr>
          <w:p>
            <w:pPr>
              <w:adjustRightInd w:val="0"/>
              <w:snapToGrid w:val="0"/>
              <w:spacing w:line="240" w:lineRule="auto"/>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z w:val="24"/>
                <w:szCs w:val="24"/>
                <w:highlight w:val="none"/>
                <w:lang w:val="en-US"/>
              </w:rPr>
              <w:t>筒仓</w:t>
            </w:r>
          </w:p>
        </w:tc>
        <w:tc>
          <w:tcPr>
            <w:tcW w:w="1412"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z w:val="24"/>
                <w:szCs w:val="24"/>
                <w:highlight w:val="none"/>
              </w:rPr>
              <w:t>粉尘</w:t>
            </w:r>
          </w:p>
        </w:tc>
        <w:tc>
          <w:tcPr>
            <w:tcW w:w="2396" w:type="dxa"/>
            <w:noWrap w:val="0"/>
            <w:vAlign w:val="center"/>
          </w:tcPr>
          <w:p>
            <w:pPr>
              <w:spacing w:line="240" w:lineRule="auto"/>
              <w:jc w:val="left"/>
              <w:rPr>
                <w:rFonts w:hint="default" w:ascii="Times New Roman" w:hAnsi="Times New Roman" w:eastAsia="宋体" w:cs="Times New Roman"/>
                <w:snapToGrid w:val="0"/>
                <w:color w:val="000000"/>
                <w:kern w:val="0"/>
                <w:sz w:val="24"/>
                <w:szCs w:val="24"/>
                <w:highlight w:val="none"/>
                <w:lang w:val="en-US"/>
              </w:rPr>
            </w:pPr>
            <w:r>
              <w:rPr>
                <w:rFonts w:hint="default" w:ascii="Times New Roman" w:hAnsi="Times New Roman" w:eastAsia="宋体" w:cs="Times New Roman"/>
                <w:sz w:val="24"/>
                <w:szCs w:val="24"/>
                <w:highlight w:val="none"/>
                <w:lang w:val="en-US" w:eastAsia="zh-CN"/>
              </w:rPr>
              <w:t>筒仓下料</w:t>
            </w:r>
            <w:r>
              <w:rPr>
                <w:rFonts w:hint="default" w:ascii="Times New Roman" w:hAnsi="Times New Roman" w:eastAsia="宋体" w:cs="Times New Roman"/>
                <w:sz w:val="24"/>
                <w:szCs w:val="24"/>
                <w:highlight w:val="none"/>
              </w:rPr>
              <w:t>均在密闭环境下进行，产生的粉尘经密闭收集后，统一经“</w:t>
            </w:r>
            <w:r>
              <w:rPr>
                <w:rFonts w:hint="default" w:ascii="Times New Roman" w:hAnsi="Times New Roman" w:eastAsia="宋体" w:cs="Times New Roman"/>
                <w:sz w:val="24"/>
                <w:szCs w:val="24"/>
                <w:highlight w:val="none"/>
                <w:lang w:val="en-US" w:eastAsia="zh-CN"/>
              </w:rPr>
              <w:t>脉冲反吹布袋除尘器</w:t>
            </w:r>
            <w:r>
              <w:rPr>
                <w:rFonts w:hint="eastAsia" w:ascii="Times New Roman" w:hAnsi="Times New Roman" w:eastAsia="宋体" w:cs="Times New Roman"/>
                <w:sz w:val="24"/>
                <w:szCs w:val="24"/>
                <w:highlight w:val="none"/>
                <w:lang w:val="en-US" w:eastAsia="zh-CN"/>
              </w:rPr>
              <w:t>（除尘效率约99.7%）</w:t>
            </w:r>
            <w:r>
              <w:rPr>
                <w:rFonts w:hint="default" w:ascii="Times New Roman" w:hAnsi="Times New Roman" w:eastAsia="宋体" w:cs="Times New Roman"/>
                <w:sz w:val="24"/>
                <w:szCs w:val="24"/>
                <w:highlight w:val="none"/>
              </w:rPr>
              <w:t>”处理，再由</w:t>
            </w:r>
            <w:r>
              <w:rPr>
                <w:rFonts w:hint="eastAsia" w:ascii="Times New Roman" w:hAnsi="Times New Roman" w:eastAsia="宋体" w:cs="Times New Roman"/>
                <w:sz w:val="24"/>
                <w:szCs w:val="24"/>
                <w:highlight w:val="none"/>
                <w:lang w:val="en-US" w:eastAsia="zh-CN"/>
              </w:rPr>
              <w:t>筒仓呼吸口</w:t>
            </w:r>
            <w:r>
              <w:rPr>
                <w:rFonts w:hint="default" w:ascii="Times New Roman" w:hAnsi="Times New Roman" w:eastAsia="宋体" w:cs="Times New Roman"/>
                <w:sz w:val="24"/>
                <w:szCs w:val="24"/>
                <w:highlight w:val="none"/>
              </w:rPr>
              <w:t>排放</w:t>
            </w:r>
            <w:r>
              <w:rPr>
                <w:rFonts w:hint="eastAsia" w:ascii="Times New Roman" w:hAnsi="Times New Roman" w:eastAsia="宋体" w:cs="Times New Roman"/>
                <w:color w:val="0000FF"/>
                <w:sz w:val="24"/>
                <w:szCs w:val="24"/>
                <w:highlight w:val="none"/>
                <w:lang w:val="en-US" w:eastAsia="zh-CN"/>
              </w:rPr>
              <w:t>至车间，经车间上方的喷淋装置（除尘效率约80%）进一步喷淋后无组织排放。</w:t>
            </w:r>
          </w:p>
        </w:tc>
        <w:tc>
          <w:tcPr>
            <w:tcW w:w="2285" w:type="dxa"/>
            <w:vMerge w:val="continue"/>
            <w:noWrap w:val="0"/>
            <w:vAlign w:val="center"/>
          </w:tcPr>
          <w:p>
            <w:pPr>
              <w:pStyle w:val="19"/>
              <w:spacing w:line="240" w:lineRule="auto"/>
              <w:ind w:left="0" w:leftChars="0" w:firstLine="0" w:firstLineChars="0"/>
              <w:rPr>
                <w:rFonts w:hint="default" w:ascii="Times New Roman" w:hAnsi="Times New Roman" w:eastAsia="宋体" w:cs="Times New Roman"/>
                <w:sz w:val="24"/>
                <w:szCs w:val="24"/>
                <w:vertAlign w:val="superscrip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eastAsia" w:ascii="Times New Roman" w:hAnsi="Times New Roman" w:eastAsia="宋体" w:cs="Times New Roman"/>
                <w:snapToGrid w:val="0"/>
                <w:color w:val="000000"/>
                <w:kern w:val="0"/>
                <w:sz w:val="24"/>
                <w:szCs w:val="24"/>
                <w:highlight w:val="none"/>
                <w:lang w:val="en-US" w:eastAsia="zh-CN"/>
              </w:rPr>
            </w:pPr>
            <w:r>
              <w:rPr>
                <w:rFonts w:hint="default" w:ascii="Times New Roman" w:hAnsi="Times New Roman" w:eastAsia="宋体" w:cs="Times New Roman"/>
                <w:sz w:val="24"/>
                <w:szCs w:val="24"/>
                <w:highlight w:val="none"/>
                <w:lang w:val="en-US"/>
              </w:rPr>
              <w:t>搅拌</w:t>
            </w:r>
            <w:r>
              <w:rPr>
                <w:rFonts w:hint="eastAsia" w:ascii="Times New Roman" w:hAnsi="Times New Roman" w:eastAsia="宋体" w:cs="Times New Roman"/>
                <w:sz w:val="24"/>
                <w:szCs w:val="24"/>
                <w:highlight w:val="none"/>
                <w:lang w:val="en-US" w:eastAsia="zh-CN"/>
              </w:rPr>
              <w:t>机</w:t>
            </w:r>
          </w:p>
        </w:tc>
        <w:tc>
          <w:tcPr>
            <w:tcW w:w="1412"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z w:val="24"/>
                <w:szCs w:val="24"/>
                <w:highlight w:val="none"/>
              </w:rPr>
              <w:t>粉尘</w:t>
            </w:r>
          </w:p>
        </w:tc>
        <w:tc>
          <w:tcPr>
            <w:tcW w:w="2396" w:type="dxa"/>
            <w:noWrap w:val="0"/>
            <w:vAlign w:val="center"/>
          </w:tcPr>
          <w:p>
            <w:pPr>
              <w:spacing w:line="240" w:lineRule="auto"/>
              <w:jc w:val="left"/>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z w:val="24"/>
                <w:szCs w:val="24"/>
                <w:highlight w:val="none"/>
              </w:rPr>
              <w:t>通过引风机引入重力+</w:t>
            </w:r>
            <w:r>
              <w:rPr>
                <w:rFonts w:hint="eastAsia" w:ascii="Times New Roman" w:hAnsi="Times New Roman" w:eastAsia="宋体" w:cs="Times New Roman"/>
                <w:sz w:val="24"/>
                <w:szCs w:val="24"/>
                <w:highlight w:val="none"/>
                <w:lang w:val="en-US" w:eastAsia="zh-CN"/>
              </w:rPr>
              <w:t>除尘装置（除尘效率约99.7%）</w:t>
            </w:r>
            <w:r>
              <w:rPr>
                <w:rFonts w:hint="default" w:ascii="Times New Roman" w:hAnsi="Times New Roman" w:eastAsia="宋体" w:cs="Times New Roman"/>
                <w:sz w:val="24"/>
                <w:szCs w:val="24"/>
                <w:highlight w:val="none"/>
              </w:rPr>
              <w:t>中进行处理后通过排放</w:t>
            </w:r>
            <w:r>
              <w:rPr>
                <w:rFonts w:hint="eastAsia" w:ascii="Times New Roman" w:hAnsi="Times New Roman" w:eastAsia="宋体" w:cs="Times New Roman"/>
                <w:color w:val="0000FF"/>
                <w:sz w:val="24"/>
                <w:szCs w:val="24"/>
                <w:highlight w:val="none"/>
                <w:lang w:val="en-US" w:eastAsia="zh-CN"/>
              </w:rPr>
              <w:t>至车间，经车间上方的喷淋装置（除尘效率约80%）进一步喷淋后无组织排放。</w:t>
            </w:r>
          </w:p>
        </w:tc>
        <w:tc>
          <w:tcPr>
            <w:tcW w:w="2285" w:type="dxa"/>
            <w:vMerge w:val="continue"/>
            <w:noWrap w:val="0"/>
            <w:vAlign w:val="center"/>
          </w:tcPr>
          <w:p>
            <w:pPr>
              <w:adjustRightInd w:val="0"/>
              <w:snapToGrid w:val="0"/>
              <w:jc w:val="center"/>
              <w:rPr>
                <w:rFonts w:hint="default" w:ascii="Times New Roman" w:hAnsi="Times New Roman" w:eastAsia="宋体" w:cs="Times New Roman"/>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柴油储罐</w:t>
            </w:r>
          </w:p>
        </w:tc>
        <w:tc>
          <w:tcPr>
            <w:tcW w:w="1412" w:type="dxa"/>
            <w:noWrap w:val="0"/>
            <w:vAlign w:val="center"/>
          </w:tcPr>
          <w:p>
            <w:pPr>
              <w:adjustRightInd w:val="0"/>
              <w:snapToGrid w:val="0"/>
              <w:jc w:val="center"/>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非甲烷总烃</w:t>
            </w:r>
          </w:p>
        </w:tc>
        <w:tc>
          <w:tcPr>
            <w:tcW w:w="2396" w:type="dxa"/>
            <w:noWrap w:val="0"/>
            <w:vAlign w:val="center"/>
          </w:tcPr>
          <w:p>
            <w:pPr>
              <w:spacing w:line="240" w:lineRule="auto"/>
              <w:jc w:val="left"/>
              <w:rPr>
                <w:rFonts w:hint="eastAsia"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w:t>
            </w:r>
          </w:p>
        </w:tc>
        <w:tc>
          <w:tcPr>
            <w:tcW w:w="2285" w:type="dxa"/>
            <w:noWrap w:val="0"/>
            <w:vAlign w:val="center"/>
          </w:tcPr>
          <w:p>
            <w:pPr>
              <w:adjustRightInd w:val="0"/>
              <w:snapToGrid w:val="0"/>
              <w:jc w:val="center"/>
              <w:rPr>
                <w:rFonts w:hint="default" w:ascii="Times New Roman" w:hAnsi="Times New Roman" w:eastAsia="宋体" w:cs="Times New Roman"/>
                <w:b/>
                <w:snapToGrid w:val="0"/>
                <w:color w:val="0000FF"/>
                <w:kern w:val="0"/>
                <w:sz w:val="21"/>
                <w:szCs w:val="21"/>
                <w:lang w:val="en-US" w:eastAsia="zh-CN"/>
              </w:rPr>
            </w:pPr>
            <w:r>
              <w:rPr>
                <w:rFonts w:hint="default" w:ascii="Times New Roman" w:hAnsi="Times New Roman" w:eastAsia="宋体" w:cs="Times New Roman"/>
                <w:b/>
                <w:snapToGrid w:val="0"/>
                <w:color w:val="0000FF"/>
                <w:kern w:val="0"/>
                <w:sz w:val="21"/>
                <w:szCs w:val="21"/>
                <w:lang w:val="en-US" w:eastAsia="zh-CN"/>
              </w:rPr>
              <w:t xml:space="preserve"> </w:t>
            </w:r>
            <w:r>
              <w:rPr>
                <w:rFonts w:hint="default" w:ascii="Times New Roman" w:hAnsi="Times New Roman" w:eastAsia="宋体" w:cs="Times New Roman"/>
                <w:color w:val="0000FF"/>
                <w:sz w:val="24"/>
                <w:szCs w:val="24"/>
                <w:lang w:val="en-US" w:eastAsia="zh-CN"/>
              </w:rPr>
              <w:t>《大气污染物综合排放标准》（GB16297-1996）</w:t>
            </w:r>
          </w:p>
          <w:p>
            <w:pPr>
              <w:adjustRightInd w:val="0"/>
              <w:snapToGrid w:val="0"/>
              <w:jc w:val="center"/>
              <w:rPr>
                <w:rFonts w:hint="default" w:ascii="Times New Roman" w:hAnsi="Times New Roman" w:eastAsia="宋体" w:cs="Times New Roman"/>
                <w:color w:val="0000FF"/>
                <w:sz w:val="24"/>
                <w:szCs w:val="24"/>
                <w:highlight w:val="yellow"/>
                <w:lang w:val="en-US"/>
              </w:rPr>
            </w:pPr>
            <w:r>
              <w:rPr>
                <w:rFonts w:hint="eastAsia" w:eastAsia="宋体" w:cs="Times New Roman"/>
                <w:color w:val="0000FF"/>
                <w:sz w:val="24"/>
                <w:szCs w:val="24"/>
                <w:lang w:val="en-US" w:eastAsia="zh-CN"/>
              </w:rPr>
              <w:t>C</w:t>
            </w:r>
            <w:r>
              <w:rPr>
                <w:rFonts w:hint="eastAsia" w:eastAsia="宋体" w:cs="Times New Roman"/>
                <w:color w:val="0000FF"/>
                <w:sz w:val="24"/>
                <w:szCs w:val="24"/>
                <w:vertAlign w:val="subscript"/>
                <w:lang w:val="en-US" w:eastAsia="zh-CN"/>
              </w:rPr>
              <w:t>NMHC</w:t>
            </w:r>
            <w:r>
              <w:rPr>
                <w:rFonts w:hint="eastAsia" w:ascii="Times New Roman" w:hAnsi="Times New Roman" w:eastAsia="宋体" w:cs="Times New Roman"/>
                <w:color w:val="0000FF"/>
                <w:sz w:val="24"/>
                <w:szCs w:val="24"/>
                <w:lang w:val="en-US" w:eastAsia="zh-CN"/>
              </w:rPr>
              <w:t>﹤4.0mg/m</w:t>
            </w:r>
            <w:r>
              <w:rPr>
                <w:rFonts w:hint="eastAsia" w:ascii="Times New Roman" w:hAnsi="Times New Roman" w:eastAsia="宋体" w:cs="Times New Roman"/>
                <w:color w:val="0000FF"/>
                <w:sz w:val="24"/>
                <w:szCs w:val="24"/>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食堂油烟</w:t>
            </w:r>
          </w:p>
        </w:tc>
        <w:tc>
          <w:tcPr>
            <w:tcW w:w="1412"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rPr>
            </w:pPr>
            <w:r>
              <w:rPr>
                <w:rFonts w:hint="default" w:ascii="Times New Roman" w:hAnsi="Times New Roman" w:eastAsia="宋体" w:cs="Times New Roman"/>
                <w:sz w:val="24"/>
                <w:szCs w:val="24"/>
                <w:highlight w:val="none"/>
              </w:rPr>
              <w:t>油烟</w:t>
            </w:r>
          </w:p>
        </w:tc>
        <w:tc>
          <w:tcPr>
            <w:tcW w:w="2396" w:type="dxa"/>
            <w:noWrap w:val="0"/>
            <w:vAlign w:val="center"/>
          </w:tcPr>
          <w:p>
            <w:pPr>
              <w:pStyle w:val="22"/>
              <w:spacing w:line="240" w:lineRule="auto"/>
              <w:jc w:val="left"/>
              <w:rPr>
                <w:rFonts w:hint="default" w:ascii="Times New Roman" w:hAnsi="Times New Roman" w:eastAsia="宋体" w:cs="Times New Roman"/>
                <w:bCs/>
                <w:color w:val="000000"/>
                <w:kern w:val="2"/>
                <w:sz w:val="24"/>
                <w:szCs w:val="24"/>
                <w:highlight w:val="none"/>
                <w:lang w:val="en-US" w:eastAsia="zh-CN" w:bidi="ar-SA"/>
              </w:rPr>
            </w:pPr>
            <w:r>
              <w:rPr>
                <w:rStyle w:val="29"/>
                <w:rFonts w:hint="default" w:ascii="Times New Roman" w:hAnsi="Times New Roman" w:eastAsia="宋体" w:cs="Times New Roman"/>
                <w:color w:val="000000"/>
                <w:sz w:val="24"/>
                <w:szCs w:val="24"/>
                <w:highlight w:val="none"/>
              </w:rPr>
              <w:t>采用油烟净化器处理后引至楼顶排放</w:t>
            </w:r>
            <w:r>
              <w:rPr>
                <w:rFonts w:hint="eastAsia" w:ascii="Times New Roman" w:hAnsi="Times New Roman" w:eastAsia="宋体" w:cs="Times New Roman"/>
                <w:sz w:val="24"/>
                <w:szCs w:val="24"/>
                <w:lang w:eastAsia="zh-CN"/>
              </w:rPr>
              <w:t>。</w:t>
            </w:r>
          </w:p>
        </w:tc>
        <w:tc>
          <w:tcPr>
            <w:tcW w:w="2285"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《饮食业油烟排放标准（试行）》</w:t>
            </w:r>
          </w:p>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（GB18483-2001）</w:t>
            </w:r>
          </w:p>
          <w:p>
            <w:pPr>
              <w:pStyle w:val="19"/>
              <w:spacing w:line="240" w:lineRule="auto"/>
              <w:ind w:left="0" w:leftChars="0" w:firstLine="0" w:firstLineChars="0"/>
              <w:rPr>
                <w:rFonts w:hint="default"/>
              </w:rPr>
            </w:pPr>
            <w:r>
              <w:rPr>
                <w:rFonts w:hint="eastAsia" w:eastAsia="宋体" w:cs="Times New Roman"/>
                <w:sz w:val="24"/>
                <w:szCs w:val="24"/>
                <w:lang w:val="en-US" w:eastAsia="zh-CN"/>
              </w:rPr>
              <w:t>C</w:t>
            </w:r>
            <w:r>
              <w:rPr>
                <w:rFonts w:hint="default" w:ascii="Times New Roman" w:hAnsi="Times New Roman" w:eastAsia="宋体" w:cs="Times New Roman"/>
                <w:sz w:val="24"/>
                <w:szCs w:val="24"/>
                <w:vertAlign w:val="subscript"/>
                <w:lang w:val="en-US" w:eastAsia="zh-CN"/>
              </w:rPr>
              <w:t>油烟</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0mg/m</w:t>
            </w:r>
            <w:r>
              <w:rPr>
                <w:rFonts w:hint="default" w:ascii="Times New Roman" w:hAnsi="Times New Roman" w:eastAsia="宋体" w:cs="Times New Roman"/>
                <w:sz w:val="24"/>
                <w:szCs w:val="24"/>
                <w:vertAlign w:val="superscript"/>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restart"/>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地表水环境</w:t>
            </w:r>
          </w:p>
        </w:tc>
        <w:tc>
          <w:tcPr>
            <w:tcW w:w="1903" w:type="dxa"/>
            <w:noWrap w:val="0"/>
            <w:vAlign w:val="center"/>
          </w:tcPr>
          <w:p>
            <w:pPr>
              <w:adjustRightInd w:val="0"/>
              <w:snapToGrid w:val="0"/>
              <w:jc w:val="center"/>
              <w:rPr>
                <w:rFonts w:hint="default" w:ascii="Times New Roman" w:hAnsi="Times New Roman" w:eastAsia="宋体" w:cs="Times New Roman"/>
                <w:snapToGrid w:val="0"/>
                <w:color w:val="000000"/>
                <w:kern w:val="0"/>
                <w:sz w:val="24"/>
                <w:szCs w:val="24"/>
                <w:highlight w:val="none"/>
                <w:lang w:val="en-US" w:eastAsia="zh-CN"/>
              </w:rPr>
            </w:pPr>
            <w:r>
              <w:rPr>
                <w:rFonts w:hint="eastAsia" w:ascii="Times New Roman" w:hAnsi="Times New Roman" w:eastAsia="宋体" w:cs="Times New Roman"/>
                <w:sz w:val="24"/>
                <w:szCs w:val="24"/>
                <w:highlight w:val="none"/>
                <w:lang w:val="en-US" w:eastAsia="zh-CN"/>
              </w:rPr>
              <w:t>堆料区和搅拌区</w:t>
            </w:r>
            <w:r>
              <w:rPr>
                <w:rFonts w:hint="default" w:ascii="Times New Roman" w:hAnsi="Times New Roman" w:eastAsia="宋体" w:cs="Times New Roman"/>
                <w:sz w:val="24"/>
                <w:szCs w:val="24"/>
                <w:highlight w:val="none"/>
              </w:rPr>
              <w:t>初期雨水</w:t>
            </w:r>
          </w:p>
        </w:tc>
        <w:tc>
          <w:tcPr>
            <w:tcW w:w="1412" w:type="dxa"/>
            <w:noWrap w:val="0"/>
            <w:vAlign w:val="center"/>
          </w:tcPr>
          <w:p>
            <w:pPr>
              <w:pStyle w:val="22"/>
              <w:spacing w:line="240" w:lineRule="auto"/>
              <w:rPr>
                <w:rFonts w:hint="default" w:ascii="Times New Roman" w:hAnsi="Times New Roman" w:eastAsia="宋体" w:cs="Times New Roman"/>
                <w:bCs/>
                <w:color w:val="000000"/>
                <w:kern w:val="2"/>
                <w:sz w:val="24"/>
                <w:szCs w:val="24"/>
                <w:lang w:val="en-US" w:eastAsia="zh-CN" w:bidi="ar-SA"/>
              </w:rPr>
            </w:pPr>
            <w:r>
              <w:rPr>
                <w:rStyle w:val="29"/>
                <w:rFonts w:hint="default" w:ascii="Times New Roman" w:hAnsi="Times New Roman" w:eastAsia="宋体" w:cs="Times New Roman"/>
                <w:color w:val="000000"/>
                <w:sz w:val="24"/>
                <w:szCs w:val="24"/>
              </w:rPr>
              <w:t>SS、石油类</w:t>
            </w:r>
          </w:p>
        </w:tc>
        <w:tc>
          <w:tcPr>
            <w:tcW w:w="2396" w:type="dxa"/>
            <w:noWrap w:val="0"/>
            <w:vAlign w:val="center"/>
          </w:tcPr>
          <w:p>
            <w:pPr>
              <w:spacing w:line="240" w:lineRule="auto"/>
              <w:jc w:val="left"/>
              <w:rPr>
                <w:rFonts w:hint="default"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color w:val="0000FF"/>
                <w:sz w:val="24"/>
                <w:szCs w:val="24"/>
                <w:highlight w:val="none"/>
                <w:lang w:val="en-US" w:eastAsia="zh-CN"/>
              </w:rPr>
              <w:t>经1#隔油</w:t>
            </w:r>
            <w:r>
              <w:rPr>
                <w:rFonts w:hint="default" w:ascii="Times New Roman" w:hAnsi="Times New Roman" w:eastAsia="宋体" w:cs="Times New Roman"/>
                <w:color w:val="0000FF"/>
                <w:sz w:val="24"/>
                <w:szCs w:val="24"/>
                <w:highlight w:val="none"/>
              </w:rPr>
              <w:t>沉淀池</w:t>
            </w:r>
            <w:r>
              <w:rPr>
                <w:rFonts w:hint="eastAsia" w:ascii="Times New Roman" w:hAnsi="Times New Roman" w:eastAsia="宋体" w:cs="Times New Roman"/>
                <w:color w:val="0000FF"/>
                <w:sz w:val="24"/>
                <w:szCs w:val="24"/>
                <w:highlight w:val="none"/>
                <w:lang w:val="en-US" w:eastAsia="zh-CN"/>
              </w:rPr>
              <w:t>沉淀后用于厂区内部洒水抑尘</w:t>
            </w:r>
            <w:r>
              <w:rPr>
                <w:rFonts w:hint="default" w:ascii="Times New Roman" w:hAnsi="Times New Roman" w:eastAsia="宋体" w:cs="Times New Roman"/>
                <w:color w:val="0000FF"/>
                <w:sz w:val="24"/>
                <w:szCs w:val="24"/>
                <w:highlight w:val="none"/>
              </w:rPr>
              <w:t>，不外排。</w:t>
            </w:r>
          </w:p>
        </w:tc>
        <w:tc>
          <w:tcPr>
            <w:tcW w:w="2285" w:type="dxa"/>
            <w:vMerge w:val="restart"/>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搅拌区地面冲洗</w:t>
            </w:r>
            <w:r>
              <w:rPr>
                <w:rFonts w:hint="default" w:ascii="Times New Roman" w:hAnsi="Times New Roman" w:eastAsia="宋体" w:cs="Times New Roman"/>
                <w:sz w:val="24"/>
                <w:szCs w:val="24"/>
                <w:highlight w:val="none"/>
              </w:rPr>
              <w:t>废水</w:t>
            </w:r>
          </w:p>
        </w:tc>
        <w:tc>
          <w:tcPr>
            <w:tcW w:w="1412" w:type="dxa"/>
            <w:noWrap w:val="0"/>
            <w:vAlign w:val="center"/>
          </w:tcPr>
          <w:p>
            <w:pPr>
              <w:pStyle w:val="22"/>
              <w:spacing w:line="240" w:lineRule="auto"/>
              <w:rPr>
                <w:rFonts w:hint="default" w:ascii="Times New Roman" w:hAnsi="Times New Roman" w:eastAsia="宋体" w:cs="Times New Roman"/>
                <w:bCs/>
                <w:color w:val="000000"/>
                <w:kern w:val="2"/>
                <w:sz w:val="24"/>
                <w:szCs w:val="24"/>
                <w:lang w:val="en-US" w:eastAsia="zh-CN" w:bidi="ar-SA"/>
              </w:rPr>
            </w:pPr>
            <w:r>
              <w:rPr>
                <w:rStyle w:val="29"/>
                <w:rFonts w:hint="default" w:ascii="Times New Roman" w:hAnsi="Times New Roman" w:eastAsia="宋体" w:cs="Times New Roman"/>
                <w:color w:val="000000"/>
                <w:sz w:val="24"/>
                <w:szCs w:val="24"/>
              </w:rPr>
              <w:t>SS、石油类</w:t>
            </w:r>
          </w:p>
        </w:tc>
        <w:tc>
          <w:tcPr>
            <w:tcW w:w="2396" w:type="dxa"/>
            <w:noWrap w:val="0"/>
            <w:vAlign w:val="center"/>
          </w:tcPr>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隔油沉淀池处理后</w:t>
            </w:r>
            <w:r>
              <w:rPr>
                <w:rFonts w:hint="eastAsia" w:ascii="Times New Roman" w:hAnsi="Times New Roman" w:eastAsia="宋体" w:cs="Times New Roman"/>
                <w:sz w:val="24"/>
                <w:szCs w:val="24"/>
                <w:lang w:val="en-US" w:eastAsia="zh-CN"/>
              </w:rPr>
              <w:t>回用</w:t>
            </w:r>
            <w:r>
              <w:rPr>
                <w:rFonts w:hint="default" w:ascii="Times New Roman" w:hAnsi="Times New Roman" w:eastAsia="宋体" w:cs="Times New Roman"/>
                <w:sz w:val="24"/>
                <w:szCs w:val="24"/>
                <w:lang w:val="en-US" w:eastAsia="zh-CN"/>
              </w:rPr>
              <w:t>，不外排</w:t>
            </w:r>
            <w:r>
              <w:rPr>
                <w:rFonts w:hint="eastAsia" w:ascii="Times New Roman" w:hAnsi="Times New Roman" w:eastAsia="宋体" w:cs="Times New Roman"/>
                <w:sz w:val="24"/>
                <w:szCs w:val="24"/>
                <w:lang w:eastAsia="zh-CN"/>
              </w:rPr>
              <w:t>。</w:t>
            </w:r>
          </w:p>
        </w:tc>
        <w:tc>
          <w:tcPr>
            <w:tcW w:w="2285"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停车场初期雨水</w:t>
            </w:r>
          </w:p>
        </w:tc>
        <w:tc>
          <w:tcPr>
            <w:tcW w:w="1412" w:type="dxa"/>
            <w:noWrap w:val="0"/>
            <w:vAlign w:val="center"/>
          </w:tcPr>
          <w:p>
            <w:pPr>
              <w:pStyle w:val="22"/>
              <w:spacing w:line="240" w:lineRule="auto"/>
              <w:rPr>
                <w:rFonts w:hint="default" w:ascii="Times New Roman" w:hAnsi="Times New Roman" w:eastAsia="宋体" w:cs="Times New Roman"/>
                <w:bCs/>
                <w:color w:val="000000"/>
                <w:kern w:val="2"/>
                <w:sz w:val="24"/>
                <w:szCs w:val="24"/>
                <w:lang w:val="en-US" w:eastAsia="zh-CN" w:bidi="ar-SA"/>
              </w:rPr>
            </w:pPr>
            <w:r>
              <w:rPr>
                <w:rStyle w:val="29"/>
                <w:rFonts w:hint="default" w:ascii="Times New Roman" w:hAnsi="Times New Roman" w:eastAsia="宋体" w:cs="Times New Roman"/>
                <w:color w:val="000000"/>
                <w:sz w:val="24"/>
                <w:szCs w:val="24"/>
              </w:rPr>
              <w:t>SS、石油类</w:t>
            </w:r>
          </w:p>
        </w:tc>
        <w:tc>
          <w:tcPr>
            <w:tcW w:w="2396" w:type="dxa"/>
            <w:noWrap w:val="0"/>
            <w:vAlign w:val="center"/>
          </w:tcPr>
          <w:p>
            <w:pPr>
              <w:spacing w:line="240" w:lineRule="auto"/>
              <w:jc w:val="left"/>
              <w:rPr>
                <w:rFonts w:hint="default"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color w:val="0000FF"/>
                <w:sz w:val="24"/>
                <w:szCs w:val="24"/>
                <w:highlight w:val="none"/>
                <w:lang w:val="en-US" w:eastAsia="zh-CN"/>
              </w:rPr>
              <w:t>经2#隔油</w:t>
            </w:r>
            <w:r>
              <w:rPr>
                <w:rFonts w:hint="default" w:ascii="Times New Roman" w:hAnsi="Times New Roman" w:eastAsia="宋体" w:cs="Times New Roman"/>
                <w:color w:val="0000FF"/>
                <w:sz w:val="24"/>
                <w:szCs w:val="24"/>
                <w:highlight w:val="none"/>
              </w:rPr>
              <w:t>沉淀池</w:t>
            </w:r>
            <w:r>
              <w:rPr>
                <w:rFonts w:hint="eastAsia" w:ascii="Times New Roman" w:hAnsi="Times New Roman" w:eastAsia="宋体" w:cs="Times New Roman"/>
                <w:color w:val="0000FF"/>
                <w:sz w:val="24"/>
                <w:szCs w:val="24"/>
                <w:highlight w:val="none"/>
                <w:lang w:val="en-US" w:eastAsia="zh-CN"/>
              </w:rPr>
              <w:t>沉淀后用于厂区内部洒水抑尘</w:t>
            </w:r>
            <w:r>
              <w:rPr>
                <w:rFonts w:hint="default" w:ascii="Times New Roman" w:hAnsi="Times New Roman" w:eastAsia="宋体" w:cs="Times New Roman"/>
                <w:color w:val="0000FF"/>
                <w:sz w:val="24"/>
                <w:szCs w:val="24"/>
                <w:highlight w:val="none"/>
              </w:rPr>
              <w:t>，不外排。</w:t>
            </w:r>
          </w:p>
        </w:tc>
        <w:tc>
          <w:tcPr>
            <w:tcW w:w="2285"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eastAsia" w:ascii="Times New Roman" w:hAnsi="Times New Roman" w:eastAsia="宋体" w:cs="Times New Roman"/>
                <w:snapToGrid w:val="0"/>
                <w:color w:val="000000"/>
                <w:kern w:val="0"/>
                <w:sz w:val="24"/>
                <w:szCs w:val="24"/>
                <w:highlight w:val="none"/>
                <w:lang w:val="en-US" w:eastAsia="zh-CN"/>
              </w:rPr>
            </w:pPr>
            <w:r>
              <w:rPr>
                <w:rFonts w:hint="eastAsia" w:ascii="Times New Roman" w:hAnsi="Times New Roman" w:eastAsia="宋体" w:cs="Times New Roman"/>
                <w:sz w:val="24"/>
                <w:szCs w:val="24"/>
                <w:highlight w:val="none"/>
                <w:lang w:val="en-US" w:eastAsia="zh-CN"/>
              </w:rPr>
              <w:t>进出车辆清洗</w:t>
            </w:r>
            <w:r>
              <w:rPr>
                <w:rFonts w:hint="default" w:ascii="Times New Roman" w:hAnsi="Times New Roman" w:eastAsia="宋体" w:cs="Times New Roman"/>
                <w:sz w:val="24"/>
                <w:szCs w:val="24"/>
                <w:highlight w:val="none"/>
              </w:rPr>
              <w:t>废水</w:t>
            </w:r>
          </w:p>
        </w:tc>
        <w:tc>
          <w:tcPr>
            <w:tcW w:w="1412" w:type="dxa"/>
            <w:noWrap w:val="0"/>
            <w:vAlign w:val="center"/>
          </w:tcPr>
          <w:p>
            <w:pPr>
              <w:pStyle w:val="22"/>
              <w:spacing w:line="240" w:lineRule="auto"/>
              <w:rPr>
                <w:rFonts w:hint="default" w:ascii="Times New Roman" w:hAnsi="Times New Roman" w:eastAsia="宋体" w:cs="Times New Roman"/>
                <w:bCs/>
                <w:color w:val="000000"/>
                <w:kern w:val="2"/>
                <w:sz w:val="24"/>
                <w:szCs w:val="24"/>
                <w:lang w:val="en-US" w:eastAsia="zh-CN" w:bidi="ar-SA"/>
              </w:rPr>
            </w:pPr>
            <w:r>
              <w:rPr>
                <w:rStyle w:val="29"/>
                <w:rFonts w:hint="default" w:ascii="Times New Roman" w:hAnsi="Times New Roman" w:eastAsia="宋体" w:cs="Times New Roman"/>
                <w:color w:val="000000"/>
                <w:sz w:val="24"/>
                <w:szCs w:val="24"/>
              </w:rPr>
              <w:t>SS、COD</w:t>
            </w:r>
            <w:r>
              <w:rPr>
                <w:rStyle w:val="29"/>
                <w:rFonts w:hint="default" w:ascii="Times New Roman" w:hAnsi="Times New Roman" w:eastAsia="宋体" w:cs="Times New Roman"/>
                <w:color w:val="000000"/>
                <w:sz w:val="24"/>
                <w:szCs w:val="24"/>
                <w:vertAlign w:val="subscript"/>
              </w:rPr>
              <w:t>Cr</w:t>
            </w:r>
            <w:r>
              <w:rPr>
                <w:rStyle w:val="29"/>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石油类</w:t>
            </w:r>
          </w:p>
        </w:tc>
        <w:tc>
          <w:tcPr>
            <w:tcW w:w="2396" w:type="dxa"/>
            <w:noWrap w:val="0"/>
            <w:vAlign w:val="center"/>
          </w:tcPr>
          <w:p>
            <w:pPr>
              <w:spacing w:line="240" w:lineRule="auto"/>
              <w:jc w:val="left"/>
              <w:rPr>
                <w:rFonts w:hint="default"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sz w:val="24"/>
                <w:szCs w:val="24"/>
                <w:lang w:val="en-US" w:eastAsia="zh-CN"/>
              </w:rPr>
              <w:t>经3#隔油沉淀池处理后回用</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不外排</w:t>
            </w:r>
            <w:r>
              <w:rPr>
                <w:rFonts w:hint="eastAsia" w:ascii="Times New Roman" w:hAnsi="Times New Roman" w:eastAsia="宋体" w:cs="Times New Roman"/>
                <w:sz w:val="24"/>
                <w:szCs w:val="24"/>
                <w:lang w:eastAsia="zh-CN"/>
              </w:rPr>
              <w:t>。</w:t>
            </w:r>
          </w:p>
        </w:tc>
        <w:tc>
          <w:tcPr>
            <w:tcW w:w="2285"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罐车内壁清洗废水及搅拌机清洗废水</w:t>
            </w:r>
          </w:p>
        </w:tc>
        <w:tc>
          <w:tcPr>
            <w:tcW w:w="1412" w:type="dxa"/>
            <w:noWrap w:val="0"/>
            <w:vAlign w:val="center"/>
          </w:tcPr>
          <w:p>
            <w:pPr>
              <w:pStyle w:val="22"/>
              <w:spacing w:line="240" w:lineRule="auto"/>
              <w:rPr>
                <w:rFonts w:hint="default" w:ascii="Times New Roman" w:hAnsi="Times New Roman" w:eastAsia="宋体" w:cs="Times New Roman"/>
                <w:bCs/>
                <w:color w:val="000000"/>
                <w:kern w:val="2"/>
                <w:sz w:val="24"/>
                <w:szCs w:val="24"/>
                <w:lang w:val="en-US" w:eastAsia="zh-CN" w:bidi="ar-SA"/>
              </w:rPr>
            </w:pPr>
            <w:r>
              <w:rPr>
                <w:rStyle w:val="29"/>
                <w:rFonts w:hint="default" w:ascii="Times New Roman" w:hAnsi="Times New Roman" w:eastAsia="宋体" w:cs="Times New Roman"/>
                <w:color w:val="000000"/>
                <w:sz w:val="24"/>
                <w:szCs w:val="24"/>
              </w:rPr>
              <w:t>SS、石油类</w:t>
            </w:r>
          </w:p>
        </w:tc>
        <w:tc>
          <w:tcPr>
            <w:tcW w:w="2396" w:type="dxa"/>
            <w:noWrap w:val="0"/>
            <w:vAlign w:val="center"/>
          </w:tcPr>
          <w:p>
            <w:pPr>
              <w:spacing w:line="240" w:lineRule="auto"/>
              <w:jc w:val="left"/>
              <w:rPr>
                <w:rFonts w:hint="eastAsia"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color w:val="0000FF"/>
                <w:sz w:val="24"/>
                <w:szCs w:val="24"/>
                <w:highlight w:val="none"/>
                <w:lang w:val="en-US" w:eastAsia="zh-CN"/>
              </w:rPr>
              <w:t>经三级沉淀池处理后回用</w:t>
            </w:r>
            <w:r>
              <w:rPr>
                <w:rFonts w:hint="default" w:ascii="Times New Roman" w:hAnsi="Times New Roman" w:eastAsia="宋体" w:cs="Times New Roman"/>
                <w:color w:val="0000FF"/>
                <w:sz w:val="24"/>
                <w:szCs w:val="24"/>
                <w:highlight w:val="none"/>
              </w:rPr>
              <w:t>，不外排。</w:t>
            </w:r>
          </w:p>
        </w:tc>
        <w:tc>
          <w:tcPr>
            <w:tcW w:w="2285"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rPr>
              <w:t>厂区</w:t>
            </w:r>
            <w:r>
              <w:rPr>
                <w:rFonts w:hint="default" w:ascii="Times New Roman" w:hAnsi="Times New Roman" w:eastAsia="宋体" w:cs="Times New Roman"/>
                <w:sz w:val="24"/>
                <w:szCs w:val="24"/>
                <w:highlight w:val="none"/>
              </w:rPr>
              <w:t>降尘废水</w:t>
            </w:r>
          </w:p>
        </w:tc>
        <w:tc>
          <w:tcPr>
            <w:tcW w:w="1412" w:type="dxa"/>
            <w:noWrap w:val="0"/>
            <w:vAlign w:val="center"/>
          </w:tcPr>
          <w:p>
            <w:pPr>
              <w:pStyle w:val="22"/>
              <w:spacing w:line="240" w:lineRule="auto"/>
              <w:rPr>
                <w:rFonts w:hint="default" w:ascii="Times New Roman" w:hAnsi="Times New Roman" w:eastAsia="宋体" w:cs="Times New Roman"/>
                <w:bCs/>
                <w:color w:val="000000"/>
                <w:kern w:val="2"/>
                <w:sz w:val="24"/>
                <w:szCs w:val="24"/>
                <w:lang w:val="en-US" w:eastAsia="zh-CN" w:bidi="ar-SA"/>
              </w:rPr>
            </w:pPr>
            <w:r>
              <w:rPr>
                <w:rStyle w:val="29"/>
                <w:rFonts w:hint="default" w:ascii="Times New Roman" w:hAnsi="Times New Roman" w:eastAsia="宋体" w:cs="Times New Roman"/>
                <w:color w:val="000000"/>
                <w:sz w:val="24"/>
                <w:szCs w:val="24"/>
              </w:rPr>
              <w:t>/</w:t>
            </w:r>
          </w:p>
        </w:tc>
        <w:tc>
          <w:tcPr>
            <w:tcW w:w="2396" w:type="dxa"/>
            <w:noWrap w:val="0"/>
            <w:vAlign w:val="center"/>
          </w:tcPr>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全部蒸发损耗，无废水产生或外排</w:t>
            </w:r>
            <w:r>
              <w:rPr>
                <w:rFonts w:hint="eastAsia" w:ascii="Times New Roman" w:hAnsi="Times New Roman" w:eastAsia="宋体" w:cs="Times New Roman"/>
                <w:sz w:val="24"/>
                <w:szCs w:val="24"/>
                <w:lang w:eastAsia="zh-CN"/>
              </w:rPr>
              <w:t>。</w:t>
            </w:r>
          </w:p>
        </w:tc>
        <w:tc>
          <w:tcPr>
            <w:tcW w:w="2285"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vMerge w:val="continue"/>
            <w:noWrap w:val="0"/>
            <w:vAlign w:val="center"/>
          </w:tcPr>
          <w:p>
            <w:pPr>
              <w:adjustRightInd w:val="0"/>
              <w:snapToGrid w:val="0"/>
              <w:jc w:val="center"/>
              <w:rPr>
                <w:rFonts w:hint="default" w:ascii="Times New Roman" w:hAnsi="Times New Roman" w:eastAsia="宋体" w:cs="Times New Roman"/>
                <w:sz w:val="24"/>
                <w:szCs w:val="24"/>
              </w:rPr>
            </w:pPr>
          </w:p>
        </w:tc>
        <w:tc>
          <w:tcPr>
            <w:tcW w:w="1903" w:type="dxa"/>
            <w:noWrap w:val="0"/>
            <w:vAlign w:val="center"/>
          </w:tcPr>
          <w:p>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生活废水</w:t>
            </w:r>
          </w:p>
        </w:tc>
        <w:tc>
          <w:tcPr>
            <w:tcW w:w="1412" w:type="dxa"/>
            <w:noWrap w:val="0"/>
            <w:vAlign w:val="center"/>
          </w:tcPr>
          <w:p>
            <w:pPr>
              <w:pStyle w:val="22"/>
              <w:spacing w:line="240" w:lineRule="auto"/>
              <w:rPr>
                <w:rFonts w:hint="default" w:ascii="Times New Roman" w:hAnsi="Times New Roman" w:eastAsia="宋体" w:cs="Times New Roman"/>
                <w:bCs/>
                <w:color w:val="000000"/>
                <w:kern w:val="2"/>
                <w:sz w:val="24"/>
                <w:szCs w:val="24"/>
                <w:lang w:val="en-US" w:eastAsia="zh-CN" w:bidi="ar-SA"/>
              </w:rPr>
            </w:pPr>
            <w:r>
              <w:rPr>
                <w:rStyle w:val="29"/>
                <w:rFonts w:hint="default" w:ascii="Times New Roman" w:hAnsi="Times New Roman" w:eastAsia="宋体" w:cs="Times New Roman"/>
                <w:color w:val="000000"/>
                <w:sz w:val="24"/>
                <w:szCs w:val="24"/>
              </w:rPr>
              <w:t>COD</w:t>
            </w:r>
            <w:r>
              <w:rPr>
                <w:rStyle w:val="29"/>
                <w:rFonts w:hint="default" w:ascii="Times New Roman" w:hAnsi="Times New Roman" w:eastAsia="宋体" w:cs="Times New Roman"/>
                <w:color w:val="000000"/>
                <w:sz w:val="24"/>
                <w:szCs w:val="24"/>
                <w:vertAlign w:val="subscript"/>
              </w:rPr>
              <w:t>Cr</w:t>
            </w:r>
            <w:r>
              <w:rPr>
                <w:rStyle w:val="29"/>
                <w:rFonts w:hint="default" w:ascii="Times New Roman" w:hAnsi="Times New Roman" w:eastAsia="宋体" w:cs="Times New Roman"/>
                <w:color w:val="000000"/>
                <w:sz w:val="24"/>
                <w:szCs w:val="24"/>
              </w:rPr>
              <w:t>、BOD</w:t>
            </w:r>
            <w:r>
              <w:rPr>
                <w:rStyle w:val="29"/>
                <w:rFonts w:hint="default" w:ascii="Times New Roman" w:hAnsi="Times New Roman" w:eastAsia="宋体" w:cs="Times New Roman"/>
                <w:color w:val="000000"/>
                <w:sz w:val="24"/>
                <w:szCs w:val="24"/>
                <w:vertAlign w:val="subscript"/>
              </w:rPr>
              <w:t>5</w:t>
            </w:r>
            <w:r>
              <w:rPr>
                <w:rStyle w:val="29"/>
                <w:rFonts w:hint="default" w:ascii="Times New Roman" w:hAnsi="Times New Roman" w:eastAsia="宋体" w:cs="Times New Roman"/>
                <w:color w:val="000000"/>
                <w:sz w:val="24"/>
                <w:szCs w:val="24"/>
              </w:rPr>
              <w:t>、NH</w:t>
            </w:r>
            <w:r>
              <w:rPr>
                <w:rStyle w:val="29"/>
                <w:rFonts w:hint="default" w:ascii="Times New Roman" w:hAnsi="Times New Roman" w:eastAsia="宋体" w:cs="Times New Roman"/>
                <w:color w:val="000000"/>
                <w:sz w:val="24"/>
                <w:szCs w:val="24"/>
                <w:vertAlign w:val="subscript"/>
              </w:rPr>
              <w:t>3</w:t>
            </w:r>
            <w:r>
              <w:rPr>
                <w:rStyle w:val="29"/>
                <w:rFonts w:hint="default" w:ascii="Times New Roman" w:hAnsi="Times New Roman" w:eastAsia="宋体" w:cs="Times New Roman"/>
                <w:color w:val="000000"/>
                <w:sz w:val="24"/>
                <w:szCs w:val="24"/>
              </w:rPr>
              <w:t>-N、</w:t>
            </w:r>
            <w:r>
              <w:rPr>
                <w:rStyle w:val="29"/>
                <w:rFonts w:hint="eastAsia" w:cs="Times New Roman"/>
                <w:color w:val="000000"/>
                <w:sz w:val="24"/>
                <w:szCs w:val="24"/>
                <w:lang w:val="en-US"/>
              </w:rPr>
              <w:t>氨氮、</w:t>
            </w:r>
            <w:r>
              <w:rPr>
                <w:rStyle w:val="29"/>
                <w:rFonts w:hint="default" w:ascii="Times New Roman" w:hAnsi="Times New Roman" w:eastAsia="宋体" w:cs="Times New Roman"/>
                <w:color w:val="000000"/>
                <w:sz w:val="24"/>
                <w:szCs w:val="24"/>
              </w:rPr>
              <w:t>动植物油</w:t>
            </w:r>
          </w:p>
        </w:tc>
        <w:tc>
          <w:tcPr>
            <w:tcW w:w="2396" w:type="dxa"/>
            <w:noWrap w:val="0"/>
            <w:vAlign w:val="center"/>
          </w:tcPr>
          <w:p>
            <w:pPr>
              <w:keepNext w:val="0"/>
              <w:keepLines w:val="0"/>
              <w:widowControl/>
              <w:suppressLineNumbers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食堂生活废水经隔油池</w:t>
            </w:r>
            <w:r>
              <w:rPr>
                <w:rFonts w:hint="eastAsia" w:ascii="Times New Roman" w:hAnsi="Times New Roman" w:eastAsia="宋体" w:cs="Times New Roman"/>
                <w:sz w:val="24"/>
                <w:szCs w:val="24"/>
                <w:lang w:val="en-US" w:eastAsia="zh-CN"/>
              </w:rPr>
              <w:t>（2m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lang w:val="en-US" w:eastAsia="zh-CN"/>
              </w:rPr>
              <w:t>处理后和其它生活污水经厂区</w:t>
            </w:r>
            <w:r>
              <w:rPr>
                <w:rFonts w:hint="eastAsia" w:ascii="Times New Roman" w:hAnsi="Times New Roman" w:eastAsia="宋体" w:cs="Times New Roman"/>
                <w:bCs/>
                <w:color w:val="0000FF"/>
                <w:sz w:val="24"/>
                <w:szCs w:val="24"/>
                <w:lang w:val="en-US" w:eastAsia="zh-CN"/>
              </w:rPr>
              <w:t>生化池</w:t>
            </w:r>
            <w:r>
              <w:rPr>
                <w:rFonts w:hint="eastAsia" w:ascii="Times New Roman" w:hAnsi="Times New Roman" w:eastAsia="宋体" w:cs="Times New Roman"/>
                <w:sz w:val="24"/>
                <w:szCs w:val="24"/>
                <w:lang w:val="en-US" w:eastAsia="zh-CN"/>
              </w:rPr>
              <w:t>（10m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/d）</w:t>
            </w:r>
            <w:r>
              <w:rPr>
                <w:rFonts w:hint="eastAsia" w:ascii="Times New Roman" w:hAnsi="Times New Roman" w:eastAsia="宋体" w:cs="Times New Roman"/>
                <w:bCs/>
                <w:color w:val="0000FF"/>
                <w:sz w:val="24"/>
                <w:szCs w:val="24"/>
                <w:lang w:val="en-US" w:eastAsia="zh-CN"/>
              </w:rPr>
              <w:t>收集处理后接</w:t>
            </w:r>
            <w:r>
              <w:rPr>
                <w:rFonts w:hint="eastAsia" w:ascii="宋体" w:hAnsi="宋体" w:eastAsia="宋体" w:cs="宋体"/>
                <w:snapToGrid w:val="0"/>
                <w:color w:val="0000FF"/>
                <w:kern w:val="0"/>
                <w:sz w:val="24"/>
                <w:szCs w:val="24"/>
                <w:lang w:val="en-US" w:eastAsia="zh-CN" w:bidi="ar"/>
              </w:rPr>
              <w:t>入辰溪县污水处理厂</w:t>
            </w:r>
            <w:r>
              <w:rPr>
                <w:rFonts w:hint="eastAsia" w:ascii="Times New Roman" w:hAnsi="Times New Roman" w:eastAsia="宋体" w:cs="Times New Roman"/>
                <w:color w:val="0000FF"/>
                <w:sz w:val="24"/>
                <w:szCs w:val="24"/>
                <w:lang w:eastAsia="zh-CN"/>
              </w:rPr>
              <w:t>。</w:t>
            </w:r>
          </w:p>
        </w:tc>
        <w:tc>
          <w:tcPr>
            <w:tcW w:w="2285" w:type="dxa"/>
            <w:noWrap w:val="0"/>
            <w:vAlign w:val="center"/>
          </w:tcPr>
          <w:p>
            <w:pPr>
              <w:adjustRightInd w:val="0"/>
              <w:snapToGrid w:val="0"/>
              <w:jc w:val="center"/>
              <w:rPr>
                <w:rFonts w:hint="default" w:ascii="Times New Roman" w:hAnsi="Times New Roman" w:eastAsia="宋体" w:cs="Times New Roman"/>
                <w:sz w:val="24"/>
                <w:szCs w:val="24"/>
                <w:lang w:val="en-US"/>
              </w:rPr>
            </w:pPr>
            <w:r>
              <w:rPr>
                <w:rFonts w:hint="eastAsia" w:ascii="宋体" w:hAnsi="宋体" w:eastAsia="宋体" w:cs="宋体"/>
                <w:snapToGrid w:val="0"/>
                <w:color w:val="0000FF"/>
                <w:kern w:val="0"/>
                <w:sz w:val="24"/>
                <w:szCs w:val="24"/>
                <w:lang w:val="en-US" w:eastAsia="zh-CN" w:bidi="ar"/>
              </w:rPr>
              <w:t>辰溪县污水处理厂进水水质标准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声环境</w:t>
            </w:r>
          </w:p>
        </w:tc>
        <w:tc>
          <w:tcPr>
            <w:tcW w:w="7996" w:type="dxa"/>
            <w:gridSpan w:val="4"/>
            <w:noWrap w:val="0"/>
            <w:vAlign w:val="center"/>
          </w:tcPr>
          <w:p>
            <w:pPr>
              <w:adjustRightInd w:val="0"/>
              <w:snapToGrid w:val="0"/>
              <w:spacing w:line="24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隔声、减震、厂区设置绿化带等措施，满足《工业企业厂界环境噪声排放标准》（GB12348</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2008）2类标准</w:t>
            </w:r>
            <w:r>
              <w:rPr>
                <w:rFonts w:hint="eastAsia" w:ascii="Times New Roman" w:hAnsi="Times New Roman" w:eastAsia="宋体" w:cs="Times New Roman"/>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1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固体废物</w:t>
            </w:r>
          </w:p>
        </w:tc>
        <w:tc>
          <w:tcPr>
            <w:tcW w:w="7996" w:type="dxa"/>
            <w:gridSpan w:val="4"/>
            <w:noWrap w:val="0"/>
            <w:vAlign w:val="center"/>
          </w:tcPr>
          <w:p>
            <w:pPr>
              <w:adjustRightInd w:val="0"/>
              <w:snapToGrid w:val="0"/>
              <w:spacing w:line="24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除尘灰收集后回用于生产；砂石及沉淀池沉渣回用于生产；生活垃圾</w:t>
            </w:r>
            <w:r>
              <w:rPr>
                <w:rFonts w:hint="default" w:ascii="Times New Roman" w:hAnsi="Times New Roman" w:eastAsia="宋体" w:cs="Times New Roman"/>
                <w:sz w:val="24"/>
                <w:szCs w:val="24"/>
                <w:highlight w:val="none"/>
                <w:lang w:val="en-US"/>
              </w:rPr>
              <w:t>和</w:t>
            </w:r>
            <w:r>
              <w:rPr>
                <w:rFonts w:hint="default" w:ascii="Times New Roman" w:hAnsi="Times New Roman" w:eastAsia="宋体" w:cs="Times New Roman"/>
                <w:sz w:val="24"/>
                <w:szCs w:val="24"/>
                <w:highlight w:val="none"/>
                <w:lang w:val="en-US" w:eastAsia="zh-CN"/>
              </w:rPr>
              <w:t>餐厨垃圾分类收集后交</w:t>
            </w:r>
            <w:r>
              <w:rPr>
                <w:rFonts w:hint="default" w:ascii="Times New Roman" w:hAnsi="Times New Roman" w:eastAsia="宋体" w:cs="Times New Roman"/>
                <w:sz w:val="24"/>
                <w:szCs w:val="24"/>
                <w:highlight w:val="none"/>
              </w:rPr>
              <w:t>环卫部门收集处置</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color w:val="0000FF"/>
                <w:sz w:val="24"/>
                <w:szCs w:val="24"/>
                <w:highlight w:val="none"/>
                <w:lang w:val="en-US" w:eastAsia="zh-CN"/>
              </w:rPr>
              <w:t>隔油沉淀池油泥、</w:t>
            </w:r>
            <w:r>
              <w:rPr>
                <w:rFonts w:hint="default" w:ascii="Times New Roman" w:hAnsi="Times New Roman" w:eastAsia="宋体" w:cs="Times New Roman"/>
                <w:sz w:val="24"/>
                <w:szCs w:val="24"/>
                <w:highlight w:val="none"/>
              </w:rPr>
              <w:t>含油抹布废手套</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废</w:t>
            </w:r>
            <w:r>
              <w:rPr>
                <w:rFonts w:hint="eastAsia" w:ascii="Times New Roman" w:hAnsi="Times New Roman" w:eastAsia="宋体" w:cs="Times New Roman"/>
                <w:sz w:val="24"/>
                <w:szCs w:val="24"/>
                <w:highlight w:val="none"/>
                <w:lang w:val="en-US" w:eastAsia="zh-CN"/>
              </w:rPr>
              <w:t>矿物</w:t>
            </w:r>
            <w:r>
              <w:rPr>
                <w:rFonts w:hint="default" w:ascii="Times New Roman" w:hAnsi="Times New Roman" w:eastAsia="宋体" w:cs="Times New Roman"/>
                <w:sz w:val="24"/>
                <w:szCs w:val="24"/>
                <w:highlight w:val="none"/>
                <w:lang w:val="en-US" w:eastAsia="zh-CN"/>
              </w:rPr>
              <w:t>油</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废油桶暂存于危废暂存间，</w:t>
            </w:r>
            <w:r>
              <w:rPr>
                <w:rFonts w:hint="default" w:ascii="Times New Roman" w:hAnsi="Times New Roman" w:eastAsia="宋体" w:cs="Times New Roman"/>
                <w:sz w:val="24"/>
                <w:szCs w:val="24"/>
                <w:highlight w:val="none"/>
              </w:rPr>
              <w:t>交有危险废物处置资质部门处理。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1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土壤及地下水污染防治措施</w:t>
            </w:r>
          </w:p>
        </w:tc>
        <w:tc>
          <w:tcPr>
            <w:tcW w:w="7996" w:type="dxa"/>
            <w:gridSpan w:val="4"/>
            <w:noWrap w:val="0"/>
            <w:vAlign w:val="center"/>
          </w:tcPr>
          <w:p>
            <w:pPr>
              <w:adjustRightInd w:val="0"/>
              <w:snapToGrid w:val="0"/>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除尘灰、</w:t>
            </w:r>
            <w:r>
              <w:rPr>
                <w:rFonts w:hint="default" w:ascii="Times New Roman" w:hAnsi="Times New Roman" w:eastAsia="宋体" w:cs="Times New Roman"/>
                <w:sz w:val="24"/>
                <w:szCs w:val="24"/>
                <w:highlight w:val="none"/>
              </w:rPr>
              <w:t>砂石及沉淀池沉渣暂存</w:t>
            </w:r>
            <w:r>
              <w:rPr>
                <w:rFonts w:hint="default" w:ascii="Times New Roman" w:hAnsi="Times New Roman" w:eastAsia="宋体" w:cs="Times New Roman"/>
                <w:sz w:val="24"/>
                <w:szCs w:val="24"/>
                <w:highlight w:val="none"/>
                <w:lang w:val="en-US" w:eastAsia="zh-CN"/>
              </w:rPr>
              <w:t>于一般</w:t>
            </w:r>
            <w:r>
              <w:rPr>
                <w:rFonts w:hint="default" w:ascii="Times New Roman" w:hAnsi="Times New Roman" w:eastAsia="宋体" w:cs="Times New Roman"/>
                <w:sz w:val="24"/>
                <w:szCs w:val="24"/>
                <w:highlight w:val="none"/>
              </w:rPr>
              <w:t>固废储存间，设置遮盖顶，防止雨水侵蚀；</w:t>
            </w:r>
            <w:r>
              <w:rPr>
                <w:rFonts w:hint="default" w:ascii="Times New Roman" w:hAnsi="Times New Roman" w:eastAsia="宋体" w:cs="Times New Roman"/>
                <w:sz w:val="24"/>
                <w:szCs w:val="24"/>
                <w:highlight w:val="none"/>
                <w:lang w:val="en-US" w:eastAsia="zh-CN"/>
              </w:rPr>
              <w:t>柴油使用卧式双层储罐储存，地下</w:t>
            </w:r>
            <w:r>
              <w:rPr>
                <w:rFonts w:hint="default" w:ascii="Times New Roman" w:hAnsi="Times New Roman" w:eastAsia="宋体" w:cs="Times New Roman"/>
                <w:sz w:val="24"/>
                <w:szCs w:val="24"/>
                <w:highlight w:val="none"/>
              </w:rPr>
              <w:t>采取防渗措施，并设置围堰， 切断影响途径。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1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生态保护措施</w:t>
            </w:r>
          </w:p>
        </w:tc>
        <w:tc>
          <w:tcPr>
            <w:tcW w:w="7996" w:type="dxa"/>
            <w:gridSpan w:val="4"/>
            <w:noWrap w:val="0"/>
            <w:vAlign w:val="center"/>
          </w:tcPr>
          <w:p>
            <w:pPr>
              <w:adjustRightInd w:val="0"/>
              <w:snapToGrid w:val="0"/>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①加强厂区及其周围环境绿化，项目区域内裸地及时硬化、绿化。在进行人工生态修复和恢复时，所选植被必须适应本地气候、土地利用条件，具有自然生长性和观赏性等特点。项目应通过增加绿化面积、减少开挖面积等措施进行生态环境保护。绿化以树、灌、草等相结合的形式，起到降低噪声、吸附尘粒、净化空气、增加美观的作用，同时也可防止水土流失，改善区域的生态环境。②修建沉淀池及导流沟，使得地表径流流入沉淀池中进行沉淀处理后回用于厂区地面清洗，不外排，同时加强骨料堆棚管理，骨料不得露天堆放及散弃于顶棚遮盖的范围外，以减小地表径流对周围生态环境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113" w:type="dxa"/>
            <w:noWrap w:val="0"/>
            <w:vAlign w:val="center"/>
          </w:tcPr>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环境风险防范措施</w:t>
            </w:r>
          </w:p>
        </w:tc>
        <w:tc>
          <w:tcPr>
            <w:tcW w:w="7996" w:type="dxa"/>
            <w:gridSpan w:val="4"/>
            <w:noWrap w:val="0"/>
            <w:vAlign w:val="center"/>
          </w:tcPr>
          <w:p>
            <w:pPr>
              <w:adjustRightInd w:val="0"/>
              <w:snapToGrid w:val="0"/>
              <w:ind w:firstLine="480" w:firstLineChars="200"/>
              <w:jc w:val="left"/>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①认真执行《危险化学品装卸作业一般安全守则》，建立可操作的安全管理制度，有专职人员负责安全消防工作；②储罐区要配备消防设备和消防器材，一切消防器材不准</w:t>
            </w:r>
            <w:r>
              <w:rPr>
                <w:rFonts w:hint="eastAsia" w:ascii="Times New Roman" w:hAnsi="Times New Roman" w:eastAsia="宋体" w:cs="Times New Roman"/>
                <w:sz w:val="24"/>
                <w:szCs w:val="24"/>
                <w:highlight w:val="none"/>
                <w:lang w:val="en-US" w:eastAsia="zh-CN"/>
              </w:rPr>
              <w:t>乱</w:t>
            </w:r>
            <w:r>
              <w:rPr>
                <w:rFonts w:hint="default" w:ascii="Times New Roman" w:hAnsi="Times New Roman" w:eastAsia="宋体" w:cs="Times New Roman"/>
                <w:sz w:val="24"/>
                <w:szCs w:val="24"/>
                <w:highlight w:val="none"/>
              </w:rPr>
              <w:t>动乱用，并要定期检查；③储罐区内严禁烟火。</w:t>
            </w:r>
            <w:r>
              <w:rPr>
                <w:rFonts w:hint="eastAsia" w:ascii="Times New Roman" w:hAnsi="Times New Roman" w:eastAsia="宋体" w:cs="Times New Roman"/>
                <w:sz w:val="24"/>
                <w:szCs w:val="24"/>
                <w:highlight w:val="none"/>
                <w:lang w:val="en-US" w:eastAsia="zh-CN"/>
              </w:rPr>
              <w:t>进入附近区域的人员</w:t>
            </w:r>
            <w:r>
              <w:rPr>
                <w:rFonts w:hint="default" w:ascii="Times New Roman" w:hAnsi="Times New Roman" w:eastAsia="宋体" w:cs="Times New Roman"/>
                <w:sz w:val="24"/>
                <w:szCs w:val="24"/>
                <w:highlight w:val="none"/>
              </w:rPr>
              <w:t>不得携带易燃、易爆物品。站内动用明火时，必须经安全保卫部门检查批准，并要有安全措施；④各种设备要做到定员、定岗、定机管理，对有特殊要求的设备，操作人员必须经过岗位训，并持有操作证方可上岗；⑤在现场备回收容器及吸油毡，备足</w:t>
            </w:r>
            <w:r>
              <w:rPr>
                <w:rFonts w:hint="default" w:ascii="Times New Roman" w:hAnsi="Times New Roman" w:eastAsia="宋体" w:cs="Times New Roman"/>
                <w:sz w:val="24"/>
                <w:szCs w:val="24"/>
                <w:highlight w:val="none"/>
                <w:lang w:val="en-US" w:eastAsia="zh-CN"/>
              </w:rPr>
              <w:t>消防沙</w:t>
            </w:r>
            <w:r>
              <w:rPr>
                <w:rFonts w:hint="default" w:ascii="Times New Roman" w:hAnsi="Times New Roman" w:eastAsia="宋体" w:cs="Times New Roman"/>
                <w:sz w:val="24"/>
                <w:szCs w:val="24"/>
                <w:highlight w:val="none"/>
              </w:rPr>
              <w:t>、石棉被、泡沫</w:t>
            </w:r>
            <w:r>
              <w:rPr>
                <w:rFonts w:hint="default" w:ascii="Times New Roman" w:hAnsi="Times New Roman" w:eastAsia="宋体" w:cs="Times New Roman"/>
                <w:sz w:val="24"/>
                <w:szCs w:val="24"/>
                <w:highlight w:val="none"/>
                <w:lang w:eastAsia="zh-CN"/>
              </w:rPr>
              <w:t>灭火器</w:t>
            </w:r>
            <w:r>
              <w:rPr>
                <w:rFonts w:hint="default" w:ascii="Times New Roman" w:hAnsi="Times New Roman" w:eastAsia="宋体" w:cs="Times New Roman"/>
                <w:sz w:val="24"/>
                <w:szCs w:val="24"/>
                <w:highlight w:val="none"/>
              </w:rPr>
              <w:t>，作业前，要检查确认所有设备设施及环境处于安全工作状态。发生火灾时用铁铲或水桶将砂子散开，覆盖火焰，使其熄灭；⑥相关人员应认真巡视检查。严防跑、冒、滴、漏、凝管等情况发生，油罐地坑内如有油、积水，应及排净；</w:t>
            </w:r>
            <w:r>
              <w:rPr>
                <w:rFonts w:hint="default" w:ascii="Times New Roman" w:hAnsi="Times New Roman" w:eastAsia="宋体" w:cs="Times New Roman"/>
                <w:color w:val="0000FF"/>
                <w:sz w:val="24"/>
                <w:szCs w:val="24"/>
                <w:highlight w:val="none"/>
              </w:rPr>
              <w:t>⑦储罐区设置围堰</w:t>
            </w:r>
            <w:r>
              <w:rPr>
                <w:rFonts w:hint="eastAsia" w:ascii="Times New Roman" w:hAnsi="Times New Roman" w:eastAsia="宋体" w:cs="Times New Roman"/>
                <w:color w:val="0000FF"/>
                <w:sz w:val="24"/>
                <w:szCs w:val="24"/>
                <w:highlight w:val="none"/>
                <w:lang w:val="en-US" w:eastAsia="zh-CN"/>
              </w:rPr>
              <w:t>与事故油池</w:t>
            </w:r>
            <w:r>
              <w:rPr>
                <w:rFonts w:hint="default" w:ascii="Times New Roman" w:hAnsi="Times New Roman" w:eastAsia="宋体" w:cs="Times New Roman"/>
                <w:color w:val="0000FF"/>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13" w:type="dxa"/>
            <w:noWrap w:val="0"/>
            <w:vAlign w:val="center"/>
          </w:tcPr>
          <w:p>
            <w:pPr>
              <w:adjustRightInd w:val="0"/>
              <w:snapToGrid w:val="0"/>
              <w:jc w:val="center"/>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其他环境管理要求</w:t>
            </w:r>
          </w:p>
        </w:tc>
        <w:tc>
          <w:tcPr>
            <w:tcW w:w="7996" w:type="dxa"/>
            <w:gridSpan w:val="4"/>
            <w:noWrap w:val="0"/>
            <w:vAlign w:val="center"/>
          </w:tcPr>
          <w:p>
            <w:pPr>
              <w:pStyle w:val="2"/>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p>
        </w:tc>
      </w:tr>
    </w:tbl>
    <w:p>
      <w:pPr>
        <w:rPr>
          <w:rFonts w:hint="default" w:ascii="Times New Roman" w:hAnsi="Times New Roman" w:eastAsia="宋体" w:cs="Times New Roman"/>
          <w:sz w:val="21"/>
          <w:highlight w:val="yellow"/>
        </w:rPr>
        <w:sectPr>
          <w:pgSz w:w="11906" w:h="16839"/>
          <w:pgMar w:top="400" w:right="1017" w:bottom="1014" w:left="1299" w:header="0" w:footer="854"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宋体" w:cs="Times New Roman"/>
          <w:snapToGrid w:val="0"/>
          <w:color w:val="0000FF"/>
        </w:rPr>
        <w:br w:type="page"/>
      </w:r>
    </w:p>
    <w:p>
      <w:pPr>
        <w:spacing w:before="95" w:line="219" w:lineRule="auto"/>
        <w:ind w:left="4098"/>
        <w:outlineLvl w:val="0"/>
        <w:rPr>
          <w:rFonts w:hint="default" w:ascii="Times New Roman" w:hAnsi="Times New Roman" w:eastAsia="宋体" w:cs="Times New Roman"/>
          <w:sz w:val="30"/>
          <w:szCs w:val="30"/>
          <w:highlight w:val="none"/>
        </w:rPr>
      </w:pPr>
      <w:bookmarkStart w:id="77" w:name="_Toc27324"/>
      <w:r>
        <w:rPr>
          <w:rFonts w:hint="default" w:ascii="Times New Roman" w:hAnsi="Times New Roman" w:eastAsia="宋体" w:cs="Times New Roman"/>
          <w:spacing w:val="7"/>
          <w:sz w:val="30"/>
          <w:szCs w:val="30"/>
          <w:highlight w:val="none"/>
        </w:rPr>
        <w:t>六</w:t>
      </w:r>
      <w:r>
        <w:rPr>
          <w:rFonts w:hint="default" w:ascii="Times New Roman" w:hAnsi="Times New Roman" w:eastAsia="宋体" w:cs="Times New Roman"/>
          <w:spacing w:val="4"/>
          <w:sz w:val="30"/>
          <w:szCs w:val="30"/>
          <w:highlight w:val="none"/>
        </w:rPr>
        <w:t>、结论</w:t>
      </w:r>
      <w:bookmarkEnd w:id="77"/>
    </w:p>
    <w:tbl>
      <w:tblPr>
        <w:tblStyle w:val="20"/>
        <w:tblW w:w="884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84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245" w:hRule="atLeast"/>
          <w:jc w:val="center"/>
        </w:trPr>
        <w:tc>
          <w:tcPr>
            <w:tcW w:w="8845" w:type="dxa"/>
            <w:tcBorders>
              <w:tl2br w:val="nil"/>
              <w:tr2bl w:val="nil"/>
            </w:tcBorders>
            <w:vAlign w:val="top"/>
          </w:tcPr>
          <w:p>
            <w:pPr>
              <w:pStyle w:val="5"/>
              <w:spacing w:line="360" w:lineRule="auto"/>
              <w:outlineLvl w:val="2"/>
              <w:rPr>
                <w:rFonts w:hint="default" w:ascii="Times New Roman" w:hAnsi="Times New Roman" w:eastAsia="宋体" w:cs="Times New Roman"/>
                <w:sz w:val="24"/>
                <w:szCs w:val="24"/>
                <w:lang w:val="en-US" w:eastAsia="zh-CN"/>
              </w:rPr>
            </w:pPr>
            <w:bookmarkStart w:id="78" w:name="_Toc22578"/>
            <w:r>
              <w:rPr>
                <w:rFonts w:hint="default" w:ascii="Times New Roman" w:hAnsi="Times New Roman" w:eastAsia="宋体" w:cs="Times New Roman"/>
                <w:sz w:val="24"/>
                <w:szCs w:val="24"/>
                <w:lang w:val="en-US" w:eastAsia="zh-CN"/>
              </w:rPr>
              <w:t>6.1结论</w:t>
            </w:r>
            <w:bookmarkEnd w:id="78"/>
          </w:p>
          <w:p>
            <w:pPr>
              <w:spacing w:before="163" w:line="360" w:lineRule="auto"/>
              <w:ind w:left="106" w:right="97" w:firstLine="483"/>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18"/>
                <w:sz w:val="24"/>
                <w:szCs w:val="24"/>
                <w:highlight w:val="none"/>
              </w:rPr>
              <w:t>综</w:t>
            </w:r>
            <w:r>
              <w:rPr>
                <w:rFonts w:hint="default" w:ascii="Times New Roman" w:hAnsi="Times New Roman" w:eastAsia="宋体" w:cs="Times New Roman"/>
                <w:spacing w:val="14"/>
                <w:sz w:val="24"/>
                <w:szCs w:val="24"/>
                <w:highlight w:val="none"/>
              </w:rPr>
              <w:t>合</w:t>
            </w:r>
            <w:r>
              <w:rPr>
                <w:rFonts w:hint="default" w:ascii="Times New Roman" w:hAnsi="Times New Roman" w:eastAsia="宋体" w:cs="Times New Roman"/>
                <w:spacing w:val="9"/>
                <w:sz w:val="24"/>
                <w:szCs w:val="24"/>
                <w:highlight w:val="none"/>
              </w:rPr>
              <w:t>各方面评价分析，本项目符合国家产业政策，选址较为合理，在认真落实报告</w:t>
            </w:r>
            <w:r>
              <w:rPr>
                <w:rFonts w:hint="default" w:ascii="Times New Roman" w:hAnsi="Times New Roman" w:eastAsia="宋体" w:cs="Times New Roman"/>
                <w:spacing w:val="18"/>
                <w:sz w:val="24"/>
                <w:szCs w:val="24"/>
                <w:highlight w:val="none"/>
              </w:rPr>
              <w:t>表提</w:t>
            </w:r>
            <w:r>
              <w:rPr>
                <w:rFonts w:hint="default" w:ascii="Times New Roman" w:hAnsi="Times New Roman" w:eastAsia="宋体" w:cs="Times New Roman"/>
                <w:spacing w:val="11"/>
                <w:sz w:val="24"/>
                <w:szCs w:val="24"/>
                <w:highlight w:val="none"/>
              </w:rPr>
              <w:t>出</w:t>
            </w:r>
            <w:r>
              <w:rPr>
                <w:rFonts w:hint="default" w:ascii="Times New Roman" w:hAnsi="Times New Roman" w:eastAsia="宋体" w:cs="Times New Roman"/>
                <w:spacing w:val="9"/>
                <w:sz w:val="24"/>
                <w:szCs w:val="24"/>
                <w:highlight w:val="none"/>
              </w:rPr>
              <w:t>的各项污染防治对策措施的前提下，噪声能达到环境质量的要求，废水和废气对</w:t>
            </w:r>
            <w:r>
              <w:rPr>
                <w:rFonts w:hint="default" w:ascii="Times New Roman" w:hAnsi="Times New Roman" w:eastAsia="宋体" w:cs="Times New Roman"/>
                <w:spacing w:val="18"/>
                <w:sz w:val="24"/>
                <w:szCs w:val="24"/>
                <w:highlight w:val="none"/>
              </w:rPr>
              <w:t>环境</w:t>
            </w:r>
            <w:r>
              <w:rPr>
                <w:rFonts w:hint="default" w:ascii="Times New Roman" w:hAnsi="Times New Roman" w:eastAsia="宋体" w:cs="Times New Roman"/>
                <w:spacing w:val="11"/>
                <w:sz w:val="24"/>
                <w:szCs w:val="24"/>
                <w:highlight w:val="none"/>
              </w:rPr>
              <w:t>质</w:t>
            </w:r>
            <w:r>
              <w:rPr>
                <w:rFonts w:hint="default" w:ascii="Times New Roman" w:hAnsi="Times New Roman" w:eastAsia="宋体" w:cs="Times New Roman"/>
                <w:spacing w:val="9"/>
                <w:sz w:val="24"/>
                <w:szCs w:val="24"/>
                <w:highlight w:val="none"/>
              </w:rPr>
              <w:t>量影响不大，固废得到妥善处置。从环保角度分析，本项目的建设可行。</w:t>
            </w:r>
          </w:p>
          <w:p>
            <w:pPr>
              <w:pStyle w:val="5"/>
              <w:spacing w:line="360" w:lineRule="auto"/>
              <w:outlineLvl w:val="2"/>
              <w:rPr>
                <w:rFonts w:hint="default" w:ascii="Times New Roman" w:hAnsi="Times New Roman" w:eastAsia="宋体" w:cs="Times New Roman"/>
                <w:sz w:val="24"/>
                <w:szCs w:val="24"/>
                <w:lang w:val="en-US" w:eastAsia="zh-CN"/>
              </w:rPr>
            </w:pPr>
            <w:bookmarkStart w:id="79" w:name="_Toc18478"/>
            <w:r>
              <w:rPr>
                <w:rFonts w:hint="default" w:ascii="Times New Roman" w:hAnsi="Times New Roman" w:eastAsia="宋体" w:cs="Times New Roman"/>
                <w:sz w:val="24"/>
                <w:szCs w:val="24"/>
                <w:lang w:val="en-US" w:eastAsia="zh-CN"/>
              </w:rPr>
              <w:t>6.2建议</w:t>
            </w:r>
            <w:bookmarkEnd w:id="79"/>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1、加强施工期场区管理，定时对场区进行</w:t>
            </w:r>
            <w:r>
              <w:rPr>
                <w:rFonts w:hint="default" w:ascii="Times New Roman" w:hAnsi="Times New Roman" w:eastAsia="宋体" w:cs="Times New Roman"/>
                <w:sz w:val="24"/>
                <w:szCs w:val="24"/>
                <w:lang w:eastAsia="zh-CN"/>
              </w:rPr>
              <w:t>洒水</w:t>
            </w:r>
            <w:r>
              <w:rPr>
                <w:rFonts w:hint="default" w:ascii="Times New Roman" w:hAnsi="Times New Roman" w:eastAsia="宋体" w:cs="Times New Roman"/>
                <w:sz w:val="24"/>
                <w:szCs w:val="24"/>
              </w:rPr>
              <w:t>降尘、加强运输车辆管理，严格控制运输车辆载量，施工边界工地建筑结构脚手架外侧设置有效抑尘的密目防尘网</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不低于2000 目/100平方厘米</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或防尘布，尽量减少施工扬尘对周围环境的影响；</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2、项目施工废水应在厂区修建临时沉淀隔油池，清洗废水沉淀后循环使用。</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3、施工应安排在昼间6：00~12：00、14：00~20：00期间进行，中午及夜间休息时间禁止施工；施工场地边界设立2.8m围墙；合理布局高噪声设备，避免高噪声设备同时施工；全封闭施工；</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4、施工期生活垃圾应减量化、资源化后，委托环卫部门处理，施工中产生的建筑垃圾必须及时处理，及时外运，不能随路洒落，不能随意倾倒、堆放；</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5、加强环境管理工作，建立一套完善的环保管理制度，制定专门的环境管理规章制度，加强环境保护工作的管理。</w:t>
            </w:r>
            <w:r>
              <w:rPr>
                <w:rFonts w:hint="eastAsia" w:ascii="Times New Roman" w:hAnsi="Times New Roman" w:eastAsia="宋体" w:cs="Times New Roman"/>
                <w:sz w:val="24"/>
                <w:szCs w:val="24"/>
                <w:lang w:val="en-US" w:eastAsia="zh-CN"/>
              </w:rPr>
              <w:t>加强设施日常维护，</w:t>
            </w:r>
            <w:r>
              <w:rPr>
                <w:rFonts w:hint="default" w:ascii="Times New Roman" w:hAnsi="Times New Roman" w:eastAsia="宋体" w:cs="Times New Roman"/>
                <w:sz w:val="24"/>
                <w:szCs w:val="24"/>
              </w:rPr>
              <w:t>保证设施良好运行，确保达到预期的</w:t>
            </w:r>
            <w:r>
              <w:rPr>
                <w:rFonts w:hint="eastAsia" w:ascii="Times New Roman" w:hAnsi="Times New Roman" w:eastAsia="宋体" w:cs="Times New Roman"/>
                <w:sz w:val="24"/>
                <w:szCs w:val="24"/>
                <w:lang w:val="en-US" w:eastAsia="zh-CN"/>
              </w:rPr>
              <w:t>污染废物</w:t>
            </w:r>
            <w:r>
              <w:rPr>
                <w:rFonts w:hint="default" w:ascii="Times New Roman" w:hAnsi="Times New Roman" w:eastAsia="宋体" w:cs="Times New Roman"/>
                <w:sz w:val="24"/>
                <w:szCs w:val="24"/>
              </w:rPr>
              <w:t>处理效果，“三废”达标排放。</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6、建设单位要积极协调好该项目与邻里各单位、公司关系，取得相互之间的谅解，避免对周围环境造成不利影响。</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7、做好职工的劳动卫生保护，尤其是应</w:t>
            </w:r>
            <w:r>
              <w:rPr>
                <w:rFonts w:hint="eastAsia" w:ascii="Times New Roman" w:hAnsi="Times New Roman" w:eastAsia="宋体" w:cs="Times New Roman"/>
                <w:sz w:val="24"/>
                <w:szCs w:val="24"/>
                <w:lang w:val="en-US" w:eastAsia="zh-CN"/>
              </w:rPr>
              <w:t>增加通风频次，</w:t>
            </w:r>
            <w:r>
              <w:rPr>
                <w:rFonts w:hint="default" w:ascii="Times New Roman" w:hAnsi="Times New Roman" w:eastAsia="宋体" w:cs="Times New Roman"/>
                <w:sz w:val="24"/>
                <w:szCs w:val="24"/>
              </w:rPr>
              <w:t>加强</w:t>
            </w:r>
            <w:r>
              <w:rPr>
                <w:rFonts w:hint="eastAsia" w:ascii="Times New Roman" w:hAnsi="Times New Roman" w:eastAsia="宋体" w:cs="Times New Roman"/>
                <w:sz w:val="24"/>
                <w:szCs w:val="24"/>
                <w:lang w:val="en-US" w:eastAsia="zh-CN"/>
              </w:rPr>
              <w:t>降噪及</w:t>
            </w:r>
            <w:r>
              <w:rPr>
                <w:rFonts w:hint="default" w:ascii="Times New Roman" w:hAnsi="Times New Roman" w:eastAsia="宋体" w:cs="Times New Roman"/>
                <w:sz w:val="24"/>
                <w:szCs w:val="24"/>
              </w:rPr>
              <w:t>个体防护措施，减少噪声、粉尘等对作业工人的危害。</w:t>
            </w:r>
          </w:p>
          <w:p>
            <w:pPr>
              <w:pStyle w:val="24"/>
              <w:spacing w:line="360" w:lineRule="auto"/>
              <w:ind w:firstLine="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8、加强设备的维护管理，定期检查，定期维护，保证设备正常运行，减轻后续污染处理负荷。</w:t>
            </w:r>
          </w:p>
          <w:p>
            <w:pPr>
              <w:pStyle w:val="24"/>
              <w:spacing w:line="360" w:lineRule="auto"/>
              <w:ind w:firstLine="360"/>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9、建议配备专职环保人员，建立健全环境管理制度。</w:t>
            </w:r>
          </w:p>
        </w:tc>
      </w:tr>
    </w:tbl>
    <w:p>
      <w:pPr>
        <w:rPr>
          <w:rFonts w:hint="default" w:ascii="Times New Roman" w:hAnsi="Times New Roman" w:eastAsia="宋体" w:cs="Times New Roman"/>
          <w:sz w:val="21"/>
          <w:highlight w:val="yellow"/>
        </w:rPr>
      </w:pPr>
    </w:p>
    <w:p>
      <w:pPr>
        <w:rPr>
          <w:rFonts w:hint="default" w:ascii="Times New Roman" w:hAnsi="Times New Roman" w:eastAsia="宋体" w:cs="Times New Roman"/>
          <w:highlight w:val="yellow"/>
        </w:rPr>
        <w:sectPr>
          <w:footerReference r:id="rId9" w:type="default"/>
          <w:pgSz w:w="11906" w:h="16839"/>
          <w:pgMar w:top="400" w:right="1133" w:bottom="1014" w:left="1415" w:header="0" w:footer="854" w:gutter="0"/>
          <w:pgBorders>
            <w:top w:val="none" w:sz="0" w:space="0"/>
            <w:left w:val="none" w:sz="0" w:space="0"/>
            <w:bottom w:val="none" w:sz="0" w:space="0"/>
            <w:right w:val="none" w:sz="0" w:space="0"/>
          </w:pgBorders>
          <w:pgNumType w:fmt="decimal"/>
          <w:cols w:space="720" w:num="1"/>
        </w:sectPr>
      </w:pPr>
    </w:p>
    <w:p>
      <w:pPr>
        <w:adjustRightInd w:val="0"/>
        <w:snapToGrid w:val="0"/>
        <w:spacing w:before="192" w:beforeLines="80"/>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附表</w:t>
      </w:r>
    </w:p>
    <w:p>
      <w:pPr>
        <w:pStyle w:val="24"/>
        <w:ind w:firstLine="880"/>
        <w:jc w:val="center"/>
        <w:outlineLvl w:val="0"/>
        <w:rPr>
          <w:rFonts w:hint="default" w:ascii="Times New Roman" w:hAnsi="Times New Roman" w:eastAsia="宋体" w:cs="Times New Roman"/>
          <w:sz w:val="44"/>
          <w:szCs w:val="44"/>
          <w:highlight w:val="none"/>
        </w:rPr>
      </w:pPr>
      <w:bookmarkStart w:id="80" w:name="_Toc3473"/>
      <w:r>
        <w:rPr>
          <w:rFonts w:hint="default" w:ascii="Times New Roman" w:hAnsi="Times New Roman" w:eastAsia="宋体" w:cs="Times New Roman"/>
          <w:sz w:val="44"/>
          <w:szCs w:val="44"/>
          <w:highlight w:val="none"/>
        </w:rPr>
        <w:t>建设项目污染物排放量汇总表</w:t>
      </w:r>
      <w:bookmarkEnd w:id="80"/>
    </w:p>
    <w:tbl>
      <w:tblPr>
        <w:tblStyle w:val="15"/>
        <w:tblW w:w="1430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126"/>
        <w:gridCol w:w="1701"/>
        <w:gridCol w:w="1276"/>
        <w:gridCol w:w="1701"/>
        <w:gridCol w:w="1559"/>
        <w:gridCol w:w="1761"/>
        <w:gridCol w:w="1959"/>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tcBorders>
              <w:tl2br w:val="single" w:color="auto" w:sz="4" w:space="0"/>
            </w:tcBorders>
            <w:noWrap w:val="0"/>
            <w:tcMar>
              <w:left w:w="28" w:type="dxa"/>
              <w:right w:w="28" w:type="dxa"/>
            </w:tcMar>
            <w:vAlign w:val="center"/>
          </w:tcPr>
          <w:p>
            <w:pPr>
              <w:pStyle w:val="26"/>
              <w:spacing w:beforeLines="0" w:afterLines="0" w:line="240" w:lineRule="auto"/>
              <w:jc w:val="right"/>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项目</w:t>
            </w:r>
          </w:p>
          <w:p>
            <w:pPr>
              <w:pStyle w:val="26"/>
              <w:spacing w:beforeLines="0" w:afterLines="0" w:line="240" w:lineRule="auto"/>
              <w:jc w:val="left"/>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分类</w:t>
            </w:r>
          </w:p>
        </w:tc>
        <w:tc>
          <w:tcPr>
            <w:tcW w:w="2126"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污染物名称</w:t>
            </w:r>
          </w:p>
        </w:tc>
        <w:tc>
          <w:tcPr>
            <w:tcW w:w="1701"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现有工程</w:t>
            </w:r>
          </w:p>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排放量（固体废物产生量）</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1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kern w:val="2"/>
                <w:szCs w:val="21"/>
                <w:highlight w:val="none"/>
              </w:rPr>
              <w:t>①</w:t>
            </w:r>
            <w:r>
              <w:rPr>
                <w:rFonts w:hint="default" w:ascii="Times New Roman" w:hAnsi="Times New Roman" w:eastAsia="宋体" w:cs="Times New Roman"/>
                <w:snapToGrid w:val="0"/>
                <w:spacing w:val="-6"/>
                <w:kern w:val="21"/>
                <w:szCs w:val="21"/>
                <w:highlight w:val="none"/>
              </w:rPr>
              <w:fldChar w:fldCharType="end"/>
            </w:r>
          </w:p>
        </w:tc>
        <w:tc>
          <w:tcPr>
            <w:tcW w:w="1276"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现有工程</w:t>
            </w:r>
          </w:p>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许可排放量</w:t>
            </w:r>
          </w:p>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2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napToGrid w:val="0"/>
                <w:spacing w:val="-6"/>
                <w:kern w:val="21"/>
                <w:szCs w:val="21"/>
                <w:highlight w:val="none"/>
              </w:rPr>
              <w:t>②</w:t>
            </w:r>
            <w:r>
              <w:rPr>
                <w:rFonts w:hint="default" w:ascii="Times New Roman" w:hAnsi="Times New Roman" w:eastAsia="宋体" w:cs="Times New Roman"/>
                <w:snapToGrid w:val="0"/>
                <w:spacing w:val="-6"/>
                <w:kern w:val="21"/>
                <w:szCs w:val="21"/>
                <w:highlight w:val="none"/>
              </w:rPr>
              <w:fldChar w:fldCharType="end"/>
            </w:r>
          </w:p>
        </w:tc>
        <w:tc>
          <w:tcPr>
            <w:tcW w:w="1701"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在建工程</w:t>
            </w:r>
          </w:p>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排放量（固体废物产生量）</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3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kern w:val="2"/>
                <w:szCs w:val="21"/>
                <w:highlight w:val="none"/>
              </w:rPr>
              <w:t>③</w:t>
            </w:r>
            <w:r>
              <w:rPr>
                <w:rFonts w:hint="default" w:ascii="Times New Roman" w:hAnsi="Times New Roman" w:eastAsia="宋体" w:cs="Times New Roman"/>
                <w:snapToGrid w:val="0"/>
                <w:spacing w:val="-6"/>
                <w:kern w:val="21"/>
                <w:szCs w:val="21"/>
                <w:highlight w:val="none"/>
              </w:rPr>
              <w:fldChar w:fldCharType="end"/>
            </w:r>
          </w:p>
        </w:tc>
        <w:tc>
          <w:tcPr>
            <w:tcW w:w="1559"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本项目</w:t>
            </w:r>
          </w:p>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排放量（固体废物产生量）</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4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kern w:val="2"/>
                <w:szCs w:val="21"/>
                <w:highlight w:val="none"/>
              </w:rPr>
              <w:t>④</w:t>
            </w:r>
            <w:r>
              <w:rPr>
                <w:rFonts w:hint="default" w:ascii="Times New Roman" w:hAnsi="Times New Roman" w:eastAsia="宋体" w:cs="Times New Roman"/>
                <w:snapToGrid w:val="0"/>
                <w:spacing w:val="-6"/>
                <w:kern w:val="21"/>
                <w:szCs w:val="21"/>
                <w:highlight w:val="none"/>
              </w:rPr>
              <w:fldChar w:fldCharType="end"/>
            </w:r>
          </w:p>
        </w:tc>
        <w:tc>
          <w:tcPr>
            <w:tcW w:w="1761"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16"/>
                <w:kern w:val="21"/>
                <w:szCs w:val="21"/>
                <w:highlight w:val="none"/>
              </w:rPr>
            </w:pPr>
            <w:r>
              <w:rPr>
                <w:rFonts w:hint="default" w:ascii="Times New Roman" w:hAnsi="Times New Roman" w:eastAsia="宋体" w:cs="Times New Roman"/>
                <w:snapToGrid w:val="0"/>
                <w:spacing w:val="-16"/>
                <w:kern w:val="21"/>
                <w:szCs w:val="21"/>
                <w:highlight w:val="none"/>
              </w:rPr>
              <w:t>以新带老削减量</w:t>
            </w:r>
          </w:p>
          <w:p>
            <w:pPr>
              <w:pStyle w:val="26"/>
              <w:spacing w:beforeLines="0" w:afterLines="0" w:line="240" w:lineRule="auto"/>
              <w:rPr>
                <w:rFonts w:hint="default" w:ascii="Times New Roman" w:hAnsi="Times New Roman" w:eastAsia="宋体" w:cs="Times New Roman"/>
                <w:snapToGrid w:val="0"/>
                <w:spacing w:val="-16"/>
                <w:kern w:val="21"/>
                <w:szCs w:val="21"/>
                <w:highlight w:val="none"/>
              </w:rPr>
            </w:pPr>
            <w:r>
              <w:rPr>
                <w:rFonts w:hint="default" w:ascii="Times New Roman" w:hAnsi="Times New Roman" w:eastAsia="宋体" w:cs="Times New Roman"/>
                <w:snapToGrid w:val="0"/>
                <w:spacing w:val="-16"/>
                <w:kern w:val="21"/>
                <w:szCs w:val="21"/>
                <w:highlight w:val="none"/>
              </w:rPr>
              <w:t>（新建项目不填）</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5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kern w:val="2"/>
                <w:szCs w:val="21"/>
                <w:highlight w:val="none"/>
              </w:rPr>
              <w:t>⑤</w:t>
            </w:r>
            <w:r>
              <w:rPr>
                <w:rFonts w:hint="default" w:ascii="Times New Roman" w:hAnsi="Times New Roman" w:eastAsia="宋体" w:cs="Times New Roman"/>
                <w:snapToGrid w:val="0"/>
                <w:spacing w:val="-16"/>
                <w:kern w:val="21"/>
                <w:szCs w:val="21"/>
                <w:highlight w:val="none"/>
              </w:rPr>
              <w:fldChar w:fldCharType="end"/>
            </w:r>
          </w:p>
        </w:tc>
        <w:tc>
          <w:tcPr>
            <w:tcW w:w="1959"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16"/>
                <w:kern w:val="21"/>
                <w:szCs w:val="21"/>
                <w:highlight w:val="none"/>
              </w:rPr>
            </w:pPr>
            <w:r>
              <w:rPr>
                <w:rFonts w:hint="default" w:ascii="Times New Roman" w:hAnsi="Times New Roman" w:eastAsia="宋体" w:cs="Times New Roman"/>
                <w:snapToGrid w:val="0"/>
                <w:spacing w:val="-16"/>
                <w:kern w:val="21"/>
                <w:szCs w:val="21"/>
                <w:highlight w:val="none"/>
              </w:rPr>
              <w:t>本项目建成后</w:t>
            </w:r>
          </w:p>
          <w:p>
            <w:pPr>
              <w:pStyle w:val="26"/>
              <w:spacing w:beforeLines="0" w:afterLines="0" w:line="240" w:lineRule="auto"/>
              <w:rPr>
                <w:rFonts w:hint="default" w:ascii="Times New Roman" w:hAnsi="Times New Roman" w:eastAsia="宋体" w:cs="Times New Roman"/>
                <w:snapToGrid w:val="0"/>
                <w:spacing w:val="-16"/>
                <w:kern w:val="21"/>
                <w:szCs w:val="21"/>
                <w:highlight w:val="none"/>
              </w:rPr>
            </w:pPr>
            <w:r>
              <w:rPr>
                <w:rFonts w:hint="default" w:ascii="Times New Roman" w:hAnsi="Times New Roman" w:eastAsia="宋体" w:cs="Times New Roman"/>
                <w:snapToGrid w:val="0"/>
                <w:spacing w:val="-16"/>
                <w:kern w:val="21"/>
                <w:szCs w:val="21"/>
                <w:highlight w:val="none"/>
              </w:rPr>
              <w:t>全厂排放量（固体废物产生量）</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6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kern w:val="2"/>
                <w:szCs w:val="21"/>
                <w:highlight w:val="none"/>
              </w:rPr>
              <w:t>⑥</w:t>
            </w:r>
            <w:r>
              <w:rPr>
                <w:rFonts w:hint="default" w:ascii="Times New Roman" w:hAnsi="Times New Roman" w:eastAsia="宋体" w:cs="Times New Roman"/>
                <w:snapToGrid w:val="0"/>
                <w:spacing w:val="-16"/>
                <w:kern w:val="21"/>
                <w:szCs w:val="21"/>
                <w:highlight w:val="none"/>
              </w:rPr>
              <w:fldChar w:fldCharType="end"/>
            </w:r>
          </w:p>
        </w:tc>
        <w:tc>
          <w:tcPr>
            <w:tcW w:w="1347" w:type="dxa"/>
            <w:noWrap w:val="0"/>
            <w:tcMar>
              <w:left w:w="28" w:type="dxa"/>
              <w:right w:w="28" w:type="dxa"/>
            </w:tcMar>
            <w:vAlign w:val="center"/>
          </w:tcPr>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t>变化量</w:t>
            </w:r>
          </w:p>
          <w:p>
            <w:pPr>
              <w:pStyle w:val="26"/>
              <w:spacing w:beforeLines="0" w:afterLines="0" w:line="240" w:lineRule="auto"/>
              <w:rPr>
                <w:rFonts w:hint="default" w:ascii="Times New Roman" w:hAnsi="Times New Roman" w:eastAsia="宋体" w:cs="Times New Roman"/>
                <w:snapToGrid w:val="0"/>
                <w:spacing w:val="-6"/>
                <w:kern w:val="21"/>
                <w:szCs w:val="21"/>
                <w:highlight w:val="none"/>
              </w:rPr>
            </w:pP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7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kern w:val="2"/>
                <w:szCs w:val="21"/>
                <w:highlight w:val="none"/>
              </w:rPr>
              <w:t>⑦</w:t>
            </w:r>
            <w:r>
              <w:rPr>
                <w:rFonts w:hint="default" w:ascii="Times New Roman" w:hAnsi="Times New Roman" w:eastAsia="宋体" w:cs="Times New Roman"/>
                <w:snapToGrid w:val="0"/>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restart"/>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default" w:ascii="Times New Roman" w:hAnsi="Times New Roman" w:eastAsia="宋体" w:cs="Times New Roman"/>
                <w:snapToGrid w:val="0"/>
                <w:kern w:val="21"/>
                <w:szCs w:val="21"/>
                <w:highlight w:val="none"/>
              </w:rPr>
              <w:t>废气</w:t>
            </w:r>
          </w:p>
        </w:tc>
        <w:tc>
          <w:tcPr>
            <w:tcW w:w="2126"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highlight w:val="none"/>
              </w:rPr>
              <w:t>颗粒物</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559" w:type="dxa"/>
            <w:noWrap w:val="0"/>
            <w:vAlign w:val="center"/>
          </w:tcPr>
          <w:p>
            <w:pPr>
              <w:adjustRightInd w:val="0"/>
              <w:snapToGrid w:val="0"/>
              <w:spacing w:line="240" w:lineRule="auto"/>
              <w:jc w:val="center"/>
              <w:rPr>
                <w:rFonts w:hint="default" w:ascii="Times New Roman" w:hAnsi="Times New Roman" w:eastAsia="宋体" w:cs="Times New Roman"/>
                <w:color w:val="0000FF"/>
                <w:szCs w:val="21"/>
                <w:highlight w:val="none"/>
              </w:rPr>
            </w:pPr>
            <w:r>
              <w:rPr>
                <w:rFonts w:hint="eastAsia" w:ascii="Times New Roman" w:hAnsi="Times New Roman" w:eastAsia="宋体" w:cs="Times New Roman"/>
                <w:color w:val="0000FF"/>
                <w:highlight w:val="none"/>
                <w:lang w:val="en-US" w:eastAsia="zh-CN"/>
              </w:rPr>
              <w:t>11.438</w:t>
            </w:r>
            <w:r>
              <w:rPr>
                <w:rFonts w:hint="default" w:ascii="Times New Roman" w:hAnsi="Times New Roman" w:eastAsia="宋体" w:cs="Times New Roman"/>
                <w:snapToGrid w:val="0"/>
                <w:color w:val="0000FF"/>
                <w:kern w:val="21"/>
                <w:szCs w:val="21"/>
                <w:highlight w:val="none"/>
              </w:rPr>
              <w:t>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959" w:type="dxa"/>
            <w:noWrap w:val="0"/>
            <w:vAlign w:val="center"/>
          </w:tcPr>
          <w:p>
            <w:pPr>
              <w:adjustRightInd w:val="0"/>
              <w:snapToGrid w:val="0"/>
              <w:spacing w:line="240" w:lineRule="auto"/>
              <w:jc w:val="center"/>
              <w:rPr>
                <w:rFonts w:hint="default" w:ascii="Times New Roman" w:hAnsi="Times New Roman" w:eastAsia="宋体" w:cs="Times New Roman"/>
                <w:color w:val="0000FF"/>
                <w:szCs w:val="21"/>
                <w:highlight w:val="none"/>
              </w:rPr>
            </w:pPr>
            <w:r>
              <w:rPr>
                <w:rFonts w:hint="eastAsia" w:ascii="Times New Roman" w:hAnsi="Times New Roman" w:eastAsia="宋体" w:cs="Times New Roman"/>
                <w:color w:val="0000FF"/>
                <w:highlight w:val="none"/>
                <w:lang w:val="en-US" w:eastAsia="zh-CN"/>
              </w:rPr>
              <w:t>11.438</w:t>
            </w:r>
            <w:r>
              <w:rPr>
                <w:rFonts w:hint="default" w:ascii="Times New Roman" w:hAnsi="Times New Roman" w:eastAsia="宋体" w:cs="Times New Roman"/>
                <w:snapToGrid w:val="0"/>
                <w:color w:val="0000FF"/>
                <w:kern w:val="21"/>
                <w:szCs w:val="21"/>
                <w:highlight w:val="none"/>
              </w:rPr>
              <w:t>/a</w:t>
            </w:r>
          </w:p>
        </w:tc>
        <w:tc>
          <w:tcPr>
            <w:tcW w:w="1347"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eastAsia" w:ascii="Times New Roman" w:hAnsi="Times New Roman" w:eastAsia="宋体" w:cs="Times New Roman"/>
                <w:color w:val="0000FF"/>
                <w:highlight w:val="none"/>
                <w:lang w:val="en-US" w:eastAsia="zh-CN"/>
              </w:rPr>
              <w:t>+11.438</w:t>
            </w:r>
            <w:r>
              <w:rPr>
                <w:rFonts w:hint="default" w:ascii="Times New Roman" w:hAnsi="Times New Roman" w:eastAsia="宋体" w:cs="Times New Roman"/>
                <w:snapToGrid w:val="0"/>
                <w:color w:val="0000FF"/>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2126" w:type="dxa"/>
            <w:noWrap w:val="0"/>
            <w:vAlign w:val="center"/>
          </w:tcPr>
          <w:p>
            <w:pPr>
              <w:adjustRightInd w:val="0"/>
              <w:snapToGrid w:val="0"/>
              <w:spacing w:line="240" w:lineRule="auto"/>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非甲烷总烃</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559" w:type="dxa"/>
            <w:noWrap w:val="0"/>
            <w:vAlign w:val="center"/>
          </w:tcPr>
          <w:p>
            <w:pPr>
              <w:adjustRightInd w:val="0"/>
              <w:snapToGrid w:val="0"/>
              <w:spacing w:line="240" w:lineRule="auto"/>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0.039</w:t>
            </w:r>
            <w:r>
              <w:rPr>
                <w:rFonts w:hint="default" w:ascii="Times New Roman" w:hAnsi="Times New Roman" w:eastAsia="宋体" w:cs="Times New Roman"/>
                <w:snapToGrid w:val="0"/>
                <w:color w:val="0000FF"/>
                <w:kern w:val="21"/>
                <w:szCs w:val="21"/>
                <w:highlight w:val="none"/>
              </w:rPr>
              <w:t>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959" w:type="dxa"/>
            <w:noWrap w:val="0"/>
            <w:vAlign w:val="center"/>
          </w:tcPr>
          <w:p>
            <w:pPr>
              <w:adjustRightInd w:val="0"/>
              <w:snapToGrid w:val="0"/>
              <w:spacing w:line="240" w:lineRule="auto"/>
              <w:jc w:val="center"/>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0.039</w:t>
            </w:r>
            <w:r>
              <w:rPr>
                <w:rFonts w:hint="default" w:ascii="Times New Roman" w:hAnsi="Times New Roman" w:eastAsia="宋体" w:cs="Times New Roman"/>
                <w:snapToGrid w:val="0"/>
                <w:color w:val="0000FF"/>
                <w:kern w:val="21"/>
                <w:szCs w:val="21"/>
                <w:highlight w:val="none"/>
              </w:rPr>
              <w:t>t/a</w:t>
            </w:r>
          </w:p>
        </w:tc>
        <w:tc>
          <w:tcPr>
            <w:tcW w:w="1347"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eastAsia" w:ascii="Times New Roman" w:hAnsi="Times New Roman" w:eastAsia="宋体" w:cs="Times New Roman"/>
                <w:color w:val="0000FF"/>
                <w:highlight w:val="none"/>
                <w:lang w:val="en-US" w:eastAsia="zh-CN"/>
              </w:rPr>
              <w:t>+0.039</w:t>
            </w:r>
            <w:r>
              <w:rPr>
                <w:rFonts w:hint="default" w:ascii="Times New Roman" w:hAnsi="Times New Roman" w:eastAsia="宋体" w:cs="Times New Roman"/>
                <w:snapToGrid w:val="0"/>
                <w:color w:val="0000FF"/>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2126" w:type="dxa"/>
            <w:noWrap w:val="0"/>
            <w:vAlign w:val="center"/>
          </w:tcPr>
          <w:p>
            <w:pPr>
              <w:adjustRightInd w:val="0"/>
              <w:snapToGrid w:val="0"/>
              <w:spacing w:line="240" w:lineRule="auto"/>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油烟</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559" w:type="dxa"/>
            <w:noWrap w:val="0"/>
            <w:vAlign w:val="center"/>
          </w:tcPr>
          <w:p>
            <w:pPr>
              <w:adjustRightInd w:val="0"/>
              <w:snapToGrid w:val="0"/>
              <w:spacing w:line="240" w:lineRule="auto"/>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0.004</w:t>
            </w:r>
            <w:r>
              <w:rPr>
                <w:rFonts w:hint="default" w:ascii="Times New Roman" w:hAnsi="Times New Roman" w:eastAsia="宋体" w:cs="Times New Roman"/>
                <w:snapToGrid w:val="0"/>
                <w:color w:val="0000FF"/>
                <w:kern w:val="21"/>
                <w:szCs w:val="21"/>
                <w:highlight w:val="none"/>
              </w:rPr>
              <w:t>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959" w:type="dxa"/>
            <w:noWrap w:val="0"/>
            <w:vAlign w:val="center"/>
          </w:tcPr>
          <w:p>
            <w:pPr>
              <w:adjustRightInd w:val="0"/>
              <w:snapToGrid w:val="0"/>
              <w:spacing w:line="240" w:lineRule="auto"/>
              <w:jc w:val="center"/>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0.004</w:t>
            </w:r>
            <w:r>
              <w:rPr>
                <w:rFonts w:hint="default" w:ascii="Times New Roman" w:hAnsi="Times New Roman" w:eastAsia="宋体" w:cs="Times New Roman"/>
                <w:snapToGrid w:val="0"/>
                <w:color w:val="0000FF"/>
                <w:kern w:val="21"/>
                <w:szCs w:val="21"/>
                <w:highlight w:val="none"/>
              </w:rPr>
              <w:t>t/a</w:t>
            </w:r>
          </w:p>
        </w:tc>
        <w:tc>
          <w:tcPr>
            <w:tcW w:w="1347" w:type="dxa"/>
            <w:noWrap w:val="0"/>
            <w:vAlign w:val="center"/>
          </w:tcPr>
          <w:p>
            <w:pPr>
              <w:pStyle w:val="26"/>
              <w:spacing w:beforeLines="0" w:afterLines="0" w:line="240" w:lineRule="auto"/>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+0.004</w:t>
            </w:r>
            <w:r>
              <w:rPr>
                <w:rFonts w:hint="default" w:ascii="Times New Roman" w:hAnsi="Times New Roman" w:eastAsia="宋体" w:cs="Times New Roman"/>
                <w:snapToGrid w:val="0"/>
                <w:color w:val="0000FF"/>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2126"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highlight w:val="none"/>
              </w:rPr>
              <w:t>SO</w:t>
            </w:r>
            <w:r>
              <w:rPr>
                <w:rFonts w:hint="default" w:ascii="Times New Roman" w:hAnsi="Times New Roman" w:eastAsia="宋体" w:cs="Times New Roman"/>
                <w:highlight w:val="none"/>
                <w:vertAlign w:val="subscript"/>
              </w:rPr>
              <w:t>2</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559"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highlight w:val="none"/>
                <w:lang w:val="en-US" w:eastAsia="zh-CN"/>
              </w:rPr>
              <w:t>0</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959"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highlight w:val="none"/>
                <w:lang w:val="en-US" w:eastAsia="zh-CN"/>
              </w:rPr>
              <w:t>0</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26"/>
              <w:spacing w:beforeLines="0" w:afterLines="0" w:line="240" w:lineRule="auto"/>
              <w:rPr>
                <w:rFonts w:hint="eastAsia" w:ascii="Times New Roman" w:hAnsi="Times New Roman" w:eastAsia="宋体" w:cs="Times New Roman"/>
                <w:snapToGrid w:val="0"/>
                <w:kern w:val="21"/>
                <w:szCs w:val="21"/>
                <w:highlight w:val="none"/>
                <w:lang w:val="en-US" w:eastAsia="zh-CN"/>
              </w:rPr>
            </w:pPr>
            <w:r>
              <w:rPr>
                <w:rFonts w:hint="eastAsia" w:ascii="Times New Roman" w:hAnsi="Times New Roman" w:eastAsia="宋体" w:cs="Times New Roman"/>
                <w:snapToGrid w:val="0"/>
                <w:kern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2126"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highlight w:val="none"/>
              </w:rPr>
              <w:t>NOx</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559"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highlight w:val="none"/>
                <w:lang w:val="en-US" w:eastAsia="zh-CN"/>
              </w:rPr>
              <w:t>0</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959"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highlight w:val="none"/>
                <w:lang w:val="en-US" w:eastAsia="zh-CN"/>
              </w:rPr>
              <w:t>0</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26"/>
              <w:spacing w:beforeLines="0" w:afterLines="0" w:line="240" w:lineRule="auto"/>
              <w:rPr>
                <w:rFonts w:hint="eastAsia" w:ascii="Times New Roman" w:hAnsi="Times New Roman" w:eastAsia="宋体" w:cs="Times New Roman"/>
                <w:snapToGrid w:val="0"/>
                <w:kern w:val="21"/>
                <w:szCs w:val="21"/>
                <w:highlight w:val="none"/>
                <w:lang w:val="en-US" w:eastAsia="zh-CN"/>
              </w:rPr>
            </w:pPr>
            <w:r>
              <w:rPr>
                <w:rFonts w:hint="eastAsia" w:ascii="Times New Roman" w:hAnsi="Times New Roman" w:eastAsia="宋体" w:cs="Times New Roman"/>
                <w:snapToGrid w:val="0"/>
                <w:kern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restart"/>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default" w:ascii="Times New Roman" w:hAnsi="Times New Roman" w:eastAsia="宋体" w:cs="Times New Roman"/>
                <w:snapToGrid w:val="0"/>
                <w:kern w:val="21"/>
                <w:szCs w:val="21"/>
                <w:highlight w:val="none"/>
              </w:rPr>
              <w:t>废水</w:t>
            </w:r>
          </w:p>
        </w:tc>
        <w:tc>
          <w:tcPr>
            <w:tcW w:w="212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default" w:ascii="Times New Roman" w:hAnsi="Times New Roman" w:eastAsia="宋体" w:cs="Times New Roman"/>
                <w:snapToGrid w:val="0"/>
                <w:kern w:val="21"/>
                <w:szCs w:val="21"/>
                <w:highlight w:val="none"/>
              </w:rPr>
              <w:t>废水量</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559"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eastAsia" w:ascii="Times New Roman" w:hAnsi="Times New Roman" w:eastAsia="宋体" w:cs="Times New Roman"/>
                <w:snapToGrid w:val="0"/>
                <w:color w:val="0000FF"/>
                <w:kern w:val="21"/>
                <w:szCs w:val="21"/>
                <w:highlight w:val="none"/>
                <w:lang w:val="en-US" w:eastAsia="zh-CN"/>
              </w:rPr>
              <w:t>1514.7</w:t>
            </w:r>
            <w:r>
              <w:rPr>
                <w:rFonts w:hint="default" w:ascii="Times New Roman" w:hAnsi="Times New Roman" w:eastAsia="宋体" w:cs="Times New Roman"/>
                <w:snapToGrid w:val="0"/>
                <w:color w:val="0000FF"/>
                <w:kern w:val="21"/>
                <w:szCs w:val="21"/>
                <w:highlight w:val="none"/>
              </w:rPr>
              <w:t xml:space="preserve"> 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p>
        </w:tc>
        <w:tc>
          <w:tcPr>
            <w:tcW w:w="1959"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eastAsia" w:ascii="Times New Roman" w:hAnsi="Times New Roman" w:eastAsia="宋体" w:cs="Times New Roman"/>
                <w:snapToGrid w:val="0"/>
                <w:color w:val="0000FF"/>
                <w:kern w:val="21"/>
                <w:szCs w:val="21"/>
                <w:highlight w:val="none"/>
                <w:lang w:val="en-US" w:eastAsia="zh-CN"/>
              </w:rPr>
              <w:t>1514.7</w:t>
            </w:r>
            <w:r>
              <w:rPr>
                <w:rFonts w:hint="default" w:ascii="Times New Roman" w:hAnsi="Times New Roman" w:eastAsia="宋体" w:cs="Times New Roman"/>
                <w:snapToGrid w:val="0"/>
                <w:color w:val="0000FF"/>
                <w:kern w:val="21"/>
                <w:szCs w:val="21"/>
                <w:highlight w:val="none"/>
              </w:rPr>
              <w:t xml:space="preserve"> t/a</w:t>
            </w:r>
          </w:p>
        </w:tc>
        <w:tc>
          <w:tcPr>
            <w:tcW w:w="1347"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eastAsia" w:ascii="Times New Roman" w:hAnsi="Times New Roman" w:eastAsia="宋体" w:cs="Times New Roman"/>
                <w:snapToGrid w:val="0"/>
                <w:color w:val="0000FF"/>
                <w:kern w:val="21"/>
                <w:szCs w:val="21"/>
                <w:highlight w:val="none"/>
                <w:lang w:val="en-US" w:eastAsia="zh-CN"/>
              </w:rPr>
              <w:t>+1514.7</w:t>
            </w:r>
            <w:r>
              <w:rPr>
                <w:rFonts w:hint="default" w:ascii="Times New Roman" w:hAnsi="Times New Roman" w:eastAsia="宋体" w:cs="Times New Roman"/>
                <w:snapToGrid w:val="0"/>
                <w:color w:val="0000FF"/>
                <w:kern w:val="21"/>
                <w:szCs w:val="21"/>
                <w:highlight w:val="none"/>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212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default" w:ascii="Times New Roman" w:hAnsi="Times New Roman" w:eastAsia="宋体" w:cs="Times New Roman"/>
                <w:snapToGrid w:val="0"/>
                <w:kern w:val="21"/>
                <w:szCs w:val="21"/>
                <w:highlight w:val="none"/>
              </w:rPr>
              <w:t>COD</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559"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default" w:ascii="Times New Roman" w:hAnsi="Times New Roman" w:eastAsia="宋体" w:cs="Times New Roman"/>
                <w:snapToGrid w:val="0"/>
                <w:color w:val="0000FF"/>
                <w:kern w:val="21"/>
                <w:szCs w:val="21"/>
                <w:highlight w:val="none"/>
              </w:rPr>
              <w:t>0</w:t>
            </w:r>
            <w:r>
              <w:rPr>
                <w:rFonts w:hint="eastAsia" w:ascii="Times New Roman" w:hAnsi="Times New Roman" w:eastAsia="宋体" w:cs="Times New Roman"/>
                <w:snapToGrid w:val="0"/>
                <w:color w:val="0000FF"/>
                <w:kern w:val="21"/>
                <w:szCs w:val="21"/>
                <w:highlight w:val="none"/>
                <w:lang w:val="en-US" w:eastAsia="zh-CN"/>
              </w:rPr>
              <w:t>.061</w:t>
            </w:r>
            <w:r>
              <w:rPr>
                <w:rFonts w:hint="default" w:ascii="Times New Roman" w:hAnsi="Times New Roman" w:eastAsia="宋体" w:cs="Times New Roman"/>
                <w:snapToGrid w:val="0"/>
                <w:color w:val="0000FF"/>
                <w:kern w:val="21"/>
                <w:szCs w:val="21"/>
                <w:highlight w:val="none"/>
              </w:rPr>
              <w:t>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959"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default" w:ascii="Times New Roman" w:hAnsi="Times New Roman" w:eastAsia="宋体" w:cs="Times New Roman"/>
                <w:snapToGrid w:val="0"/>
                <w:color w:val="0000FF"/>
                <w:kern w:val="21"/>
                <w:szCs w:val="21"/>
                <w:highlight w:val="none"/>
              </w:rPr>
              <w:t>0</w:t>
            </w:r>
            <w:r>
              <w:rPr>
                <w:rFonts w:hint="eastAsia" w:ascii="Times New Roman" w:hAnsi="Times New Roman" w:eastAsia="宋体" w:cs="Times New Roman"/>
                <w:snapToGrid w:val="0"/>
                <w:color w:val="0000FF"/>
                <w:kern w:val="21"/>
                <w:szCs w:val="21"/>
                <w:highlight w:val="none"/>
                <w:lang w:val="en-US" w:eastAsia="zh-CN"/>
              </w:rPr>
              <w:t>.061</w:t>
            </w:r>
            <w:r>
              <w:rPr>
                <w:rFonts w:hint="default" w:ascii="Times New Roman" w:hAnsi="Times New Roman" w:eastAsia="宋体" w:cs="Times New Roman"/>
                <w:snapToGrid w:val="0"/>
                <w:color w:val="0000FF"/>
                <w:kern w:val="21"/>
                <w:szCs w:val="21"/>
                <w:highlight w:val="none"/>
              </w:rPr>
              <w:t>t/a</w:t>
            </w:r>
          </w:p>
        </w:tc>
        <w:tc>
          <w:tcPr>
            <w:tcW w:w="1347"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snapToGrid w:val="0"/>
                <w:color w:val="0000FF"/>
                <w:kern w:val="21"/>
                <w:szCs w:val="21"/>
                <w:highlight w:val="none"/>
              </w:rPr>
              <w:t>0</w:t>
            </w:r>
            <w:r>
              <w:rPr>
                <w:rFonts w:hint="eastAsia" w:ascii="Times New Roman" w:hAnsi="Times New Roman" w:eastAsia="宋体" w:cs="Times New Roman"/>
                <w:snapToGrid w:val="0"/>
                <w:color w:val="0000FF"/>
                <w:kern w:val="21"/>
                <w:szCs w:val="21"/>
                <w:highlight w:val="none"/>
                <w:lang w:val="en-US" w:eastAsia="zh-CN"/>
              </w:rPr>
              <w:t>.061</w:t>
            </w:r>
            <w:r>
              <w:rPr>
                <w:rFonts w:hint="default" w:ascii="Times New Roman" w:hAnsi="Times New Roman" w:eastAsia="宋体" w:cs="Times New Roman"/>
                <w:snapToGrid w:val="0"/>
                <w:color w:val="0000FF"/>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212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default" w:ascii="Times New Roman" w:hAnsi="Times New Roman" w:eastAsia="宋体" w:cs="Times New Roman"/>
                <w:snapToGrid w:val="0"/>
                <w:kern w:val="21"/>
                <w:szCs w:val="21"/>
                <w:highlight w:val="none"/>
              </w:rPr>
              <w:t>NH</w:t>
            </w:r>
            <w:r>
              <w:rPr>
                <w:rFonts w:hint="default" w:ascii="Times New Roman" w:hAnsi="Times New Roman" w:eastAsia="宋体" w:cs="Times New Roman"/>
                <w:snapToGrid w:val="0"/>
                <w:kern w:val="21"/>
                <w:szCs w:val="21"/>
                <w:highlight w:val="none"/>
                <w:vertAlign w:val="subscript"/>
              </w:rPr>
              <w:t>3</w:t>
            </w:r>
            <w:r>
              <w:rPr>
                <w:rFonts w:hint="default" w:ascii="Times New Roman" w:hAnsi="Times New Roman" w:eastAsia="宋体" w:cs="Times New Roman"/>
                <w:snapToGrid w:val="0"/>
                <w:kern w:val="21"/>
                <w:szCs w:val="21"/>
                <w:highlight w:val="none"/>
              </w:rPr>
              <w:t>-N</w:t>
            </w: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276"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70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559"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default" w:ascii="Times New Roman" w:hAnsi="Times New Roman" w:eastAsia="宋体" w:cs="Times New Roman"/>
                <w:snapToGrid w:val="0"/>
                <w:color w:val="0000FF"/>
                <w:kern w:val="21"/>
                <w:szCs w:val="21"/>
                <w:highlight w:val="none"/>
              </w:rPr>
              <w:t>0</w:t>
            </w:r>
            <w:r>
              <w:rPr>
                <w:rFonts w:hint="eastAsia" w:ascii="Times New Roman" w:hAnsi="Times New Roman" w:eastAsia="宋体" w:cs="Times New Roman"/>
                <w:snapToGrid w:val="0"/>
                <w:color w:val="0000FF"/>
                <w:kern w:val="21"/>
                <w:szCs w:val="21"/>
                <w:highlight w:val="none"/>
                <w:lang w:val="en-US" w:eastAsia="zh-CN"/>
              </w:rPr>
              <w:t>.008</w:t>
            </w:r>
            <w:r>
              <w:rPr>
                <w:rFonts w:hint="default" w:ascii="Times New Roman" w:hAnsi="Times New Roman" w:eastAsia="宋体" w:cs="Times New Roman"/>
                <w:snapToGrid w:val="0"/>
                <w:color w:val="0000FF"/>
                <w:kern w:val="21"/>
                <w:szCs w:val="21"/>
                <w:highlight w:val="none"/>
              </w:rPr>
              <w:t>t/a</w:t>
            </w:r>
          </w:p>
        </w:tc>
        <w:tc>
          <w:tcPr>
            <w:tcW w:w="1761"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p>
        </w:tc>
        <w:tc>
          <w:tcPr>
            <w:tcW w:w="1959"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default" w:ascii="Times New Roman" w:hAnsi="Times New Roman" w:eastAsia="宋体" w:cs="Times New Roman"/>
                <w:snapToGrid w:val="0"/>
                <w:color w:val="0000FF"/>
                <w:kern w:val="21"/>
                <w:szCs w:val="21"/>
                <w:highlight w:val="none"/>
              </w:rPr>
              <w:t>0</w:t>
            </w:r>
            <w:r>
              <w:rPr>
                <w:rFonts w:hint="eastAsia" w:ascii="Times New Roman" w:hAnsi="Times New Roman" w:eastAsia="宋体" w:cs="Times New Roman"/>
                <w:snapToGrid w:val="0"/>
                <w:color w:val="0000FF"/>
                <w:kern w:val="21"/>
                <w:szCs w:val="21"/>
                <w:highlight w:val="none"/>
                <w:lang w:val="en-US" w:eastAsia="zh-CN"/>
              </w:rPr>
              <w:t>.008</w:t>
            </w:r>
            <w:r>
              <w:rPr>
                <w:rFonts w:hint="default" w:ascii="Times New Roman" w:hAnsi="Times New Roman" w:eastAsia="宋体" w:cs="Times New Roman"/>
                <w:snapToGrid w:val="0"/>
                <w:color w:val="0000FF"/>
                <w:kern w:val="21"/>
                <w:szCs w:val="21"/>
                <w:highlight w:val="none"/>
              </w:rPr>
              <w:t>t/a</w:t>
            </w:r>
          </w:p>
        </w:tc>
        <w:tc>
          <w:tcPr>
            <w:tcW w:w="1347" w:type="dxa"/>
            <w:noWrap w:val="0"/>
            <w:vAlign w:val="center"/>
          </w:tcPr>
          <w:p>
            <w:pPr>
              <w:pStyle w:val="26"/>
              <w:spacing w:beforeLines="0" w:afterLines="0" w:line="240" w:lineRule="auto"/>
              <w:rPr>
                <w:rFonts w:hint="default" w:ascii="Times New Roman" w:hAnsi="Times New Roman" w:eastAsia="宋体" w:cs="Times New Roman"/>
                <w:snapToGrid w:val="0"/>
                <w:kern w:val="21"/>
                <w:szCs w:val="21"/>
                <w:highlight w:val="none"/>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snapToGrid w:val="0"/>
                <w:color w:val="0000FF"/>
                <w:kern w:val="21"/>
                <w:szCs w:val="21"/>
                <w:highlight w:val="none"/>
              </w:rPr>
              <w:t>0</w:t>
            </w:r>
            <w:r>
              <w:rPr>
                <w:rFonts w:hint="eastAsia" w:ascii="Times New Roman" w:hAnsi="Times New Roman" w:eastAsia="宋体" w:cs="Times New Roman"/>
                <w:snapToGrid w:val="0"/>
                <w:color w:val="0000FF"/>
                <w:kern w:val="21"/>
                <w:szCs w:val="21"/>
                <w:highlight w:val="none"/>
                <w:lang w:val="en-US" w:eastAsia="zh-CN"/>
              </w:rPr>
              <w:t>.008</w:t>
            </w:r>
            <w:r>
              <w:rPr>
                <w:rFonts w:hint="default" w:ascii="Times New Roman" w:hAnsi="Times New Roman" w:eastAsia="宋体" w:cs="Times New Roman"/>
                <w:snapToGrid w:val="0"/>
                <w:color w:val="0000FF"/>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restart"/>
            <w:noWrap w:val="0"/>
            <w:vAlign w:val="center"/>
          </w:tcPr>
          <w:p>
            <w:pPr>
              <w:pStyle w:val="26"/>
              <w:spacing w:beforeLines="0" w:afterLines="0" w:line="240" w:lineRule="auto"/>
              <w:rPr>
                <w:rFonts w:hint="default" w:ascii="Times New Roman" w:hAnsi="Times New Roman" w:eastAsia="宋体" w:cs="Times New Roman"/>
                <w:snapToGrid w:val="0"/>
                <w:color w:val="auto"/>
                <w:kern w:val="21"/>
                <w:szCs w:val="21"/>
                <w:highlight w:val="none"/>
              </w:rPr>
            </w:pPr>
            <w:r>
              <w:rPr>
                <w:rFonts w:hint="default" w:ascii="Times New Roman" w:hAnsi="Times New Roman" w:eastAsia="宋体" w:cs="Times New Roman"/>
                <w:snapToGrid w:val="0"/>
                <w:color w:val="auto"/>
                <w:kern w:val="21"/>
                <w:szCs w:val="21"/>
                <w:highlight w:val="none"/>
              </w:rPr>
              <w:t>一般工业固体废物</w:t>
            </w:r>
          </w:p>
        </w:tc>
        <w:tc>
          <w:tcPr>
            <w:tcW w:w="2126" w:type="dxa"/>
            <w:noWrap w:val="0"/>
            <w:vAlign w:val="center"/>
          </w:tcPr>
          <w:p>
            <w:pPr>
              <w:spacing w:line="240" w:lineRule="auto"/>
              <w:jc w:val="center"/>
              <w:rPr>
                <w:rFonts w:hint="default" w:ascii="Times New Roman" w:hAnsi="Times New Roman" w:eastAsia="宋体" w:cs="Times New Roman"/>
                <w:snapToGrid w:val="0"/>
                <w:color w:val="000000"/>
                <w:kern w:val="0"/>
                <w:sz w:val="21"/>
                <w:szCs w:val="21"/>
                <w:highlight w:val="none"/>
                <w:u w:val="none"/>
              </w:rPr>
            </w:pPr>
            <w:r>
              <w:rPr>
                <w:rFonts w:hint="default" w:ascii="Times New Roman" w:hAnsi="Times New Roman" w:eastAsia="宋体" w:cs="Times New Roman"/>
                <w:sz w:val="21"/>
                <w:szCs w:val="21"/>
                <w:highlight w:val="none"/>
                <w:u w:val="none"/>
              </w:rPr>
              <w:t>除尘装置收集的粉尘</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1559" w:type="dxa"/>
            <w:noWrap w:val="0"/>
            <w:vAlign w:val="center"/>
          </w:tcPr>
          <w:p>
            <w:pPr>
              <w:pStyle w:val="37"/>
              <w:spacing w:line="240" w:lineRule="auto"/>
              <w:rPr>
                <w:rFonts w:hint="default" w:ascii="Times New Roman" w:hAnsi="Times New Roman" w:eastAsia="宋体" w:cs="Times New Roman"/>
                <w:snapToGrid w:val="0"/>
                <w:color w:val="0000FF"/>
                <w:kern w:val="0"/>
                <w:sz w:val="21"/>
                <w:szCs w:val="21"/>
                <w:highlight w:val="none"/>
                <w:u w:val="none"/>
                <w:lang w:val="en-US" w:eastAsia="zh-CN"/>
              </w:rPr>
            </w:pPr>
            <w:r>
              <w:rPr>
                <w:rFonts w:hint="eastAsia" w:ascii="Times New Roman" w:hAnsi="Times New Roman" w:eastAsia="宋体" w:cs="Times New Roman"/>
                <w:color w:val="0000FF"/>
                <w:sz w:val="21"/>
                <w:szCs w:val="21"/>
                <w:highlight w:val="none"/>
                <w:lang w:val="en-US" w:eastAsia="zh-CN"/>
              </w:rPr>
              <w:t>424.96</w:t>
            </w:r>
            <w:r>
              <w:rPr>
                <w:rFonts w:hint="default" w:ascii="Times New Roman" w:hAnsi="Times New Roman" w:eastAsia="宋体" w:cs="Times New Roman"/>
                <w:snapToGrid w:val="0"/>
                <w:color w:val="0000FF"/>
                <w:kern w:val="21"/>
                <w:szCs w:val="21"/>
                <w:highlight w:val="none"/>
              </w:rPr>
              <w:t>t/a</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color w:val="0000FF"/>
                <w:sz w:val="21"/>
                <w:szCs w:val="21"/>
                <w:highlight w:val="none"/>
              </w:rPr>
            </w:pPr>
          </w:p>
        </w:tc>
        <w:tc>
          <w:tcPr>
            <w:tcW w:w="1959" w:type="dxa"/>
            <w:noWrap w:val="0"/>
            <w:vAlign w:val="center"/>
          </w:tcPr>
          <w:p>
            <w:pPr>
              <w:pStyle w:val="37"/>
              <w:spacing w:line="240" w:lineRule="auto"/>
              <w:rPr>
                <w:rFonts w:hint="default" w:ascii="Times New Roman" w:hAnsi="Times New Roman" w:eastAsia="宋体" w:cs="Times New Roman"/>
                <w:snapToGrid w:val="0"/>
                <w:color w:val="0000FF"/>
                <w:kern w:val="0"/>
                <w:sz w:val="21"/>
                <w:szCs w:val="21"/>
                <w:highlight w:val="none"/>
                <w:u w:val="none"/>
                <w:lang w:val="en-US" w:eastAsia="zh-CN"/>
              </w:rPr>
            </w:pPr>
            <w:r>
              <w:rPr>
                <w:rFonts w:hint="eastAsia" w:ascii="Times New Roman" w:hAnsi="Times New Roman" w:eastAsia="宋体" w:cs="Times New Roman"/>
                <w:color w:val="0000FF"/>
                <w:sz w:val="21"/>
                <w:szCs w:val="21"/>
                <w:highlight w:val="none"/>
                <w:lang w:val="en-US" w:eastAsia="zh-CN"/>
              </w:rPr>
              <w:t>424.96</w:t>
            </w:r>
            <w:r>
              <w:rPr>
                <w:rFonts w:hint="default" w:ascii="Times New Roman" w:hAnsi="Times New Roman" w:eastAsia="宋体" w:cs="Times New Roman"/>
                <w:snapToGrid w:val="0"/>
                <w:color w:val="0000FF"/>
                <w:kern w:val="21"/>
                <w:szCs w:val="21"/>
                <w:highlight w:val="none"/>
              </w:rPr>
              <w:t>t/a</w:t>
            </w:r>
          </w:p>
        </w:tc>
        <w:tc>
          <w:tcPr>
            <w:tcW w:w="1347" w:type="dxa"/>
            <w:noWrap w:val="0"/>
            <w:vAlign w:val="center"/>
          </w:tcPr>
          <w:p>
            <w:pPr>
              <w:pStyle w:val="26"/>
              <w:spacing w:beforeLines="0" w:afterLines="0" w:line="240" w:lineRule="auto"/>
              <w:rPr>
                <w:rFonts w:hint="default" w:ascii="Times New Roman" w:hAnsi="Times New Roman" w:eastAsia="宋体" w:cs="Times New Roman"/>
                <w:snapToGrid w:val="0"/>
                <w:color w:val="0000FF"/>
                <w:kern w:val="21"/>
                <w:szCs w:val="21"/>
                <w:highlight w:val="none"/>
              </w:rPr>
            </w:pPr>
            <w:r>
              <w:rPr>
                <w:rFonts w:hint="eastAsia" w:ascii="Times New Roman" w:hAnsi="Times New Roman" w:eastAsia="宋体" w:cs="Times New Roman"/>
                <w:color w:val="0000FF"/>
                <w:sz w:val="21"/>
                <w:szCs w:val="21"/>
                <w:highlight w:val="none"/>
                <w:lang w:val="en-US" w:eastAsia="zh-CN"/>
              </w:rPr>
              <w:t>+424.96</w:t>
            </w:r>
            <w:r>
              <w:rPr>
                <w:rFonts w:hint="default" w:ascii="Times New Roman" w:hAnsi="Times New Roman" w:eastAsia="宋体" w:cs="Times New Roman"/>
                <w:snapToGrid w:val="0"/>
                <w:color w:val="0000FF"/>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color w:val="auto"/>
                <w:kern w:val="21"/>
                <w:szCs w:val="21"/>
                <w:highlight w:val="none"/>
              </w:rPr>
            </w:pPr>
          </w:p>
        </w:tc>
        <w:tc>
          <w:tcPr>
            <w:tcW w:w="2126" w:type="dxa"/>
            <w:noWrap w:val="0"/>
            <w:vAlign w:val="center"/>
          </w:tcPr>
          <w:p>
            <w:pPr>
              <w:spacing w:line="240" w:lineRule="auto"/>
              <w:jc w:val="center"/>
              <w:rPr>
                <w:rFonts w:hint="default" w:ascii="Times New Roman" w:hAnsi="Times New Roman" w:eastAsia="宋体" w:cs="Times New Roman"/>
                <w:snapToGrid w:val="0"/>
                <w:color w:val="000000"/>
                <w:kern w:val="0"/>
                <w:sz w:val="21"/>
                <w:szCs w:val="21"/>
                <w:highlight w:val="none"/>
                <w:u w:val="none"/>
              </w:rPr>
            </w:pPr>
            <w:r>
              <w:rPr>
                <w:rFonts w:hint="default" w:ascii="Times New Roman" w:hAnsi="Times New Roman" w:eastAsia="宋体" w:cs="Times New Roman"/>
                <w:sz w:val="21"/>
                <w:szCs w:val="21"/>
                <w:highlight w:val="none"/>
                <w:u w:val="none"/>
              </w:rPr>
              <w:t>砂石及沉淀池沉渣</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559"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3744</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959"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3744</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color w:val="auto"/>
                <w:sz w:val="21"/>
                <w:szCs w:val="21"/>
                <w:highlight w:val="none"/>
                <w:u w:val="none"/>
                <w:lang w:val="en-US" w:eastAsia="zh-CN"/>
              </w:rPr>
              <w:t>3744</w:t>
            </w:r>
            <w:r>
              <w:rPr>
                <w:rFonts w:hint="default" w:ascii="Times New Roman" w:hAnsi="Times New Roman" w:eastAsia="宋体" w:cs="Times New Roman"/>
                <w:snapToGrid w:val="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restart"/>
            <w:noWrap w:val="0"/>
            <w:vAlign w:val="center"/>
          </w:tcPr>
          <w:p>
            <w:pPr>
              <w:pStyle w:val="26"/>
              <w:spacing w:beforeLines="0" w:afterLines="0" w:line="240" w:lineRule="auto"/>
              <w:rPr>
                <w:rFonts w:hint="default" w:ascii="Times New Roman" w:hAnsi="Times New Roman" w:eastAsia="宋体" w:cs="Times New Roman"/>
                <w:snapToGrid w:val="0"/>
                <w:color w:val="auto"/>
                <w:kern w:val="21"/>
                <w:szCs w:val="21"/>
                <w:highlight w:val="none"/>
              </w:rPr>
            </w:pPr>
            <w:r>
              <w:rPr>
                <w:rFonts w:hint="default" w:ascii="Times New Roman" w:hAnsi="Times New Roman" w:eastAsia="宋体" w:cs="Times New Roman"/>
                <w:snapToGrid w:val="0"/>
                <w:color w:val="auto"/>
                <w:kern w:val="21"/>
                <w:szCs w:val="21"/>
                <w:highlight w:val="none"/>
              </w:rPr>
              <w:t>危险废物</w:t>
            </w:r>
          </w:p>
          <w:p>
            <w:pPr>
              <w:spacing w:line="240" w:lineRule="auto"/>
              <w:rPr>
                <w:rFonts w:hint="default" w:ascii="Times New Roman" w:hAnsi="Times New Roman" w:eastAsia="宋体" w:cs="Times New Roman"/>
                <w:color w:val="auto"/>
                <w:highlight w:val="none"/>
              </w:rPr>
            </w:pPr>
          </w:p>
        </w:tc>
        <w:tc>
          <w:tcPr>
            <w:tcW w:w="2126"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rPr>
            </w:pPr>
            <w:r>
              <w:rPr>
                <w:rFonts w:hint="default" w:ascii="Times New Roman" w:hAnsi="Times New Roman" w:eastAsia="宋体" w:cs="Times New Roman"/>
                <w:bCs/>
                <w:color w:val="auto"/>
                <w:sz w:val="21"/>
                <w:szCs w:val="21"/>
                <w:highlight w:val="none"/>
                <w:u w:val="none"/>
              </w:rPr>
              <w:t>含油抹布废手套</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559"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0.05</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959"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0.05</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lang w:val="en-US" w:eastAsia="zh-CN"/>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color w:val="auto"/>
                <w:sz w:val="21"/>
                <w:szCs w:val="21"/>
                <w:highlight w:val="none"/>
                <w:u w:val="none"/>
              </w:rPr>
              <w:t>0.05</w:t>
            </w:r>
            <w:r>
              <w:rPr>
                <w:rFonts w:hint="default" w:ascii="Times New Roman" w:hAnsi="Times New Roman" w:eastAsia="宋体" w:cs="Times New Roman"/>
                <w:snapToGrid w:val="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spacing w:line="240" w:lineRule="auto"/>
              <w:rPr>
                <w:rFonts w:hint="default" w:ascii="Times New Roman" w:hAnsi="Times New Roman" w:eastAsia="宋体" w:cs="Times New Roman"/>
                <w:color w:val="auto"/>
                <w:highlight w:val="none"/>
              </w:rPr>
            </w:pPr>
          </w:p>
        </w:tc>
        <w:tc>
          <w:tcPr>
            <w:tcW w:w="2126" w:type="dxa"/>
            <w:noWrap w:val="0"/>
            <w:vAlign w:val="center"/>
          </w:tcPr>
          <w:p>
            <w:pPr>
              <w:pStyle w:val="37"/>
              <w:spacing w:line="240" w:lineRule="auto"/>
              <w:rPr>
                <w:rFonts w:hint="default" w:ascii="Times New Roman" w:hAnsi="Times New Roman" w:eastAsia="宋体" w:cs="Times New Roman"/>
                <w:bCs/>
                <w:color w:val="0000FF"/>
                <w:sz w:val="21"/>
                <w:szCs w:val="21"/>
                <w:highlight w:val="none"/>
                <w:u w:val="none"/>
                <w:lang w:val="en-US" w:eastAsia="zh-CN"/>
              </w:rPr>
            </w:pPr>
            <w:r>
              <w:rPr>
                <w:rFonts w:hint="eastAsia" w:ascii="Times New Roman" w:hAnsi="Times New Roman" w:eastAsia="宋体" w:cs="Times New Roman"/>
                <w:bCs/>
                <w:color w:val="0000FF"/>
                <w:sz w:val="21"/>
                <w:szCs w:val="21"/>
                <w:highlight w:val="none"/>
                <w:u w:val="none"/>
                <w:lang w:val="en-US" w:eastAsia="zh-CN"/>
              </w:rPr>
              <w:t>隔油沉淀池油泥</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0000FF"/>
                <w:sz w:val="21"/>
                <w:szCs w:val="21"/>
                <w:highlight w:val="yellow"/>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0000FF"/>
                <w:sz w:val="21"/>
                <w:szCs w:val="21"/>
                <w:highlight w:val="yellow"/>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0000FF"/>
                <w:sz w:val="21"/>
                <w:szCs w:val="21"/>
                <w:highlight w:val="yellow"/>
              </w:rPr>
            </w:pPr>
          </w:p>
        </w:tc>
        <w:tc>
          <w:tcPr>
            <w:tcW w:w="1559" w:type="dxa"/>
            <w:noWrap w:val="0"/>
            <w:vAlign w:val="center"/>
          </w:tcPr>
          <w:p>
            <w:pPr>
              <w:pStyle w:val="37"/>
              <w:spacing w:line="240" w:lineRule="auto"/>
              <w:rPr>
                <w:rFonts w:hint="eastAsia" w:ascii="Times New Roman" w:hAnsi="Times New Roman" w:eastAsia="宋体" w:cs="Times New Roman"/>
                <w:snapToGrid w:val="0"/>
                <w:color w:val="0000FF"/>
                <w:kern w:val="0"/>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2</w:t>
            </w:r>
            <w:r>
              <w:rPr>
                <w:rFonts w:hint="default" w:ascii="Times New Roman" w:hAnsi="Times New Roman" w:eastAsia="宋体" w:cs="Times New Roman"/>
                <w:snapToGrid w:val="0"/>
                <w:color w:val="0000FF"/>
                <w:kern w:val="21"/>
                <w:szCs w:val="21"/>
                <w:highlight w:val="none"/>
              </w:rPr>
              <w:t>t/</w:t>
            </w:r>
            <w:r>
              <w:rPr>
                <w:rFonts w:hint="eastAsia" w:ascii="Times New Roman" w:hAnsi="Times New Roman" w:eastAsia="宋体" w:cs="Times New Roman"/>
                <w:snapToGrid w:val="0"/>
                <w:color w:val="0000FF"/>
                <w:kern w:val="21"/>
                <w:szCs w:val="21"/>
                <w:highlight w:val="none"/>
                <w:lang w:val="en-US" w:eastAsia="zh-CN"/>
              </w:rPr>
              <w:t>次</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snapToGrid w:val="0"/>
                <w:color w:val="0000FF"/>
                <w:kern w:val="0"/>
                <w:sz w:val="21"/>
                <w:szCs w:val="21"/>
                <w:highlight w:val="yellow"/>
              </w:rPr>
            </w:pPr>
          </w:p>
        </w:tc>
        <w:tc>
          <w:tcPr>
            <w:tcW w:w="1959" w:type="dxa"/>
            <w:noWrap w:val="0"/>
            <w:vAlign w:val="center"/>
          </w:tcPr>
          <w:p>
            <w:pPr>
              <w:pStyle w:val="37"/>
              <w:spacing w:line="240" w:lineRule="auto"/>
              <w:rPr>
                <w:rFonts w:hint="default" w:ascii="Times New Roman" w:hAnsi="Times New Roman" w:eastAsia="宋体" w:cs="Times New Roman"/>
                <w:snapToGrid w:val="0"/>
                <w:color w:val="0000FF"/>
                <w:kern w:val="0"/>
                <w:sz w:val="21"/>
                <w:szCs w:val="21"/>
                <w:highlight w:val="none"/>
                <w:u w:val="none"/>
                <w:lang w:val="en-US" w:eastAsia="zh-CN"/>
              </w:rPr>
            </w:pPr>
            <w:r>
              <w:rPr>
                <w:rFonts w:hint="eastAsia" w:ascii="Times New Roman" w:hAnsi="Times New Roman" w:eastAsia="宋体" w:cs="Times New Roman"/>
                <w:color w:val="0000FF"/>
                <w:sz w:val="21"/>
                <w:szCs w:val="21"/>
                <w:highlight w:val="none"/>
                <w:u w:val="none"/>
                <w:lang w:val="en-US" w:eastAsia="zh-CN"/>
              </w:rPr>
              <w:t>2</w:t>
            </w:r>
            <w:r>
              <w:rPr>
                <w:rFonts w:hint="default" w:ascii="Times New Roman" w:hAnsi="Times New Roman" w:eastAsia="宋体" w:cs="Times New Roman"/>
                <w:snapToGrid w:val="0"/>
                <w:color w:val="0000FF"/>
                <w:kern w:val="21"/>
                <w:szCs w:val="21"/>
                <w:highlight w:val="none"/>
              </w:rPr>
              <w:t>t/</w:t>
            </w:r>
            <w:r>
              <w:rPr>
                <w:rFonts w:hint="eastAsia" w:ascii="Times New Roman" w:hAnsi="Times New Roman" w:eastAsia="宋体" w:cs="Times New Roman"/>
                <w:snapToGrid w:val="0"/>
                <w:color w:val="0000FF"/>
                <w:kern w:val="21"/>
                <w:szCs w:val="21"/>
                <w:highlight w:val="none"/>
                <w:lang w:val="en-US" w:eastAsia="zh-CN"/>
              </w:rPr>
              <w:t>次</w:t>
            </w:r>
          </w:p>
        </w:tc>
        <w:tc>
          <w:tcPr>
            <w:tcW w:w="1347" w:type="dxa"/>
            <w:noWrap w:val="0"/>
            <w:vAlign w:val="center"/>
          </w:tcPr>
          <w:p>
            <w:pPr>
              <w:pStyle w:val="37"/>
              <w:spacing w:line="240" w:lineRule="auto"/>
              <w:rPr>
                <w:rFonts w:hint="default" w:ascii="Times New Roman" w:hAnsi="Times New Roman" w:eastAsia="宋体" w:cs="Times New Roman"/>
                <w:snapToGrid w:val="0"/>
                <w:color w:val="0000FF"/>
                <w:kern w:val="0"/>
                <w:sz w:val="21"/>
                <w:szCs w:val="21"/>
                <w:highlight w:val="none"/>
                <w:u w:val="none"/>
                <w:lang w:val="en-US" w:eastAsia="zh-CN"/>
              </w:rPr>
            </w:pPr>
            <w:r>
              <w:rPr>
                <w:rFonts w:hint="eastAsia" w:ascii="Times New Roman" w:hAnsi="Times New Roman" w:eastAsia="宋体" w:cs="Times New Roman"/>
                <w:snapToGrid w:val="0"/>
                <w:color w:val="0000FF"/>
                <w:kern w:val="21"/>
                <w:szCs w:val="21"/>
                <w:highlight w:val="none"/>
                <w:lang w:val="en-US" w:eastAsia="zh-CN"/>
              </w:rPr>
              <w:t>+</w:t>
            </w:r>
            <w:r>
              <w:rPr>
                <w:rFonts w:hint="eastAsia" w:ascii="Times New Roman" w:hAnsi="Times New Roman" w:eastAsia="宋体" w:cs="Times New Roman"/>
                <w:color w:val="0000FF"/>
                <w:sz w:val="21"/>
                <w:szCs w:val="21"/>
                <w:highlight w:val="none"/>
                <w:u w:val="none"/>
                <w:lang w:val="en-US" w:eastAsia="zh-CN"/>
              </w:rPr>
              <w:t>2</w:t>
            </w:r>
            <w:r>
              <w:rPr>
                <w:rFonts w:hint="default" w:ascii="Times New Roman" w:hAnsi="Times New Roman" w:eastAsia="宋体" w:cs="Times New Roman"/>
                <w:snapToGrid w:val="0"/>
                <w:color w:val="0000FF"/>
                <w:kern w:val="21"/>
                <w:szCs w:val="21"/>
                <w:highlight w:val="none"/>
              </w:rPr>
              <w:t>t/</w:t>
            </w:r>
            <w:r>
              <w:rPr>
                <w:rFonts w:hint="eastAsia" w:ascii="Times New Roman" w:hAnsi="Times New Roman" w:eastAsia="宋体" w:cs="Times New Roman"/>
                <w:snapToGrid w:val="0"/>
                <w:color w:val="0000FF"/>
                <w:kern w:val="21"/>
                <w:szCs w:val="21"/>
                <w:highlight w:val="none"/>
                <w:lang w:val="en-US" w:eastAsia="zh-CN"/>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color w:val="auto"/>
                <w:kern w:val="21"/>
                <w:szCs w:val="21"/>
                <w:highlight w:val="none"/>
              </w:rPr>
            </w:pPr>
          </w:p>
        </w:tc>
        <w:tc>
          <w:tcPr>
            <w:tcW w:w="2126"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lang w:eastAsia="zh-CN"/>
              </w:rPr>
            </w:pPr>
            <w:r>
              <w:rPr>
                <w:rFonts w:hint="default" w:ascii="Times New Roman" w:hAnsi="Times New Roman" w:eastAsia="宋体" w:cs="Times New Roman"/>
                <w:color w:val="auto"/>
                <w:sz w:val="21"/>
                <w:szCs w:val="21"/>
                <w:highlight w:val="none"/>
                <w:u w:val="none"/>
                <w:lang w:val="en-US" w:eastAsia="zh-CN"/>
              </w:rPr>
              <w:t>废</w:t>
            </w:r>
            <w:r>
              <w:rPr>
                <w:rFonts w:hint="eastAsia" w:ascii="Times New Roman" w:hAnsi="Times New Roman" w:eastAsia="宋体" w:cs="Times New Roman"/>
                <w:color w:val="auto"/>
                <w:sz w:val="21"/>
                <w:szCs w:val="21"/>
                <w:highlight w:val="none"/>
                <w:u w:val="none"/>
                <w:lang w:val="en-US" w:eastAsia="zh-CN"/>
              </w:rPr>
              <w:t>矿物</w:t>
            </w:r>
            <w:r>
              <w:rPr>
                <w:rFonts w:hint="default" w:ascii="Times New Roman" w:hAnsi="Times New Roman" w:eastAsia="宋体" w:cs="Times New Roman"/>
                <w:color w:val="auto"/>
                <w:sz w:val="21"/>
                <w:szCs w:val="21"/>
                <w:highlight w:val="none"/>
                <w:u w:val="none"/>
                <w:lang w:val="en-US" w:eastAsia="zh-CN"/>
              </w:rPr>
              <w:t>油</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559"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0.</w:t>
            </w:r>
            <w:r>
              <w:rPr>
                <w:rFonts w:hint="default"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959"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rPr>
              <w:t>0.</w:t>
            </w:r>
            <w:r>
              <w:rPr>
                <w:rFonts w:hint="default"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37"/>
              <w:spacing w:line="240" w:lineRule="auto"/>
              <w:rPr>
                <w:rFonts w:hint="default" w:ascii="Times New Roman" w:hAnsi="Times New Roman" w:eastAsia="宋体" w:cs="Times New Roman"/>
                <w:snapToGrid w:val="0"/>
                <w:color w:val="000000"/>
                <w:kern w:val="0"/>
                <w:sz w:val="21"/>
                <w:szCs w:val="21"/>
                <w:highlight w:val="none"/>
                <w:u w:val="none"/>
                <w:lang w:val="en-US" w:eastAsia="zh-CN"/>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color w:val="auto"/>
                <w:sz w:val="21"/>
                <w:szCs w:val="21"/>
                <w:highlight w:val="none"/>
                <w:u w:val="none"/>
              </w:rPr>
              <w:t>0.</w:t>
            </w:r>
            <w:r>
              <w:rPr>
                <w:rFonts w:hint="default"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snapToGrid w:val="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9" w:type="dxa"/>
            <w:vMerge w:val="continue"/>
            <w:noWrap w:val="0"/>
            <w:vAlign w:val="center"/>
          </w:tcPr>
          <w:p>
            <w:pPr>
              <w:pStyle w:val="26"/>
              <w:spacing w:beforeLines="0" w:afterLines="0" w:line="240" w:lineRule="auto"/>
              <w:rPr>
                <w:rFonts w:hint="default" w:ascii="Times New Roman" w:hAnsi="Times New Roman" w:eastAsia="宋体" w:cs="Times New Roman"/>
                <w:snapToGrid w:val="0"/>
                <w:color w:val="auto"/>
                <w:kern w:val="21"/>
                <w:szCs w:val="21"/>
                <w:highlight w:val="none"/>
              </w:rPr>
            </w:pPr>
          </w:p>
        </w:tc>
        <w:tc>
          <w:tcPr>
            <w:tcW w:w="2126"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废油桶</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559"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0.1</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959"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0.1</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color w:val="auto"/>
                <w:sz w:val="21"/>
                <w:szCs w:val="21"/>
                <w:highlight w:val="none"/>
                <w:u w:val="none"/>
                <w:lang w:val="en-US" w:eastAsia="zh-CN"/>
              </w:rPr>
              <w:t>0.1</w:t>
            </w:r>
            <w:r>
              <w:rPr>
                <w:rFonts w:hint="default" w:ascii="Times New Roman" w:hAnsi="Times New Roman" w:eastAsia="宋体" w:cs="Times New Roman"/>
                <w:snapToGrid w:val="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5" w:type="dxa"/>
            <w:gridSpan w:val="2"/>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559"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7.59</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959" w:type="dxa"/>
            <w:noWrap w:val="0"/>
            <w:vAlign w:val="center"/>
          </w:tcPr>
          <w:p>
            <w:pPr>
              <w:pStyle w:val="37"/>
              <w:spacing w:line="240" w:lineRule="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highlight w:val="none"/>
                <w:u w:val="none"/>
                <w:lang w:val="en-US" w:eastAsia="zh-CN"/>
              </w:rPr>
              <w:t>7.59</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yellow"/>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color w:val="auto"/>
                <w:sz w:val="21"/>
                <w:szCs w:val="21"/>
                <w:highlight w:val="none"/>
                <w:u w:val="none"/>
                <w:lang w:val="en-US" w:eastAsia="zh-CN"/>
              </w:rPr>
              <w:t>7.59</w:t>
            </w:r>
            <w:r>
              <w:rPr>
                <w:rFonts w:hint="default" w:ascii="Times New Roman" w:hAnsi="Times New Roman" w:eastAsia="宋体" w:cs="Times New Roman"/>
                <w:snapToGrid w:val="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5" w:type="dxa"/>
            <w:gridSpan w:val="2"/>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餐厨垃圾</w:t>
            </w: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276"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70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559"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2.97</w:t>
            </w:r>
            <w:r>
              <w:rPr>
                <w:rFonts w:hint="default" w:ascii="Times New Roman" w:hAnsi="Times New Roman" w:eastAsia="宋体" w:cs="Times New Roman"/>
                <w:snapToGrid w:val="0"/>
                <w:kern w:val="21"/>
                <w:szCs w:val="21"/>
                <w:highlight w:val="none"/>
              </w:rPr>
              <w:t>t/a</w:t>
            </w:r>
          </w:p>
        </w:tc>
        <w:tc>
          <w:tcPr>
            <w:tcW w:w="1761" w:type="dxa"/>
            <w:noWrap w:val="0"/>
            <w:vAlign w:val="center"/>
          </w:tcPr>
          <w:p>
            <w:pPr>
              <w:pStyle w:val="13"/>
              <w:adjustRightInd w:val="0"/>
              <w:snapToGrid w:val="0"/>
              <w:spacing w:line="240" w:lineRule="auto"/>
              <w:jc w:val="center"/>
              <w:rPr>
                <w:rFonts w:hint="default" w:ascii="Times New Roman" w:hAnsi="Times New Roman" w:eastAsia="宋体" w:cs="Times New Roman"/>
                <w:color w:val="auto"/>
                <w:sz w:val="21"/>
                <w:szCs w:val="21"/>
                <w:highlight w:val="yellow"/>
              </w:rPr>
            </w:pPr>
          </w:p>
        </w:tc>
        <w:tc>
          <w:tcPr>
            <w:tcW w:w="1959" w:type="dxa"/>
            <w:noWrap w:val="0"/>
            <w:vAlign w:val="center"/>
          </w:tcPr>
          <w:p>
            <w:pPr>
              <w:pStyle w:val="37"/>
              <w:spacing w:line="240" w:lineRule="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highlight w:val="none"/>
                <w:u w:val="none"/>
                <w:lang w:val="en-US" w:eastAsia="zh-CN"/>
              </w:rPr>
              <w:t>2.97</w:t>
            </w:r>
            <w:r>
              <w:rPr>
                <w:rFonts w:hint="default" w:ascii="Times New Roman" w:hAnsi="Times New Roman" w:eastAsia="宋体" w:cs="Times New Roman"/>
                <w:snapToGrid w:val="0"/>
                <w:kern w:val="21"/>
                <w:szCs w:val="21"/>
                <w:highlight w:val="none"/>
              </w:rPr>
              <w:t>t/a</w:t>
            </w:r>
          </w:p>
        </w:tc>
        <w:tc>
          <w:tcPr>
            <w:tcW w:w="1347" w:type="dxa"/>
            <w:noWrap w:val="0"/>
            <w:vAlign w:val="center"/>
          </w:tcPr>
          <w:p>
            <w:pPr>
              <w:pStyle w:val="37"/>
              <w:spacing w:line="240" w:lineRule="auto"/>
              <w:rPr>
                <w:rFonts w:hint="default" w:ascii="Times New Roman" w:hAnsi="Times New Roman" w:eastAsia="宋体" w:cs="Times New Roman"/>
                <w:snapToGrid w:val="0"/>
                <w:color w:val="auto"/>
                <w:kern w:val="0"/>
                <w:sz w:val="21"/>
                <w:szCs w:val="21"/>
                <w:highlight w:val="yellow"/>
              </w:rPr>
            </w:pPr>
            <w:r>
              <w:rPr>
                <w:rFonts w:hint="eastAsia" w:ascii="Times New Roman" w:hAnsi="Times New Roman" w:eastAsia="宋体" w:cs="Times New Roman"/>
                <w:snapToGrid w:val="0"/>
                <w:color w:val="0000FF"/>
                <w:kern w:val="21"/>
                <w:szCs w:val="21"/>
                <w:highlight w:val="none"/>
                <w:lang w:val="en-US" w:eastAsia="zh-CN"/>
              </w:rPr>
              <w:t>+</w:t>
            </w:r>
            <w:r>
              <w:rPr>
                <w:rFonts w:hint="default" w:ascii="Times New Roman" w:hAnsi="Times New Roman" w:eastAsia="宋体" w:cs="Times New Roman"/>
                <w:color w:val="auto"/>
                <w:sz w:val="21"/>
                <w:szCs w:val="21"/>
                <w:highlight w:val="none"/>
                <w:u w:val="none"/>
                <w:lang w:val="en-US" w:eastAsia="zh-CN"/>
              </w:rPr>
              <w:t>2.97</w:t>
            </w:r>
            <w:r>
              <w:rPr>
                <w:rFonts w:hint="default" w:ascii="Times New Roman" w:hAnsi="Times New Roman" w:eastAsia="宋体" w:cs="Times New Roman"/>
                <w:snapToGrid w:val="0"/>
                <w:kern w:val="21"/>
                <w:szCs w:val="21"/>
                <w:highlight w:val="none"/>
              </w:rPr>
              <w:t>t/a</w:t>
            </w:r>
          </w:p>
        </w:tc>
      </w:tr>
    </w:tbl>
    <w:p>
      <w:pPr>
        <w:pStyle w:val="26"/>
        <w:spacing w:before="192" w:beforeLines="80" w:after="24"/>
        <w:jc w:val="left"/>
        <w:rPr>
          <w:rFonts w:hint="default" w:ascii="Times New Roman" w:hAnsi="Times New Roman" w:eastAsia="宋体" w:cs="Times New Roman"/>
          <w:highlight w:val="none"/>
        </w:rPr>
      </w:pPr>
      <w:r>
        <w:rPr>
          <w:rFonts w:hint="default" w:ascii="Times New Roman" w:hAnsi="Times New Roman" w:eastAsia="宋体" w:cs="Times New Roman"/>
          <w:snapToGrid w:val="0"/>
          <w:kern w:val="21"/>
          <w:szCs w:val="21"/>
          <w:highlight w:val="none"/>
        </w:rPr>
        <w:t>注：</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6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szCs w:val="21"/>
          <w:highlight w:val="none"/>
        </w:rPr>
        <w:t>⑥</w:t>
      </w:r>
      <w:r>
        <w:rPr>
          <w:rFonts w:hint="default" w:ascii="Times New Roman" w:hAnsi="Times New Roman" w:eastAsia="宋体" w:cs="Times New Roman"/>
          <w:snapToGrid w:val="0"/>
          <w:spacing w:val="-16"/>
          <w:kern w:val="21"/>
          <w:szCs w:val="21"/>
          <w:highlight w:val="none"/>
        </w:rPr>
        <w:fldChar w:fldCharType="end"/>
      </w:r>
      <w:r>
        <w:rPr>
          <w:rFonts w:hint="default" w:ascii="Times New Roman" w:hAnsi="Times New Roman" w:eastAsia="宋体" w:cs="Times New Roman"/>
          <w:snapToGrid w:val="0"/>
          <w:spacing w:val="-1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1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①</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3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③</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4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④</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5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szCs w:val="21"/>
          <w:highlight w:val="none"/>
        </w:rPr>
        <w:t>⑤</w:t>
      </w:r>
      <w:r>
        <w:rPr>
          <w:rFonts w:hint="default" w:ascii="Times New Roman" w:hAnsi="Times New Roman" w:eastAsia="宋体" w:cs="Times New Roman"/>
          <w:snapToGrid w:val="0"/>
          <w:spacing w:val="-16"/>
          <w:kern w:val="21"/>
          <w:szCs w:val="21"/>
          <w:highlight w:val="none"/>
        </w:rPr>
        <w:fldChar w:fldCharType="end"/>
      </w:r>
      <w:r>
        <w:rPr>
          <w:rFonts w:hint="default" w:ascii="Times New Roman" w:hAnsi="Times New Roman" w:eastAsia="宋体" w:cs="Times New Roman"/>
          <w:snapToGrid w:val="0"/>
          <w:spacing w:val="-1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7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⑦</w:t>
      </w:r>
      <w:r>
        <w:rPr>
          <w:rFonts w:hint="default" w:ascii="Times New Roman" w:hAnsi="Times New Roman" w:eastAsia="宋体" w:cs="Times New Roman"/>
          <w:snapToGrid w:val="0"/>
          <w:spacing w:val="-6"/>
          <w:kern w:val="21"/>
          <w:szCs w:val="21"/>
          <w:highlight w:val="none"/>
        </w:rPr>
        <w:fldChar w:fldCharType="end"/>
      </w:r>
      <w:r>
        <w:rPr>
          <w:rFonts w:hint="default" w:ascii="Times New Roman" w:hAnsi="Times New Roman" w:eastAsia="宋体" w:cs="Times New Roman"/>
          <w:snapToGrid w:val="0"/>
          <w:spacing w:val="-6"/>
          <w:kern w:val="21"/>
          <w:szCs w:val="21"/>
          <w:highlight w:val="none"/>
        </w:rPr>
        <w:t>=</w:t>
      </w:r>
      <w:r>
        <w:rPr>
          <w:rFonts w:hint="default" w:ascii="Times New Roman" w:hAnsi="Times New Roman" w:eastAsia="宋体" w:cs="Times New Roman"/>
          <w:snapToGrid w:val="0"/>
          <w:spacing w:val="-16"/>
          <w:kern w:val="21"/>
          <w:szCs w:val="21"/>
          <w:highlight w:val="none"/>
        </w:rPr>
        <w:fldChar w:fldCharType="begin"/>
      </w:r>
      <w:r>
        <w:rPr>
          <w:rFonts w:hint="default" w:ascii="Times New Roman" w:hAnsi="Times New Roman" w:eastAsia="宋体" w:cs="Times New Roman"/>
          <w:snapToGrid w:val="0"/>
          <w:spacing w:val="-16"/>
          <w:kern w:val="21"/>
          <w:szCs w:val="21"/>
          <w:highlight w:val="none"/>
        </w:rPr>
        <w:instrText xml:space="preserve"> = 6 \* GB3 \* MERGEFORMAT </w:instrText>
      </w:r>
      <w:r>
        <w:rPr>
          <w:rFonts w:hint="default" w:ascii="Times New Roman" w:hAnsi="Times New Roman" w:eastAsia="宋体" w:cs="Times New Roman"/>
          <w:snapToGrid w:val="0"/>
          <w:spacing w:val="-16"/>
          <w:kern w:val="21"/>
          <w:szCs w:val="21"/>
          <w:highlight w:val="none"/>
        </w:rPr>
        <w:fldChar w:fldCharType="separate"/>
      </w:r>
      <w:r>
        <w:rPr>
          <w:rFonts w:hint="default" w:ascii="Times New Roman" w:hAnsi="Times New Roman" w:eastAsia="宋体" w:cs="Times New Roman"/>
          <w:szCs w:val="21"/>
          <w:highlight w:val="none"/>
        </w:rPr>
        <w:t>⑥</w:t>
      </w:r>
      <w:r>
        <w:rPr>
          <w:rFonts w:hint="default" w:ascii="Times New Roman" w:hAnsi="Times New Roman" w:eastAsia="宋体" w:cs="Times New Roman"/>
          <w:snapToGrid w:val="0"/>
          <w:spacing w:val="-16"/>
          <w:kern w:val="21"/>
          <w:szCs w:val="21"/>
          <w:highlight w:val="none"/>
        </w:rPr>
        <w:fldChar w:fldCharType="end"/>
      </w:r>
      <w:r>
        <w:rPr>
          <w:rFonts w:hint="default" w:ascii="Times New Roman" w:hAnsi="Times New Roman" w:eastAsia="宋体" w:cs="Times New Roman"/>
          <w:snapToGrid w:val="0"/>
          <w:spacing w:val="-16"/>
          <w:kern w:val="21"/>
          <w:szCs w:val="21"/>
          <w:highlight w:val="none"/>
        </w:rPr>
        <w:t>-</w:t>
      </w:r>
      <w:r>
        <w:rPr>
          <w:rFonts w:hint="default" w:ascii="Times New Roman" w:hAnsi="Times New Roman" w:eastAsia="宋体" w:cs="Times New Roman"/>
          <w:snapToGrid w:val="0"/>
          <w:spacing w:val="-6"/>
          <w:kern w:val="21"/>
          <w:szCs w:val="21"/>
          <w:highlight w:val="none"/>
        </w:rPr>
        <w:fldChar w:fldCharType="begin"/>
      </w:r>
      <w:r>
        <w:rPr>
          <w:rFonts w:hint="default" w:ascii="Times New Roman" w:hAnsi="Times New Roman" w:eastAsia="宋体" w:cs="Times New Roman"/>
          <w:snapToGrid w:val="0"/>
          <w:spacing w:val="-6"/>
          <w:kern w:val="21"/>
          <w:szCs w:val="21"/>
          <w:highlight w:val="none"/>
        </w:rPr>
        <w:instrText xml:space="preserve"> = 1 \* GB3 \* MERGEFORMAT </w:instrText>
      </w:r>
      <w:r>
        <w:rPr>
          <w:rFonts w:hint="default" w:ascii="Times New Roman" w:hAnsi="Times New Roman" w:eastAsia="宋体" w:cs="Times New Roman"/>
          <w:snapToGrid w:val="0"/>
          <w:spacing w:val="-6"/>
          <w:kern w:val="21"/>
          <w:szCs w:val="21"/>
          <w:highlight w:val="none"/>
        </w:rPr>
        <w:fldChar w:fldCharType="separate"/>
      </w:r>
      <w:r>
        <w:rPr>
          <w:rFonts w:hint="default" w:ascii="Times New Roman" w:hAnsi="Times New Roman" w:eastAsia="宋体" w:cs="Times New Roman"/>
          <w:szCs w:val="21"/>
          <w:highlight w:val="none"/>
        </w:rPr>
        <w:t>①</w:t>
      </w:r>
      <w:r>
        <w:rPr>
          <w:rFonts w:hint="default" w:ascii="Times New Roman" w:hAnsi="Times New Roman" w:eastAsia="宋体" w:cs="Times New Roman"/>
          <w:snapToGrid w:val="0"/>
          <w:spacing w:val="-6"/>
          <w:kern w:val="21"/>
          <w:szCs w:val="21"/>
          <w:highlight w:val="none"/>
        </w:rPr>
        <w:fldChar w:fldCharType="end"/>
      </w:r>
    </w:p>
    <w:sectPr>
      <w:headerReference r:id="rId10" w:type="default"/>
      <w:footerReference r:id="rId11" w:type="default"/>
      <w:pgSz w:w="16839" w:h="11906"/>
      <w:pgMar w:top="400" w:right="1350" w:bottom="957" w:left="1416" w:header="0" w:footer="79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center"/>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43</w:t>
                    </w:r>
                    <w:r>
                      <w:fldChar w:fldCharType="end"/>
                    </w:r>
                  </w:p>
                </w:txbxContent>
              </v:textbox>
            </v:shape>
          </w:pict>
        </mc:Fallback>
      </mc:AlternateContent>
    </w:r>
    <w:r>
      <w:rPr>
        <w:rFonts w:ascii="Times New Roman" w:hAnsi="Times New Roman" w:eastAsia="Times New Roman" w:cs="Times New Roman"/>
        <w:spacing w:val="1"/>
        <w:sz w:val="17"/>
        <w:szCs w:val="17"/>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28504"/>
    <w:multiLevelType w:val="singleLevel"/>
    <w:tmpl w:val="B7A28504"/>
    <w:lvl w:ilvl="0" w:tentative="0">
      <w:start w:val="1"/>
      <w:numFmt w:val="decimal"/>
      <w:suff w:val="nothing"/>
      <w:lvlText w:val="%1、"/>
      <w:lvlJc w:val="left"/>
    </w:lvl>
  </w:abstractNum>
  <w:abstractNum w:abstractNumId="1">
    <w:nsid w:val="C875536F"/>
    <w:multiLevelType w:val="singleLevel"/>
    <w:tmpl w:val="C875536F"/>
    <w:lvl w:ilvl="0" w:tentative="0">
      <w:start w:val="1"/>
      <w:numFmt w:val="decimal"/>
      <w:suff w:val="nothing"/>
      <w:lvlText w:val="（%1）"/>
      <w:lvlJc w:val="left"/>
    </w:lvl>
  </w:abstractNum>
  <w:abstractNum w:abstractNumId="2">
    <w:nsid w:val="CF257CAD"/>
    <w:multiLevelType w:val="singleLevel"/>
    <w:tmpl w:val="CF257CAD"/>
    <w:lvl w:ilvl="0" w:tentative="0">
      <w:start w:val="2"/>
      <w:numFmt w:val="decimal"/>
      <w:suff w:val="nothing"/>
      <w:lvlText w:val="%1、"/>
      <w:lvlJc w:val="left"/>
    </w:lvl>
  </w:abstractNum>
  <w:abstractNum w:abstractNumId="3">
    <w:nsid w:val="0861A876"/>
    <w:multiLevelType w:val="singleLevel"/>
    <w:tmpl w:val="0861A876"/>
    <w:lvl w:ilvl="0" w:tentative="0">
      <w:start w:val="2"/>
      <w:numFmt w:val="decimal"/>
      <w:suff w:val="nothing"/>
      <w:lvlText w:val="%1）"/>
      <w:lvlJc w:val="left"/>
    </w:lvl>
  </w:abstractNum>
  <w:abstractNum w:abstractNumId="4">
    <w:nsid w:val="223B78A6"/>
    <w:multiLevelType w:val="singleLevel"/>
    <w:tmpl w:val="223B78A6"/>
    <w:lvl w:ilvl="0" w:tentative="0">
      <w:start w:val="2"/>
      <w:numFmt w:val="decimal"/>
      <w:suff w:val="nothing"/>
      <w:lvlText w:val="（%1）"/>
      <w:lvlJc w:val="left"/>
    </w:lvl>
  </w:abstractNum>
  <w:abstractNum w:abstractNumId="5">
    <w:nsid w:val="5C7162D1"/>
    <w:multiLevelType w:val="singleLevel"/>
    <w:tmpl w:val="5C7162D1"/>
    <w:lvl w:ilvl="0" w:tentative="0">
      <w:start w:val="1"/>
      <w:numFmt w:val="decimal"/>
      <w:suff w:val="nothing"/>
      <w:lvlText w:val="（%1）"/>
      <w:lvlJc w:val="left"/>
    </w:lvl>
  </w:abstractNum>
  <w:abstractNum w:abstractNumId="6">
    <w:nsid w:val="74AC980F"/>
    <w:multiLevelType w:val="singleLevel"/>
    <w:tmpl w:val="74AC980F"/>
    <w:lvl w:ilvl="0" w:tentative="0">
      <w:start w:val="1"/>
      <w:numFmt w:val="decimal"/>
      <w:suff w:val="nothing"/>
      <w:lvlText w:val="%1、"/>
      <w:lvlJc w:val="left"/>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RkMmZjNzg4Nzc0ZjU2MjE2MzljNzJkNzAzYjAyYjQifQ=="/>
  </w:docVars>
  <w:rsids>
    <w:rsidRoot w:val="00000000"/>
    <w:rsid w:val="0002420A"/>
    <w:rsid w:val="00BD7814"/>
    <w:rsid w:val="012C1337"/>
    <w:rsid w:val="01672F33"/>
    <w:rsid w:val="018C0752"/>
    <w:rsid w:val="02234B02"/>
    <w:rsid w:val="02EA4873"/>
    <w:rsid w:val="032F6A08"/>
    <w:rsid w:val="03D960A9"/>
    <w:rsid w:val="052076A4"/>
    <w:rsid w:val="05CD3175"/>
    <w:rsid w:val="05EC5C2A"/>
    <w:rsid w:val="073B0C6A"/>
    <w:rsid w:val="0AB000A2"/>
    <w:rsid w:val="0C840A1A"/>
    <w:rsid w:val="0C9437A8"/>
    <w:rsid w:val="0CE27DCE"/>
    <w:rsid w:val="0D3B0D43"/>
    <w:rsid w:val="0DE52CCC"/>
    <w:rsid w:val="0F696B20"/>
    <w:rsid w:val="0F8F4CA8"/>
    <w:rsid w:val="0FC02360"/>
    <w:rsid w:val="0FED3C1C"/>
    <w:rsid w:val="126D2722"/>
    <w:rsid w:val="1311215C"/>
    <w:rsid w:val="13C95DDF"/>
    <w:rsid w:val="147610AD"/>
    <w:rsid w:val="14972C45"/>
    <w:rsid w:val="14B20FD1"/>
    <w:rsid w:val="15B0646B"/>
    <w:rsid w:val="16EE4509"/>
    <w:rsid w:val="184D6F80"/>
    <w:rsid w:val="1A3D3E6B"/>
    <w:rsid w:val="1A9A6184"/>
    <w:rsid w:val="1B4F33AF"/>
    <w:rsid w:val="1C613923"/>
    <w:rsid w:val="1CA613B3"/>
    <w:rsid w:val="1D3D530A"/>
    <w:rsid w:val="1E7F17EC"/>
    <w:rsid w:val="201D77C4"/>
    <w:rsid w:val="20811DAF"/>
    <w:rsid w:val="21F4671D"/>
    <w:rsid w:val="22E63B6F"/>
    <w:rsid w:val="24096FED"/>
    <w:rsid w:val="24FB1CB7"/>
    <w:rsid w:val="25684039"/>
    <w:rsid w:val="25882ED7"/>
    <w:rsid w:val="25E46AA9"/>
    <w:rsid w:val="260A5198"/>
    <w:rsid w:val="277A78A8"/>
    <w:rsid w:val="279C2B1E"/>
    <w:rsid w:val="285B693D"/>
    <w:rsid w:val="287E741F"/>
    <w:rsid w:val="2A317D7C"/>
    <w:rsid w:val="2D156F95"/>
    <w:rsid w:val="2D191A04"/>
    <w:rsid w:val="2D207EB5"/>
    <w:rsid w:val="2D33655C"/>
    <w:rsid w:val="2E6C3675"/>
    <w:rsid w:val="2E7A7524"/>
    <w:rsid w:val="2EC952DE"/>
    <w:rsid w:val="2F6F3F3E"/>
    <w:rsid w:val="2F793AE7"/>
    <w:rsid w:val="3042701C"/>
    <w:rsid w:val="30B8300C"/>
    <w:rsid w:val="30E44D15"/>
    <w:rsid w:val="310D3357"/>
    <w:rsid w:val="314C342E"/>
    <w:rsid w:val="32AC6ECB"/>
    <w:rsid w:val="33157EB6"/>
    <w:rsid w:val="33EF0592"/>
    <w:rsid w:val="34200D49"/>
    <w:rsid w:val="34934492"/>
    <w:rsid w:val="34C03417"/>
    <w:rsid w:val="34DB59DD"/>
    <w:rsid w:val="363045D4"/>
    <w:rsid w:val="367B2913"/>
    <w:rsid w:val="369E2CA4"/>
    <w:rsid w:val="372169D9"/>
    <w:rsid w:val="38B96B3D"/>
    <w:rsid w:val="38C06F01"/>
    <w:rsid w:val="38D1752F"/>
    <w:rsid w:val="3B0B0D27"/>
    <w:rsid w:val="3CBF33A8"/>
    <w:rsid w:val="3DAF6CB5"/>
    <w:rsid w:val="3F2E159A"/>
    <w:rsid w:val="3FAE3540"/>
    <w:rsid w:val="3FD93477"/>
    <w:rsid w:val="411C67B6"/>
    <w:rsid w:val="41D25BC6"/>
    <w:rsid w:val="41F55345"/>
    <w:rsid w:val="420B60AA"/>
    <w:rsid w:val="42212AD5"/>
    <w:rsid w:val="422D62A3"/>
    <w:rsid w:val="4235057C"/>
    <w:rsid w:val="43065A77"/>
    <w:rsid w:val="434D06A1"/>
    <w:rsid w:val="43632D4D"/>
    <w:rsid w:val="4451791B"/>
    <w:rsid w:val="44915873"/>
    <w:rsid w:val="44D833D5"/>
    <w:rsid w:val="450953A8"/>
    <w:rsid w:val="45CF31D5"/>
    <w:rsid w:val="46C513B0"/>
    <w:rsid w:val="48695B04"/>
    <w:rsid w:val="489D397A"/>
    <w:rsid w:val="48C66CFF"/>
    <w:rsid w:val="49364047"/>
    <w:rsid w:val="4939607B"/>
    <w:rsid w:val="493B7826"/>
    <w:rsid w:val="494F6443"/>
    <w:rsid w:val="4A7803FF"/>
    <w:rsid w:val="4A905338"/>
    <w:rsid w:val="4B574FE9"/>
    <w:rsid w:val="4B7F523C"/>
    <w:rsid w:val="4BE64087"/>
    <w:rsid w:val="4C8A2999"/>
    <w:rsid w:val="4DB034AF"/>
    <w:rsid w:val="4F12552C"/>
    <w:rsid w:val="4FA26F69"/>
    <w:rsid w:val="50EF617E"/>
    <w:rsid w:val="519972FF"/>
    <w:rsid w:val="52F06C04"/>
    <w:rsid w:val="549A0FDF"/>
    <w:rsid w:val="54A326B3"/>
    <w:rsid w:val="55347B83"/>
    <w:rsid w:val="56A874FB"/>
    <w:rsid w:val="57101C16"/>
    <w:rsid w:val="57882E88"/>
    <w:rsid w:val="58225E42"/>
    <w:rsid w:val="58ED4BF9"/>
    <w:rsid w:val="5A3544C0"/>
    <w:rsid w:val="5ABE3B17"/>
    <w:rsid w:val="5B474CD3"/>
    <w:rsid w:val="5B911C13"/>
    <w:rsid w:val="5B9E271C"/>
    <w:rsid w:val="5CAF25EE"/>
    <w:rsid w:val="5D0C437D"/>
    <w:rsid w:val="5F7268F8"/>
    <w:rsid w:val="60EC1C1E"/>
    <w:rsid w:val="613A3192"/>
    <w:rsid w:val="618C11F1"/>
    <w:rsid w:val="62331A3E"/>
    <w:rsid w:val="6274543F"/>
    <w:rsid w:val="62E57968"/>
    <w:rsid w:val="63054319"/>
    <w:rsid w:val="630B7B4D"/>
    <w:rsid w:val="630F1EC8"/>
    <w:rsid w:val="652C2F14"/>
    <w:rsid w:val="65B44B7B"/>
    <w:rsid w:val="665816DB"/>
    <w:rsid w:val="66770C98"/>
    <w:rsid w:val="66A36C43"/>
    <w:rsid w:val="66F50C3E"/>
    <w:rsid w:val="66F50C63"/>
    <w:rsid w:val="67D13085"/>
    <w:rsid w:val="689B7964"/>
    <w:rsid w:val="6A144F48"/>
    <w:rsid w:val="6B017BE1"/>
    <w:rsid w:val="6BAF4E31"/>
    <w:rsid w:val="6C9854C4"/>
    <w:rsid w:val="6CF45E2A"/>
    <w:rsid w:val="6D284E9B"/>
    <w:rsid w:val="6D406DDC"/>
    <w:rsid w:val="6D5864E6"/>
    <w:rsid w:val="6D8A5CB9"/>
    <w:rsid w:val="6E01512F"/>
    <w:rsid w:val="6F2011BC"/>
    <w:rsid w:val="6FDE3B35"/>
    <w:rsid w:val="6FED3F1E"/>
    <w:rsid w:val="708911FB"/>
    <w:rsid w:val="722C6FE9"/>
    <w:rsid w:val="73A00180"/>
    <w:rsid w:val="74237CBE"/>
    <w:rsid w:val="745B137C"/>
    <w:rsid w:val="746807A3"/>
    <w:rsid w:val="74C2289A"/>
    <w:rsid w:val="75787DAC"/>
    <w:rsid w:val="77B565A5"/>
    <w:rsid w:val="77F51B74"/>
    <w:rsid w:val="78EB1FF5"/>
    <w:rsid w:val="798D51A3"/>
    <w:rsid w:val="799838DA"/>
    <w:rsid w:val="79C174E7"/>
    <w:rsid w:val="7BFB0842"/>
    <w:rsid w:val="7C376574"/>
    <w:rsid w:val="7D532FF2"/>
    <w:rsid w:val="7E84266D"/>
    <w:rsid w:val="7EDB2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keepLines/>
      <w:ind w:firstLine="0" w:firstLineChars="0"/>
      <w:jc w:val="left"/>
      <w:outlineLvl w:val="1"/>
    </w:pPr>
    <w:rPr>
      <w:b/>
      <w:sz w:val="21"/>
      <w:szCs w:val="32"/>
    </w:rPr>
  </w:style>
  <w:style w:type="paragraph" w:styleId="5">
    <w:name w:val="heading 3"/>
    <w:basedOn w:val="1"/>
    <w:next w:val="1"/>
    <w:qFormat/>
    <w:uiPriority w:val="0"/>
    <w:pPr>
      <w:keepNext/>
      <w:autoSpaceDE w:val="0"/>
      <w:autoSpaceDN w:val="0"/>
      <w:adjustRightInd w:val="0"/>
      <w:snapToGrid w:val="0"/>
      <w:spacing w:line="360" w:lineRule="auto"/>
      <w:jc w:val="left"/>
      <w:textAlignment w:val="baseline"/>
      <w:outlineLvl w:val="2"/>
    </w:pPr>
    <w:rPr>
      <w:rFonts w:eastAsia="黑体" w:cs="Arial"/>
      <w:b/>
      <w:snapToGrid w:val="0"/>
      <w:spacing w:val="4"/>
      <w:kern w:val="0"/>
      <w:sz w:val="28"/>
    </w:rPr>
  </w:style>
  <w:style w:type="paragraph" w:styleId="6">
    <w:name w:val="heading 4"/>
    <w:basedOn w:val="1"/>
    <w:next w:val="1"/>
    <w:qFormat/>
    <w:uiPriority w:val="0"/>
    <w:pPr>
      <w:keepNext/>
      <w:outlineLvl w:val="3"/>
    </w:pPr>
    <w:rPr>
      <w:bCs/>
      <w:sz w:val="21"/>
      <w:lang w:val="en-G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Normal Indent"/>
    <w:basedOn w:val="1"/>
    <w:next w:val="1"/>
    <w:qFormat/>
    <w:uiPriority w:val="0"/>
    <w:pPr>
      <w:spacing w:line="240" w:lineRule="auto"/>
      <w:ind w:firstLine="420" w:firstLineChars="200"/>
    </w:pPr>
    <w:rPr>
      <w:bCs/>
      <w:kern w:val="10"/>
      <w:sz w:val="28"/>
    </w:rPr>
  </w:style>
  <w:style w:type="paragraph" w:styleId="8">
    <w:name w:val="annotation text"/>
    <w:basedOn w:val="1"/>
    <w:qFormat/>
    <w:uiPriority w:val="0"/>
    <w:pPr>
      <w:jc w:val="left"/>
    </w:p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qFormat/>
    <w:uiPriority w:val="0"/>
    <w:pPr>
      <w:ind w:left="720"/>
    </w:pPr>
    <w:rPr>
      <w:sz w:val="2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4">
    <w:name w:val="Body Text First Indent 2"/>
    <w:basedOn w:val="10"/>
    <w:qFormat/>
    <w:uiPriority w:val="0"/>
    <w:pPr>
      <w:spacing w:after="120" w:afterLines="0"/>
      <w:ind w:left="420" w:leftChars="200" w:firstLine="420" w:firstLineChars="2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iPriority w:val="0"/>
    <w:rPr>
      <w:color w:val="0000FF"/>
      <w:u w:val="single"/>
    </w:rPr>
  </w:style>
  <w:style w:type="paragraph" w:customStyle="1" w:styleId="19">
    <w:name w:val="样式 正文缩进正文缩进2正文缩进 Char Char正文缩进 Char Char Char Char正文缩进 Char ..."/>
    <w:basedOn w:val="7"/>
    <w:qFormat/>
    <w:uiPriority w:val="0"/>
    <w:pPr>
      <w:widowControl w:val="0"/>
      <w:adjustRightInd w:val="0"/>
      <w:spacing w:line="360" w:lineRule="auto"/>
      <w:ind w:firstLine="200"/>
      <w:textAlignment w:val="baseline"/>
    </w:pPr>
    <w:rPr>
      <w:rFonts w:ascii="Times New Roman" w:hAnsi="Times New Roman" w:cs="宋体"/>
      <w:kern w:val="2"/>
      <w:lang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表格表格"/>
    <w:basedOn w:val="1"/>
    <w:qFormat/>
    <w:uiPriority w:val="0"/>
    <w:pPr>
      <w:spacing w:line="240" w:lineRule="auto"/>
      <w:ind w:firstLine="0" w:firstLineChars="0"/>
      <w:jc w:val="center"/>
    </w:pPr>
    <w:rPr>
      <w:b/>
      <w:bCs/>
      <w:color w:val="000000"/>
      <w:kern w:val="0"/>
      <w:sz w:val="21"/>
      <w:szCs w:val="21"/>
      <w:lang w:val="en-GB"/>
    </w:rPr>
  </w:style>
  <w:style w:type="paragraph" w:customStyle="1" w:styleId="22">
    <w:name w:val="表格文字"/>
    <w:next w:val="1"/>
    <w:qFormat/>
    <w:uiPriority w:val="0"/>
    <w:pPr>
      <w:autoSpaceDE w:val="0"/>
      <w:autoSpaceDN w:val="0"/>
      <w:jc w:val="center"/>
    </w:pPr>
    <w:rPr>
      <w:rFonts w:ascii="Times New Roman" w:hAnsi="Times New Roman" w:eastAsia="宋体" w:cs="Times New Roman"/>
      <w:bCs/>
      <w:sz w:val="18"/>
      <w:szCs w:val="21"/>
      <w:lang w:val="en-US" w:eastAsia="zh-CN" w:bidi="ar-SA"/>
    </w:rPr>
  </w:style>
  <w:style w:type="character" w:customStyle="1" w:styleId="23">
    <w:name w:val="表格文字 Char1"/>
    <w:qFormat/>
    <w:uiPriority w:val="0"/>
    <w:rPr>
      <w:rFonts w:eastAsia="新宋体" w:cs="新宋体"/>
      <w:bCs/>
      <w:kern w:val="2"/>
      <w:sz w:val="18"/>
    </w:rPr>
  </w:style>
  <w:style w:type="paragraph" w:customStyle="1" w:styleId="24">
    <w:name w:val="报告正文"/>
    <w:basedOn w:val="1"/>
    <w:qFormat/>
    <w:uiPriority w:val="0"/>
    <w:pPr>
      <w:adjustRightInd w:val="0"/>
      <w:snapToGrid w:val="0"/>
      <w:spacing w:line="360" w:lineRule="auto"/>
      <w:ind w:firstLine="200" w:firstLineChars="200"/>
    </w:pPr>
    <w:rPr>
      <w:sz w:val="24"/>
      <w:szCs w:val="20"/>
    </w:rPr>
  </w:style>
  <w:style w:type="paragraph" w:customStyle="1" w:styleId="25">
    <w:name w:val="图表标题"/>
    <w:next w:val="1"/>
    <w:qFormat/>
    <w:uiPriority w:val="0"/>
    <w:pPr>
      <w:spacing w:line="360" w:lineRule="auto"/>
      <w:jc w:val="center"/>
    </w:pPr>
    <w:rPr>
      <w:rFonts w:ascii="Times New Roman" w:hAnsi="Times New Roman" w:eastAsia="黑体" w:cs="Times New Roman"/>
      <w:kern w:val="2"/>
      <w:sz w:val="24"/>
      <w:szCs w:val="22"/>
      <w:lang w:val="en-US" w:eastAsia="zh-CN" w:bidi="ar-SA"/>
    </w:rPr>
  </w:style>
  <w:style w:type="paragraph" w:customStyle="1" w:styleId="26">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27">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15"/>
    <w:qFormat/>
    <w:uiPriority w:val="0"/>
    <w:rPr>
      <w:rFonts w:hint="eastAsia" w:ascii="宋体" w:hAnsi="宋体" w:eastAsia="宋体"/>
      <w:kern w:val="2"/>
      <w:sz w:val="21"/>
      <w:szCs w:val="21"/>
    </w:rPr>
  </w:style>
  <w:style w:type="character" w:customStyle="1" w:styleId="29">
    <w:name w:val="表格文字 Char Char"/>
    <w:qFormat/>
    <w:uiPriority w:val="0"/>
    <w:rPr>
      <w:rFonts w:eastAsia="宋体"/>
      <w:kern w:val="2"/>
      <w:sz w:val="21"/>
      <w:szCs w:val="18"/>
      <w:lang w:val="en-US" w:eastAsia="zh-CN" w:bidi="ar-SA"/>
    </w:rPr>
  </w:style>
  <w:style w:type="paragraph" w:customStyle="1" w:styleId="30">
    <w:name w:val="报告书正文"/>
    <w:basedOn w:val="1"/>
    <w:qFormat/>
    <w:uiPriority w:val="0"/>
    <w:pPr>
      <w:spacing w:line="360" w:lineRule="auto"/>
      <w:ind w:firstLine="200" w:firstLineChars="200"/>
    </w:pPr>
    <w:rPr>
      <w:kern w:val="0"/>
      <w:sz w:val="24"/>
      <w:szCs w:val="20"/>
    </w:rPr>
  </w:style>
  <w:style w:type="paragraph" w:customStyle="1" w:styleId="31">
    <w:name w:val="表格内容-lxc"/>
    <w:basedOn w:val="1"/>
    <w:qFormat/>
    <w:uiPriority w:val="0"/>
    <w:pPr>
      <w:overflowPunct w:val="0"/>
      <w:autoSpaceDE w:val="0"/>
      <w:autoSpaceDN w:val="0"/>
      <w:adjustRightInd w:val="0"/>
      <w:snapToGrid w:val="0"/>
      <w:jc w:val="center"/>
      <w:textAlignment w:val="baseline"/>
    </w:pPr>
    <w:rPr>
      <w:rFonts w:ascii="Times New Roman" w:hAnsi="Times New Roman"/>
      <w:kern w:val="0"/>
      <w:sz w:val="18"/>
      <w:szCs w:val="20"/>
    </w:rPr>
  </w:style>
  <w:style w:type="paragraph" w:customStyle="1" w:styleId="32">
    <w:name w:val="Table Paragraph"/>
    <w:basedOn w:val="1"/>
    <w:qFormat/>
    <w:uiPriority w:val="0"/>
  </w:style>
  <w:style w:type="paragraph" w:customStyle="1" w:styleId="33">
    <w:name w:val=" Char1"/>
    <w:basedOn w:val="1"/>
    <w:qFormat/>
    <w:uiPriority w:val="0"/>
    <w:pPr>
      <w:spacing w:line="360" w:lineRule="auto"/>
      <w:ind w:firstLine="200" w:firstLineChars="200"/>
    </w:pPr>
    <w:rPr>
      <w:rFonts w:ascii="宋体" w:hAnsi="宋体"/>
      <w:kern w:val="0"/>
      <w:sz w:val="24"/>
      <w:szCs w:val="20"/>
    </w:rPr>
  </w:style>
  <w:style w:type="paragraph" w:styleId="34">
    <w:name w:val="List Paragraph"/>
    <w:basedOn w:val="1"/>
    <w:qFormat/>
    <w:uiPriority w:val="0"/>
    <w:pPr>
      <w:ind w:firstLine="420" w:firstLineChars="200"/>
    </w:pPr>
    <w:rPr>
      <w:rFonts w:ascii="Calibri" w:hAnsi="Calibri"/>
      <w:sz w:val="21"/>
      <w:szCs w:val="22"/>
    </w:rPr>
  </w:style>
  <w:style w:type="paragraph" w:customStyle="1" w:styleId="35">
    <w:name w:val="报告表正文"/>
    <w:basedOn w:val="1"/>
    <w:qFormat/>
    <w:uiPriority w:val="0"/>
    <w:pPr>
      <w:adjustRightInd w:val="0"/>
      <w:snapToGrid w:val="0"/>
      <w:jc w:val="left"/>
    </w:pPr>
    <w:rPr>
      <w:bCs/>
    </w:rPr>
  </w:style>
  <w:style w:type="paragraph" w:customStyle="1" w:styleId="36">
    <w:name w:val="图像"/>
    <w:basedOn w:val="1"/>
    <w:qFormat/>
    <w:uiPriority w:val="0"/>
    <w:pPr>
      <w:widowControl/>
      <w:spacing w:line="240" w:lineRule="auto"/>
      <w:ind w:firstLine="0" w:firstLineChars="0"/>
      <w:jc w:val="center"/>
    </w:pPr>
    <w:rPr>
      <w:rFonts w:eastAsia="新宋体"/>
      <w:b/>
      <w:kern w:val="0"/>
      <w:sz w:val="20"/>
      <w:szCs w:val="20"/>
    </w:rPr>
  </w:style>
  <w:style w:type="paragraph" w:customStyle="1" w:styleId="37">
    <w:name w:val="新格式表"/>
    <w:basedOn w:val="1"/>
    <w:qFormat/>
    <w:uiPriority w:val="0"/>
    <w:pPr>
      <w:adjustRightInd w:val="0"/>
      <w:snapToGrid w:val="0"/>
      <w:spacing w:line="0" w:lineRule="atLeast"/>
      <w:jc w:val="center"/>
    </w:pPr>
    <w:rPr>
      <w:color w:val="000000"/>
      <w:kern w:val="0"/>
      <w:szCs w:val="21"/>
    </w:rPr>
  </w:style>
  <w:style w:type="paragraph" w:customStyle="1" w:styleId="38">
    <w:name w:val="aaaaa标题"/>
    <w:basedOn w:val="3"/>
    <w:qFormat/>
    <w:uiPriority w:val="0"/>
    <w:pPr>
      <w:keepLines/>
      <w:spacing w:before="340" w:after="330" w:line="360" w:lineRule="auto"/>
      <w:ind w:firstLine="0" w:firstLineChars="0"/>
      <w:jc w:val="left"/>
    </w:pPr>
    <w:rPr>
      <w:rFonts w:ascii="Times New Roman" w:hAnsi="Times New Roman"/>
      <w:color w:val="000000"/>
      <w:kern w:val="44"/>
      <w:sz w:val="24"/>
      <w:szCs w:val="20"/>
    </w:rPr>
  </w:style>
  <w:style w:type="paragraph" w:customStyle="1" w:styleId="39">
    <w:name w:val="正"/>
    <w:qFormat/>
    <w:uiPriority w:val="0"/>
    <w:pPr>
      <w:spacing w:line="480" w:lineRule="exact"/>
      <w:ind w:firstLine="470" w:firstLineChars="196"/>
    </w:pPr>
    <w:rPr>
      <w:rFonts w:ascii="Times New Roman" w:hAnsi="Times New Roman" w:eastAsia="宋体" w:cs="Times New Roman"/>
      <w:bCs/>
      <w:kern w:val="2"/>
      <w:sz w:val="24"/>
      <w:szCs w:val="24"/>
      <w:lang w:val="en-US" w:eastAsia="zh-CN" w:bidi="ar-SA"/>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3"/>
    <w:qFormat/>
    <w:uiPriority w:val="0"/>
    <w:pPr>
      <w:ind w:leftChars="40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样式2"/>
    <w:basedOn w:val="1"/>
    <w:qFormat/>
    <w:uiPriority w:val="0"/>
    <w:pPr>
      <w:widowControl/>
      <w:autoSpaceDE w:val="0"/>
      <w:autoSpaceDN w:val="0"/>
      <w:adjustRightInd w:val="0"/>
      <w:spacing w:line="500" w:lineRule="exact"/>
      <w:jc w:val="left"/>
    </w:pPr>
    <w:rPr>
      <w:rFonts w:ascii="宋体"/>
      <w:kern w:val="0"/>
      <w:sz w:val="26"/>
      <w:szCs w:val="20"/>
      <w:lang w:eastAsia="en-US" w:bidi="en-US"/>
    </w:rPr>
  </w:style>
  <w:style w:type="character" w:customStyle="1" w:styleId="44">
    <w:name w:val="font21"/>
    <w:basedOn w:val="17"/>
    <w:qFormat/>
    <w:uiPriority w:val="0"/>
    <w:rPr>
      <w:rFonts w:hint="eastAsia" w:ascii="宋体" w:hAnsi="宋体" w:eastAsia="宋体" w:cs="宋体"/>
      <w:b/>
      <w:color w:val="000000"/>
      <w:sz w:val="28"/>
      <w:szCs w:val="28"/>
      <w:u w:val="none"/>
    </w:rPr>
  </w:style>
  <w:style w:type="character" w:customStyle="1" w:styleId="45">
    <w:name w:val="font41"/>
    <w:basedOn w:val="17"/>
    <w:qFormat/>
    <w:uiPriority w:val="0"/>
    <w:rPr>
      <w:rFonts w:hint="default" w:ascii="Times New Roman" w:hAnsi="Times New Roman" w:cs="Times New Roman"/>
      <w:color w:val="000000"/>
      <w:sz w:val="21"/>
      <w:szCs w:val="21"/>
      <w:u w:val="none"/>
    </w:rPr>
  </w:style>
  <w:style w:type="paragraph" w:customStyle="1" w:styleId="46">
    <w:name w:val="表格文本"/>
    <w:basedOn w:val="1"/>
    <w:qFormat/>
    <w:uiPriority w:val="0"/>
    <w:pPr>
      <w:adjustRightInd w:val="0"/>
      <w:snapToGrid w:val="0"/>
      <w:jc w:val="center"/>
    </w:pPr>
    <w:rPr>
      <w:rFonts w:ascii="Arial" w:hAnsi="Arial"/>
      <w:bCs/>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wmf"/><Relationship Id="rId22" Type="http://schemas.openxmlformats.org/officeDocument/2006/relationships/oleObject" Target="embeddings/oleObject3.bin"/><Relationship Id="rId21" Type="http://schemas.openxmlformats.org/officeDocument/2006/relationships/image" Target="media/image7.png"/><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e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38116</Words>
  <Characters>43166</Characters>
  <TotalTime>5</TotalTime>
  <ScaleCrop>false</ScaleCrop>
  <LinksUpToDate>false</LinksUpToDate>
  <CharactersWithSpaces>45215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2022-02-21T09:48:00Z</dcterms:created>
  <dc:creator>lhj</dc:creator>
  <cp:lastModifiedBy>夕颜</cp:lastModifiedBy>
  <dcterms:modified xsi:type="dcterms:W3CDTF">2022-10-14T02:49:48Z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2022-08-29T15:56:56Z</vt:filetime>
  </property>
  <property fmtid="{D5CDD505-2E9C-101B-9397-08002B2CF9AE}" pid="4" name="KSOProductBuildVer">
    <vt:lpwstr>2052-11.1.0.12598</vt:lpwstr>
  </property>
  <property fmtid="{D5CDD505-2E9C-101B-9397-08002B2CF9AE}" pid="5" name="ICV">
    <vt:lpwstr>5FBD031E75CD4EA887B5BB81789E53C2</vt:lpwstr>
  </property>
</Properties>
</file>