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val="0"/>
        <w:topLinePunct w:val="0"/>
        <w:autoSpaceDE/>
        <w:autoSpaceDN/>
        <w:bidi w:val="0"/>
        <w:adjustRightInd/>
        <w:snapToGrid/>
        <w:ind w:firstLine="1920" w:firstLineChars="800"/>
        <w:textAlignment w:val="auto"/>
        <w:outlineLvl w:val="9"/>
        <w:rPr>
          <w:rFonts w:hint="eastAsia" w:ascii="楷体_GB2312" w:hAnsi="楷体_GB2312" w:eastAsia="楷体_GB2312" w:cs="楷体_GB2312"/>
          <w:sz w:val="24"/>
          <w:szCs w:val="24"/>
          <w:lang w:val="en-US" w:eastAsia="zh-CN"/>
        </w:rPr>
      </w:pPr>
      <w:r>
        <w:rPr>
          <w:rFonts w:hint="eastAsia" w:ascii="华文中宋" w:hAnsi="华文中宋" w:eastAsia="华文中宋" w:cs="华文中宋"/>
          <w:sz w:val="24"/>
          <w:szCs w:val="24"/>
          <w:u w:val="single"/>
          <w:lang w:val="en-US" w:eastAsia="zh-CN"/>
        </w:rPr>
        <w:t xml:space="preserve">              </w:t>
      </w:r>
      <w:r>
        <w:rPr>
          <w:rFonts w:hint="eastAsia" w:ascii="华文中宋" w:hAnsi="华文中宋" w:eastAsia="华文中宋" w:cs="华文中宋"/>
          <w:sz w:val="24"/>
          <w:szCs w:val="24"/>
          <w:u w:val="none"/>
          <w:lang w:val="en-US" w:eastAsia="zh-CN"/>
        </w:rPr>
        <w:t>（企业名称）</w:t>
      </w:r>
      <w:r>
        <w:rPr>
          <w:rFonts w:hint="eastAsia" w:ascii="华文中宋" w:hAnsi="华文中宋" w:eastAsia="华文中宋" w:cs="华文中宋"/>
          <w:sz w:val="24"/>
          <w:szCs w:val="24"/>
          <w:lang w:val="en-US" w:eastAsia="zh-CN"/>
        </w:rPr>
        <w:t>裁员工作方案</w:t>
      </w:r>
      <w:r>
        <w:rPr>
          <w:rFonts w:hint="eastAsia" w:ascii="楷体_GB2312" w:hAnsi="楷体_GB2312" w:eastAsia="楷体_GB2312" w:cs="楷体_GB2312"/>
          <w:sz w:val="24"/>
          <w:szCs w:val="24"/>
          <w:lang w:val="en-US" w:eastAsia="zh-CN"/>
        </w:rPr>
        <w:t>（参考样本）</w:t>
      </w:r>
    </w:p>
    <w:p>
      <w:pPr>
        <w:keepNext w:val="0"/>
        <w:keepLines w:val="0"/>
        <w:pageBreakBefore w:val="0"/>
        <w:widowControl w:val="0"/>
        <w:numPr>
          <w:ilvl w:val="0"/>
          <w:numId w:val="0"/>
        </w:numPr>
        <w:kinsoku/>
        <w:wordWrap/>
        <w:overflowPunct w:val="0"/>
        <w:topLinePunct w:val="0"/>
        <w:autoSpaceDE/>
        <w:autoSpaceDN/>
        <w:bidi w:val="0"/>
        <w:adjustRightInd/>
        <w:snapToGrid/>
        <w:textAlignment w:val="auto"/>
        <w:outlineLvl w:val="9"/>
        <w:rPr>
          <w:rFonts w:hint="eastAsia" w:ascii="仿宋_GB2312" w:hAnsi="仿宋_GB2312" w:eastAsia="仿宋_GB2312" w:cs="仿宋_GB2312"/>
          <w:sz w:val="24"/>
          <w:szCs w:val="24"/>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一、裁员背景</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1.企业近期经营状况、未来经营状况和财务状况预测；</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2.企业已采取的不裁员少裁员措施；</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3.裁员依据：符合劳动合同法第四十一条第  项规定的裁员情形；</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4.裁员后企业的人力资源规划考虑及预期经营状况。</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二、裁员工作原则</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1.坚持依法合规裁减人员；</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2.依法履行民主程序，充分听取工会和职工意见建议，保证裁员程序和结果</w:t>
      </w:r>
      <w:r>
        <w:rPr>
          <w:rFonts w:hint="eastAsia" w:ascii="仿宋_GB2312" w:eastAsia="仿宋_GB2312"/>
          <w:color w:val="000000"/>
          <w:sz w:val="24"/>
          <w:szCs w:val="24"/>
        </w:rPr>
        <w:t>公开、公</w:t>
      </w:r>
      <w:r>
        <w:rPr>
          <w:rFonts w:hint="eastAsia" w:ascii="仿宋_GB2312" w:eastAsia="仿宋_GB2312"/>
          <w:color w:val="000000"/>
          <w:sz w:val="24"/>
          <w:szCs w:val="24"/>
          <w:lang w:eastAsia="zh-CN"/>
        </w:rPr>
        <w:t>平</w:t>
      </w:r>
      <w:r>
        <w:rPr>
          <w:rFonts w:hint="eastAsia" w:ascii="仿宋_GB2312" w:eastAsia="仿宋_GB2312"/>
          <w:color w:val="000000"/>
          <w:sz w:val="24"/>
          <w:szCs w:val="24"/>
        </w:rPr>
        <w:t>、</w:t>
      </w:r>
      <w:r>
        <w:rPr>
          <w:rFonts w:hint="eastAsia" w:ascii="仿宋_GB2312" w:eastAsia="仿宋_GB2312"/>
          <w:color w:val="000000"/>
          <w:sz w:val="24"/>
          <w:szCs w:val="24"/>
          <w:lang w:eastAsia="zh-CN"/>
        </w:rPr>
        <w:t>公正</w:t>
      </w:r>
      <w:r>
        <w:rPr>
          <w:rFonts w:hint="eastAsia" w:ascii="仿宋_GB2312" w:hAnsi="仿宋_GB2312" w:eastAsia="仿宋_GB2312" w:cs="仿宋_GB2312"/>
          <w:sz w:val="24"/>
          <w:szCs w:val="24"/>
          <w:lang w:val="en-US" w:eastAsia="zh-CN"/>
        </w:rPr>
        <w:t>，争取职工的理解与支持；</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3.与当地政府、人力资源社会保障部门、人力资源服务企业、社区等保持良好沟通，配合做好社会保险转移接续、促进职工再就业等相关工作。</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三、成立工作组</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u w:val="none"/>
          <w:lang w:val="en-US" w:eastAsia="zh-CN"/>
        </w:rPr>
      </w:pPr>
      <w:r>
        <w:rPr>
          <w:rFonts w:hint="eastAsia" w:ascii="仿宋_GB2312" w:hAnsi="仿宋_GB2312" w:eastAsia="仿宋_GB2312" w:cs="仿宋_GB2312"/>
          <w:sz w:val="24"/>
          <w:szCs w:val="24"/>
          <w:lang w:val="en-US" w:eastAsia="zh-CN"/>
        </w:rPr>
        <w:t>*月*日前，成立裁员工作组，负责裁员方案制定和实施工作。工作组由</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none"/>
          <w:lang w:val="en-US" w:eastAsia="zh-CN"/>
        </w:rPr>
        <w:t>担任组长，人力资源部门、财务部门等相关部门参加。</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工作组成员名单</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听取工会或职工意见的联系人和联系方式</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黑体" w:hAnsi="黑体" w:eastAsia="黑体" w:cs="黑体"/>
          <w:sz w:val="24"/>
          <w:szCs w:val="24"/>
          <w:lang w:val="en-US" w:eastAsia="zh-CN"/>
        </w:rPr>
      </w:pPr>
      <w:r>
        <w:rPr>
          <w:rFonts w:hint="eastAsia" w:ascii="黑体" w:hAnsi="黑体" w:eastAsia="黑体" w:cs="黑体"/>
          <w:sz w:val="24"/>
          <w:szCs w:val="24"/>
          <w:lang w:val="en-US" w:eastAsia="zh-CN"/>
        </w:rPr>
        <w:t>四、制定裁员草案</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1.*月*日前，了解职工意见和主要诉求，梳理职工基本情况，提出裁员标准，测算裁员成本，并提出资金筹集具体意见。</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2.*月*日前，提出裁员草案，包括裁减人员规模、范围、标准、裁员初步名单、预计裁员成本等，提交企业管理层研究讨论。</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（1）职工基本情况表</w:t>
      </w:r>
    </w:p>
    <w:tbl>
      <w:tblPr>
        <w:tblStyle w:val="4"/>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26"/>
        <w:gridCol w:w="526"/>
        <w:gridCol w:w="526"/>
        <w:gridCol w:w="526"/>
        <w:gridCol w:w="526"/>
        <w:gridCol w:w="526"/>
        <w:gridCol w:w="526"/>
        <w:gridCol w:w="526"/>
        <w:gridCol w:w="526"/>
        <w:gridCol w:w="526"/>
        <w:gridCol w:w="526"/>
        <w:gridCol w:w="526"/>
        <w:gridCol w:w="526"/>
        <w:gridCol w:w="526"/>
        <w:gridCol w:w="527"/>
        <w:gridCol w:w="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8" w:hRule="atLeast"/>
          <w:jc w:val="center"/>
        </w:trPr>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序号</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姓名</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性别</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年龄</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身份证号</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联系方式</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入职时间</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学历</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职称/技术等级</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岗位</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劳动合同类型</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合同终止时间</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本单位工作年限</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月均工资</w:t>
            </w:r>
          </w:p>
        </w:tc>
        <w:tc>
          <w:tcPr>
            <w:tcW w:w="52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业绩考核</w:t>
            </w:r>
          </w:p>
        </w:tc>
        <w:tc>
          <w:tcPr>
            <w:tcW w:w="981"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其他（伤病、孕产哺乳期、家庭困难）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1</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981"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z w:val="21"/>
                <w:szCs w:val="21"/>
                <w:vertAlign w:val="baseline"/>
                <w:lang w:val="en-US" w:eastAsia="zh-CN"/>
              </w:rPr>
              <w:t>2</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981"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5" w:hRule="atLeast"/>
          <w:jc w:val="center"/>
        </w:trPr>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r>
              <w:rPr>
                <w:rFonts w:hint="eastAsia" w:ascii="楷体_GB2312" w:hAnsi="楷体_GB2312" w:eastAsia="楷体_GB2312" w:cs="楷体_GB2312"/>
                <w:spacing w:val="-20"/>
                <w:w w:val="80"/>
                <w:sz w:val="21"/>
                <w:szCs w:val="21"/>
                <w:vertAlign w:val="baseline"/>
                <w:lang w:val="en-US" w:eastAsia="zh-CN"/>
              </w:rPr>
              <w:t>...</w:t>
            </w: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6"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527"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c>
          <w:tcPr>
            <w:tcW w:w="981" w:type="dxa"/>
            <w:vAlign w:val="center"/>
          </w:tcPr>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jc w:val="center"/>
              <w:textAlignment w:val="auto"/>
              <w:outlineLvl w:val="9"/>
              <w:rPr>
                <w:rFonts w:hint="eastAsia" w:ascii="楷体_GB2312" w:hAnsi="楷体_GB2312" w:eastAsia="楷体_GB2312" w:cs="楷体_GB2312"/>
                <w:sz w:val="21"/>
                <w:szCs w:val="21"/>
                <w:vertAlign w:val="baseline"/>
                <w:lang w:val="en-US" w:eastAsia="zh-CN"/>
              </w:rPr>
            </w:pPr>
          </w:p>
        </w:tc>
      </w:tr>
    </w:tbl>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firstLine="480" w:firstLineChars="200"/>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（2）裁员涉及部门、岗位、人数、被裁减人员数量占职工总数的比例</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firstLine="480" w:firstLineChars="200"/>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（3）裁员标准</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firstLine="480" w:firstLineChars="200"/>
        <w:textAlignment w:val="auto"/>
        <w:outlineLvl w:val="9"/>
        <w:rPr>
          <w:rFonts w:hint="eastAsia" w:ascii="楷体_GB2312" w:hAnsi="楷体_GB2312" w:eastAsia="楷体_GB2312" w:cs="楷体_GB2312"/>
          <w:sz w:val="24"/>
          <w:szCs w:val="24"/>
          <w:lang w:val="en-US" w:eastAsia="zh-CN"/>
        </w:rPr>
      </w:pPr>
      <w:r>
        <w:rPr>
          <w:rFonts w:hint="eastAsia" w:ascii="楷体_GB2312" w:hAnsi="楷体_GB2312" w:eastAsia="楷体_GB2312" w:cs="楷体_GB2312"/>
          <w:sz w:val="24"/>
          <w:szCs w:val="24"/>
          <w:lang w:val="en-US" w:eastAsia="zh-CN"/>
        </w:rPr>
        <w:t>（4）裁员成本：预计    元</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其中：</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left="0" w:leftChars="0"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●经济补偿：</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left="0" w:leftChars="0" w:firstLine="480" w:firstLineChars="20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被裁减人员本单位平均工作年限：</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left="0" w:leftChars="0" w:firstLine="480" w:firstLineChars="20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被裁减人员月平均工资标准：</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left="0" w:leftChars="0" w:firstLine="480" w:firstLineChars="20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本地区上年度职工月平均工资：</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left="0" w:leftChars="0" w:firstLine="480" w:firstLineChars="200"/>
        <w:jc w:val="distribute"/>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val="en-US" w:eastAsia="zh-CN"/>
        </w:rPr>
        <w:t>月工资高于</w:t>
      </w:r>
      <w:r>
        <w:rPr>
          <w:rFonts w:hint="eastAsia" w:ascii="仿宋_GB2312" w:hAnsi="仿宋_GB2312" w:eastAsia="仿宋_GB2312" w:cs="仿宋_GB2312"/>
          <w:color w:val="000000"/>
          <w:sz w:val="24"/>
          <w:szCs w:val="24"/>
          <w:lang w:eastAsia="zh-CN"/>
        </w:rPr>
        <w:t>本地区上年度职工月平均工资三倍的被裁</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人员人数：</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left="0" w:leftChars="0"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●应偿还的拖欠职工工资（若存在此类情况）：</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left="0" w:leftChars="0"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●需补缴的社会保险费（若存在此类情况）：</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left="0" w:leftChars="0"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●一次性伤残就业补助金（若存在此类情况）：</w:t>
      </w:r>
    </w:p>
    <w:p>
      <w:pPr>
        <w:keepNext w:val="0"/>
        <w:keepLines w:val="0"/>
        <w:pageBreakBefore w:val="0"/>
        <w:widowControl w:val="0"/>
        <w:numPr>
          <w:ilvl w:val="0"/>
          <w:numId w:val="0"/>
        </w:numPr>
        <w:tabs>
          <w:tab w:val="left" w:pos="210"/>
        </w:tabs>
        <w:kinsoku/>
        <w:wordWrap/>
        <w:overflowPunct w:val="0"/>
        <w:topLinePunct w:val="0"/>
        <w:autoSpaceDE/>
        <w:autoSpaceDN/>
        <w:bidi w:val="0"/>
        <w:adjustRightInd/>
        <w:snapToGrid/>
        <w:spacing w:line="400" w:lineRule="exact"/>
        <w:ind w:left="0" w:leftChars="0" w:firstLine="240" w:firstLineChars="1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●其他（如</w:t>
      </w:r>
      <w:r>
        <w:rPr>
          <w:rFonts w:hint="eastAsia" w:ascii="仿宋_GB2312" w:hAnsi="仿宋_GB2312" w:eastAsia="仿宋_GB2312" w:cs="仿宋_GB2312"/>
          <w:color w:val="000000"/>
          <w:sz w:val="24"/>
          <w:szCs w:val="24"/>
          <w:lang w:eastAsia="zh-CN"/>
        </w:rPr>
        <w:t>特殊职工帮扶费用）</w:t>
      </w:r>
      <w:r>
        <w:rPr>
          <w:rFonts w:hint="eastAsia" w:ascii="仿宋_GB2312" w:hAnsi="仿宋_GB2312" w:eastAsia="仿宋_GB2312" w:cs="仿宋_GB2312"/>
          <w:sz w:val="24"/>
          <w:szCs w:val="24"/>
          <w:lang w:val="en-US"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0"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w:t>
      </w:r>
      <w:r>
        <w:rPr>
          <w:rFonts w:hint="eastAsia" w:ascii="楷体_GB2312" w:hAnsi="楷体_GB2312" w:eastAsia="楷体_GB2312" w:cs="楷体_GB2312"/>
          <w:sz w:val="24"/>
          <w:szCs w:val="24"/>
          <w:lang w:val="en-US" w:eastAsia="zh-CN"/>
        </w:rPr>
        <w:t>*月*日</w:t>
      </w:r>
      <w:r>
        <w:rPr>
          <w:rFonts w:hint="eastAsia" w:ascii="仿宋_GB2312" w:hAnsi="仿宋_GB2312" w:eastAsia="仿宋_GB2312" w:cs="仿宋_GB2312"/>
          <w:sz w:val="24"/>
          <w:szCs w:val="24"/>
          <w:lang w:val="en-US" w:eastAsia="zh-CN"/>
        </w:rPr>
        <w:t>根据管理层研究意见修改完善，形成裁员草案。</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五、依法履行民主程序</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1.*月*日，召开会议，与企业工会沟通裁员有关情况，由企业负责人或裁员工作组组长说明裁员情况，听取工会对裁员草案的意见。</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没有企业工会的，*月*日，召开全体职工大会，由企业负责人或裁员工作组组长向全体职工说明有关情况，公布裁员草案，并公布听取意见的渠道、电话、邮箱等。职工因病、因事不能参加职工大会的，应书面请假，本人签字。</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0"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b w:val="0"/>
          <w:bCs w:val="0"/>
          <w:sz w:val="24"/>
          <w:szCs w:val="24"/>
          <w:lang w:val="en-US" w:eastAsia="zh-CN"/>
        </w:rPr>
        <w:t>*月*日前，</w:t>
      </w:r>
      <w:r>
        <w:rPr>
          <w:rFonts w:hint="eastAsia" w:ascii="仿宋_GB2312" w:hAnsi="仿宋_GB2312" w:eastAsia="仿宋_GB2312" w:cs="仿宋_GB2312"/>
          <w:sz w:val="24"/>
          <w:szCs w:val="24"/>
          <w:lang w:val="en-US" w:eastAsia="zh-CN"/>
        </w:rPr>
        <w:t>根据工会和职工对裁员草案的意见和建议，对裁员草案进行修改完善，形成报送当地人力资源社会保障部门的裁员方案。</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六、向当地人力资源社会保障部门报告</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0" w:leftChars="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*月*日前，按照有关规定向当地人力资源社会保障部门报告裁员有关情况。</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七、确定裁员正式方案</w:t>
      </w:r>
    </w:p>
    <w:p>
      <w:pPr>
        <w:keepNext w:val="0"/>
        <w:keepLines w:val="0"/>
        <w:pageBreakBefore w:val="0"/>
        <w:widowControl w:val="0"/>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eastAsia="仿宋_GB2312" w:cs="Times New Roman"/>
          <w:color w:val="auto"/>
          <w:sz w:val="24"/>
          <w:szCs w:val="24"/>
          <w:lang w:val="en-US" w:eastAsia="zh-CN"/>
        </w:rPr>
      </w:pPr>
      <w:r>
        <w:rPr>
          <w:rFonts w:hint="eastAsia" w:ascii="仿宋_GB2312" w:eastAsia="仿宋_GB2312" w:cs="Times New Roman"/>
          <w:color w:val="auto"/>
          <w:sz w:val="24"/>
          <w:szCs w:val="24"/>
          <w:lang w:val="en-US" w:eastAsia="zh-CN"/>
        </w:rPr>
        <w:t>根据当地人力资源社会保障部门提出的修改意见对裁员方案进行修改完善，形成正式裁员方案并向全体职工公示。</w:t>
      </w:r>
    </w:p>
    <w:p>
      <w:pPr>
        <w:keepNext w:val="0"/>
        <w:keepLines w:val="0"/>
        <w:pageBreakBefore w:val="0"/>
        <w:widowControl w:val="0"/>
        <w:numPr>
          <w:ilvl w:val="0"/>
          <w:numId w:val="0"/>
        </w:numPr>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八、实施裁员方案</w:t>
      </w:r>
    </w:p>
    <w:p>
      <w:pPr>
        <w:keepNext w:val="0"/>
        <w:keepLines w:val="0"/>
        <w:pageBreakBefore w:val="0"/>
        <w:widowControl w:val="0"/>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eastAsia="仿宋_GB2312" w:cs="Times New Roman"/>
          <w:color w:val="auto"/>
          <w:sz w:val="24"/>
          <w:szCs w:val="24"/>
          <w:lang w:val="en-US" w:eastAsia="zh-CN"/>
        </w:rPr>
      </w:pPr>
      <w:r>
        <w:rPr>
          <w:rFonts w:hint="eastAsia" w:ascii="仿宋_GB2312" w:eastAsia="仿宋_GB2312" w:cs="Times New Roman"/>
          <w:color w:val="auto"/>
          <w:sz w:val="24"/>
          <w:szCs w:val="24"/>
          <w:lang w:val="en-US" w:eastAsia="zh-CN"/>
        </w:rPr>
        <w:t>1.*月*日前，根据最终裁员名单通知被裁减人员；</w:t>
      </w:r>
    </w:p>
    <w:p>
      <w:pPr>
        <w:keepNext w:val="0"/>
        <w:keepLines w:val="0"/>
        <w:pageBreakBefore w:val="0"/>
        <w:widowControl w:val="0"/>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eastAsia="仿宋_GB2312" w:cs="Times New Roman"/>
          <w:color w:val="auto"/>
          <w:sz w:val="24"/>
          <w:szCs w:val="24"/>
          <w:lang w:val="en-US" w:eastAsia="zh-CN"/>
        </w:rPr>
      </w:pPr>
      <w:r>
        <w:rPr>
          <w:rFonts w:hint="eastAsia" w:ascii="仿宋_GB2312" w:eastAsia="仿宋_GB2312" w:cs="Times New Roman"/>
          <w:color w:val="auto"/>
          <w:sz w:val="24"/>
          <w:szCs w:val="24"/>
          <w:lang w:val="en-US" w:eastAsia="zh-CN"/>
        </w:rPr>
        <w:t>2.*月*日前，与被裁减人员面谈；</w:t>
      </w:r>
    </w:p>
    <w:p>
      <w:pPr>
        <w:keepNext w:val="0"/>
        <w:keepLines w:val="0"/>
        <w:pageBreakBefore w:val="0"/>
        <w:widowControl w:val="0"/>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eastAsia="仿宋_GB2312" w:cs="Times New Roman"/>
          <w:color w:val="auto"/>
          <w:sz w:val="24"/>
          <w:szCs w:val="24"/>
          <w:lang w:val="en-US" w:eastAsia="zh-CN"/>
        </w:rPr>
      </w:pPr>
      <w:r>
        <w:rPr>
          <w:rFonts w:hint="eastAsia" w:ascii="仿宋_GB2312" w:eastAsia="仿宋_GB2312" w:cs="Times New Roman"/>
          <w:color w:val="auto"/>
          <w:sz w:val="24"/>
          <w:szCs w:val="24"/>
          <w:lang w:val="en-US" w:eastAsia="zh-CN"/>
        </w:rPr>
        <w:t>3.*月*日前，进行工作交接；</w:t>
      </w:r>
    </w:p>
    <w:p>
      <w:pPr>
        <w:keepNext w:val="0"/>
        <w:keepLines w:val="0"/>
        <w:pageBreakBefore w:val="0"/>
        <w:widowControl w:val="0"/>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eastAsia="仿宋_GB2312" w:cs="Times New Roman"/>
          <w:color w:val="auto"/>
          <w:sz w:val="24"/>
          <w:szCs w:val="24"/>
          <w:lang w:val="en-US" w:eastAsia="zh-CN"/>
        </w:rPr>
      </w:pPr>
      <w:r>
        <w:rPr>
          <w:rFonts w:hint="eastAsia" w:ascii="仿宋_GB2312" w:eastAsia="仿宋_GB2312" w:cs="Times New Roman"/>
          <w:color w:val="auto"/>
          <w:sz w:val="24"/>
          <w:szCs w:val="24"/>
          <w:lang w:val="en-US" w:eastAsia="zh-CN"/>
        </w:rPr>
        <w:t>4.*月*日前，办理被裁减人员离职手续，结清工资、缴纳社会保险费，支付经济补偿、</w:t>
      </w:r>
      <w:r>
        <w:rPr>
          <w:rFonts w:hint="eastAsia" w:ascii="仿宋_GB2312" w:hAnsi="仿宋_GB2312" w:eastAsia="仿宋_GB2312" w:cs="仿宋_GB2312"/>
          <w:sz w:val="24"/>
          <w:szCs w:val="24"/>
          <w:lang w:val="en-US" w:eastAsia="zh-CN"/>
        </w:rPr>
        <w:t>一次性伤残就业补助金</w:t>
      </w:r>
      <w:r>
        <w:rPr>
          <w:rFonts w:hint="eastAsia" w:ascii="仿宋_GB2312" w:eastAsia="仿宋_GB2312" w:cs="Times New Roman"/>
          <w:color w:val="auto"/>
          <w:sz w:val="24"/>
          <w:szCs w:val="24"/>
          <w:lang w:val="en-US" w:eastAsia="zh-CN"/>
        </w:rPr>
        <w:t>等</w:t>
      </w:r>
    </w:p>
    <w:p>
      <w:pPr>
        <w:keepNext w:val="0"/>
        <w:keepLines w:val="0"/>
        <w:pageBreakBefore w:val="0"/>
        <w:widowControl w:val="0"/>
        <w:kinsoku/>
        <w:wordWrap/>
        <w:overflowPunct w:val="0"/>
        <w:topLinePunct w:val="0"/>
        <w:autoSpaceDE/>
        <w:autoSpaceDN/>
        <w:bidi w:val="0"/>
        <w:adjustRightInd/>
        <w:snapToGrid/>
        <w:spacing w:line="400" w:lineRule="exact"/>
        <w:ind w:leftChars="0" w:firstLine="480" w:firstLineChars="200"/>
        <w:textAlignment w:val="auto"/>
        <w:outlineLvl w:val="9"/>
        <w:rPr>
          <w:rFonts w:hint="eastAsia" w:ascii="仿宋_GB2312" w:eastAsia="仿宋_GB2312" w:cs="Times New Roman"/>
          <w:color w:val="auto"/>
          <w:sz w:val="24"/>
          <w:szCs w:val="24"/>
          <w:lang w:val="en-US" w:eastAsia="zh-CN"/>
        </w:rPr>
      </w:pPr>
      <w:r>
        <w:rPr>
          <w:rFonts w:hint="eastAsia" w:ascii="仿宋_GB2312" w:eastAsia="仿宋_GB2312" w:cs="Times New Roman"/>
          <w:color w:val="auto"/>
          <w:sz w:val="24"/>
          <w:szCs w:val="24"/>
          <w:lang w:val="en-US" w:eastAsia="zh-CN"/>
        </w:rPr>
        <w:t>5.*月*日前，办理社会保险和档案转移手续</w:t>
      </w:r>
    </w:p>
    <w:p>
      <w:pPr>
        <w:keepNext w:val="0"/>
        <w:keepLines w:val="0"/>
        <w:pageBreakBefore w:val="0"/>
        <w:widowControl w:val="0"/>
        <w:numPr>
          <w:ilvl w:val="0"/>
          <w:numId w:val="0"/>
        </w:numPr>
        <w:kinsoku/>
        <w:wordWrap/>
        <w:overflowPunct w:val="0"/>
        <w:topLinePunct w:val="0"/>
        <w:autoSpaceDE/>
        <w:autoSpaceDN/>
        <w:bidi w:val="0"/>
        <w:adjustRightInd/>
        <w:snapToGrid/>
        <w:spacing w:line="240" w:lineRule="auto"/>
        <w:ind w:right="0" w:rightChars="0"/>
        <w:jc w:val="both"/>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pPr>
        <w:keepNext w:val="0"/>
        <w:keepLines w:val="0"/>
        <w:pageBreakBefore w:val="0"/>
        <w:widowControl w:val="0"/>
        <w:kinsoku/>
        <w:wordWrap/>
        <w:overflowPunct w:val="0"/>
        <w:topLinePunct w:val="0"/>
        <w:autoSpaceDE/>
        <w:autoSpaceDN/>
        <w:bidi w:val="0"/>
        <w:adjustRightInd/>
        <w:snapToGrid/>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向人社部门报告企业裁员情况的说明</w:t>
      </w:r>
    </w:p>
    <w:p>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（参考样本）</w:t>
      </w:r>
    </w:p>
    <w:p>
      <w:pPr>
        <w:keepNext w:val="0"/>
        <w:keepLines w:val="0"/>
        <w:pageBreakBefore w:val="0"/>
        <w:widowControl w:val="0"/>
        <w:kinsoku/>
        <w:wordWrap/>
        <w:overflowPunct w:val="0"/>
        <w:topLinePunct w:val="0"/>
        <w:autoSpaceDE/>
        <w:autoSpaceDN/>
        <w:bidi w:val="0"/>
        <w:adjustRightInd/>
        <w:snapToGrid/>
        <w:spacing w:line="400" w:lineRule="exact"/>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textAlignment w:val="auto"/>
        <w:outlineLvl w:val="9"/>
        <w:rPr>
          <w:rFonts w:hint="eastAsia" w:ascii="仿宋_GB2312" w:eastAsia="仿宋_GB2312"/>
          <w:color w:val="auto"/>
          <w:sz w:val="24"/>
          <w:szCs w:val="24"/>
          <w:u w:val="single"/>
          <w:lang w:val="en-US" w:eastAsia="zh-CN"/>
        </w:rPr>
      </w:pP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u w:val="none"/>
          <w:lang w:val="en-US" w:eastAsia="zh-CN"/>
        </w:rPr>
        <w:t>人力资源和社会保障局：</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480" w:firstLineChars="200"/>
        <w:textAlignment w:val="auto"/>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lang w:val="en-US" w:eastAsia="zh-CN"/>
        </w:rPr>
        <w:t>（企业名称）因</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lang w:val="en-US" w:eastAsia="zh-CN"/>
        </w:rPr>
        <w:t>（原因） 需规模裁员，此前已采取了</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lang w:val="en-US" w:eastAsia="zh-CN"/>
        </w:rPr>
        <w:t>（稳岗措施）。现拟裁减</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lang w:val="en-US" w:eastAsia="zh-CN"/>
        </w:rPr>
        <w:t>人，占企业总人数</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u w:val="none"/>
          <w:lang w:val="en-US" w:eastAsia="zh-CN"/>
        </w:rPr>
        <w:t>%，</w:t>
      </w:r>
      <w:r>
        <w:rPr>
          <w:rFonts w:hint="eastAsia" w:ascii="仿宋_GB2312" w:eastAsia="仿宋_GB2312"/>
          <w:color w:val="auto"/>
          <w:sz w:val="24"/>
          <w:szCs w:val="24"/>
          <w:lang w:val="en-US" w:eastAsia="zh-CN"/>
        </w:rPr>
        <w:t>拟裁减人员主要涉及</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lang w:val="en-US" w:eastAsia="zh-CN"/>
        </w:rPr>
        <w:t>岗位，没有违反法律规定裁减应当特殊保护的职工。裁员方案已充分听取工会或者职工意见，履行法定民主程序，职工所提意见基本采纳，没有采纳的意见主要有：</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lang w:val="en-US" w:eastAsia="zh-CN"/>
        </w:rPr>
        <w:t>，已将理由告知职工并取得理解。裁减人员的经济补偿标准为</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lang w:val="en-US" w:eastAsia="zh-CN"/>
        </w:rPr>
        <w:t>，企业能依法及时支付。没有欠薪欠保情况（有欠薪欠保情况，但能在</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lang w:val="en-US" w:eastAsia="zh-CN"/>
        </w:rPr>
        <w:t>月</w:t>
      </w:r>
      <w:r>
        <w:rPr>
          <w:rFonts w:hint="eastAsia" w:ascii="仿宋_GB2312" w:eastAsia="仿宋_GB2312"/>
          <w:color w:val="auto"/>
          <w:sz w:val="24"/>
          <w:szCs w:val="24"/>
          <w:u w:val="single"/>
          <w:lang w:val="en-US" w:eastAsia="zh-CN"/>
        </w:rPr>
        <w:t xml:space="preserve">    </w:t>
      </w:r>
      <w:r>
        <w:rPr>
          <w:rFonts w:hint="eastAsia" w:ascii="仿宋_GB2312" w:eastAsia="仿宋_GB2312"/>
          <w:color w:val="auto"/>
          <w:sz w:val="24"/>
          <w:szCs w:val="24"/>
          <w:lang w:val="en-US" w:eastAsia="zh-CN"/>
        </w:rPr>
        <w:t>日前结清）。没有其他历史遗留问题。</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480" w:firstLineChars="200"/>
        <w:textAlignment w:val="auto"/>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附件：1.裁员方案</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1200" w:firstLineChars="500"/>
        <w:textAlignment w:val="auto"/>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2.企业财务报告以及企业符合法定裁员情形的其他证明材料</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textAlignment w:val="auto"/>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3.履行民主程序证明</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textAlignment w:val="auto"/>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负责人：</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jc w:val="center"/>
        <w:textAlignment w:val="auto"/>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联系人及电话：</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jc w:val="center"/>
        <w:textAlignment w:val="auto"/>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日期：</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jc w:val="center"/>
        <w:textAlignment w:val="auto"/>
        <w:outlineLvl w:val="9"/>
        <w:rPr>
          <w:rFonts w:hint="eastAsia" w:ascii="仿宋_GB2312" w:eastAsia="仿宋_GB2312"/>
          <w:color w:val="auto"/>
          <w:sz w:val="24"/>
          <w:szCs w:val="24"/>
          <w:lang w:val="en-US" w:eastAsia="zh-CN"/>
        </w:rPr>
      </w:pPr>
      <w:r>
        <w:rPr>
          <w:rFonts w:hint="eastAsia" w:ascii="仿宋_GB2312" w:eastAsia="仿宋_GB2312"/>
          <w:color w:val="auto"/>
          <w:sz w:val="24"/>
          <w:szCs w:val="24"/>
          <w:lang w:val="en-US" w:eastAsia="zh-CN"/>
        </w:rPr>
        <w:t xml:space="preserve">                          （签章）</w:t>
      </w:r>
    </w:p>
    <w:p>
      <w:pPr>
        <w:keepNext w:val="0"/>
        <w:keepLines w:val="0"/>
        <w:pageBreakBefore w:val="0"/>
        <w:widowControl w:val="0"/>
        <w:numPr>
          <w:ilvl w:val="0"/>
          <w:numId w:val="0"/>
        </w:numPr>
        <w:kinsoku/>
        <w:wordWrap/>
        <w:overflowPunct w:val="0"/>
        <w:topLinePunct w:val="0"/>
        <w:autoSpaceDE/>
        <w:autoSpaceDN/>
        <w:bidi w:val="0"/>
        <w:adjustRightInd/>
        <w:snapToGrid/>
        <w:spacing w:line="580" w:lineRule="exact"/>
        <w:ind w:firstLine="640"/>
        <w:jc w:val="right"/>
        <w:textAlignment w:val="auto"/>
        <w:outlineLvl w:val="9"/>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br w:type="page"/>
      </w:r>
    </w:p>
    <w:p>
      <w:pPr>
        <w:rPr>
          <w:rFonts w:hint="eastAsia" w:ascii="黑体" w:hAnsi="黑体" w:eastAsia="黑体" w:cs="黑体"/>
          <w:sz w:val="32"/>
          <w:szCs w:val="32"/>
        </w:rPr>
      </w:pPr>
      <w:r>
        <w:rPr>
          <w:rFonts w:hint="eastAsia" w:ascii="黑体" w:hAnsi="黑体" w:eastAsia="黑体" w:cs="黑体"/>
          <w:sz w:val="32"/>
          <w:szCs w:val="32"/>
        </w:rPr>
        <w:t>附件3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国家和地方出台的</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华文中宋" w:hAnsi="华文中宋" w:eastAsia="华文中宋" w:cs="华文中宋"/>
          <w:sz w:val="44"/>
          <w:szCs w:val="44"/>
        </w:rPr>
      </w:pPr>
      <w:r>
        <w:rPr>
          <w:rFonts w:hint="eastAsia" w:ascii="华文中宋" w:hAnsi="华文中宋" w:eastAsia="华文中宋" w:cs="华文中宋"/>
          <w:sz w:val="44"/>
          <w:szCs w:val="44"/>
        </w:rPr>
        <w:t>人社领域援企稳岗政策目录</w:t>
      </w:r>
    </w:p>
    <w:p>
      <w:pP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黑体" w:hAnsi="黑体" w:eastAsia="黑体" w:cs="黑体"/>
          <w:sz w:val="24"/>
          <w:szCs w:val="24"/>
        </w:rPr>
      </w:pPr>
      <w:r>
        <w:rPr>
          <w:rFonts w:hint="eastAsia" w:ascii="黑体" w:hAnsi="黑体" w:eastAsia="黑体" w:cs="黑体"/>
          <w:sz w:val="24"/>
          <w:szCs w:val="24"/>
        </w:rPr>
        <w:t>一、国家出台的政策</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1.《国务院关于进一步做好稳就业工作的意见》（国发〔2019〕28号）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2.《国务院办公厅关于应对新冠肺炎疫情影响强化稳就业举措的实施意见》（国办发〔2020〕6号）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3.《人力资源社会保障部 教育部 财政部 交通运输部 国家卫生健康委关于做好疫情防控期间有关就业工作的通知》（人社部明电〔2020〕2号）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4.《人力资源社会保障部 全国总工会 中国企业联合会/中国企业家协会 全国工商联关于做好新型冠状病毒感染肺炎疫情防控期间稳定劳动关系支持企业复工复产的意见》</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人社部发〔2020〕8号</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5.《人力资源社会保障部 财政部关于实施职业技能提升行动“互联网+职业技能培训计划”的通知》（人社部发〔2020〕10号）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6.《人力资源社会保障部 财政部 税务总局关于阶段性减免企业社会保险费的通知》（人社部发〔2020〕11号）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7.《人力资源社会保障部关于印发百日免费线上技能培训行动方案的通知（人社部函〔2020〕24号）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8.《人力资源社会保障部办公厅关于公布失业保险金网上申领平台的通知》（人社厅发〔2020〕9号）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9.《人力资源社会保障部办公厅关于进一步推进失业保险金“畅通领、安全办”的通知》（人社厅发〔2020〕24号）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10.《人力资源社会保障部办公厅 财政部办公厅关于发布就业补贴类政策清单及首批地方线上申领平台的通知》（人社厅发〔2020〕44号）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11.《人力资源社会保障部办公厅关于在新冠肺炎疫情防控期间免费开放中国职业培训在线等培训平台提供线上培训与教育服务的通知》（人社厅函〔2020〕24号）</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仿宋_GB2312" w:eastAsia="仿宋_GB2312"/>
          <w:color w:val="auto"/>
          <w:sz w:val="24"/>
          <w:szCs w:val="24"/>
          <w:lang w:val="en-US" w:eastAsia="zh-CN"/>
        </w:rPr>
      </w:pPr>
    </w:p>
    <w:p>
      <w:bookmarkStart w:id="0" w:name="_GoBack"/>
      <w:bookmarkEnd w:id="0"/>
    </w:p>
    <w:sectPr>
      <w:footerReference r:id="rId3" w:type="default"/>
      <w:pgSz w:w="11906" w:h="16838"/>
      <w:pgMar w:top="1701" w:right="1474" w:bottom="1587" w:left="1531" w:header="851" w:footer="992" w:gutter="0"/>
      <w:pgNumType w:start="1"/>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lODE2MjVkOWM5NWI1YTIyNTYwZTRhMmMyZTEzNDEifQ=="/>
  </w:docVars>
  <w:rsids>
    <w:rsidRoot w:val="4F4F3AF0"/>
    <w:rsid w:val="173A1C74"/>
    <w:rsid w:val="4F4F3AF0"/>
    <w:rsid w:val="5A6C48E6"/>
    <w:rsid w:val="6AD97FD9"/>
    <w:rsid w:val="6D560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2022-09-05T02:23:00Z</dcterms:created>
  <dc:creator>Administrator</dc:creator>
  <cp:lastModifiedBy>Administrator</cp:lastModifiedBy>
  <dcterms:modified xsi:type="dcterms:W3CDTF">2022-09-05T02:23:35Z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DB35FFB13F604219B2C51D52454E2108</vt:lpwstr>
  </property>
</Properties>
</file>